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5B7D" w:rsidRDefault="002547CF">
      <w:r>
        <w:rPr>
          <w:rFonts w:ascii="Arial" w:hAnsi="Arial" w:cs="Arial"/>
          <w:color w:val="202124"/>
          <w:spacing w:val="2"/>
          <w:sz w:val="25"/>
          <w:szCs w:val="25"/>
          <w:shd w:val="clear" w:color="auto" w:fill="FFFFFF"/>
        </w:rPr>
        <w:t>Mirroring the timeless design of Calacatta Marble, Calacatta Borghini Quartz captivates through its white undertones with grey, charcoal and brown veins. 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Borghini White Quartz. At the rock bottom prices of our granite factory in India, we will supply good quality Borghini White Quartz Tiles, Borghini White Quartz Slabs, Borghini White Quartz Countertops, Borghini White Quartz Vanity Tops, Borghini White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Borghini White Quartz Slabs and Borghini White Quartz Tiles and Steps Risers in wooden crates which are fresh and suitable in Sea. Firstly they are wrapped in thin polythene sheets, these Borghini White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Borghini White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175B7D" w:rsidSect="00175B7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2547CF"/>
    <w:rsid w:val="00175B7D"/>
    <w:rsid w:val="002547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2020-12-29T12:33:00Z</dcterms:created>
  <dcterms:modified xsi:type="dcterms:W3CDTF">2020-12-29T12:33:00Z</dcterms:modified>
</cp:coreProperties>
</file>