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39B" w:rsidRDefault="00C06BCA">
      <w:r>
        <w:rPr>
          <w:rFonts w:ascii="Arial" w:hAnsi="Arial" w:cs="Arial"/>
          <w:color w:val="202124"/>
          <w:spacing w:val="2"/>
          <w:sz w:val="25"/>
          <w:szCs w:val="25"/>
        </w:rPr>
        <w:br/>
      </w:r>
      <w:r>
        <w:rPr>
          <w:rFonts w:ascii="Arial" w:hAnsi="Arial" w:cs="Arial"/>
          <w:color w:val="202124"/>
          <w:spacing w:val="2"/>
          <w:sz w:val="25"/>
          <w:szCs w:val="25"/>
          <w:shd w:val="clear" w:color="auto" w:fill="FFFFFF"/>
        </w:rPr>
        <w:t>Offering Calacatta Classic Quartz, an elegant and subtle reinterpretation of the desirable Calacatta Classic Quartz. It stands out for its uniform greyish veins that cross the neutral background with a translucent appearance. The Classic Calacatta Classic Quartz evokes nature thanks to its great resemblance to real stone.</w:t>
      </w:r>
      <w:r>
        <w:rPr>
          <w:rFonts w:ascii="Arial" w:hAnsi="Arial" w:cs="Arial"/>
          <w:color w:val="202124"/>
          <w:spacing w:val="2"/>
          <w:sz w:val="25"/>
          <w:szCs w:val="25"/>
        </w:rPr>
        <w:br/>
      </w:r>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Calacatta Classic Quartz is extremely in demand. We have successfully established ourselves as India's most fulfilling Calacatta Classic Quartz Suppliers &amp; Calacatta Classic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Classic Quartz to USA, UK, Europe, Australia, Russia, Germany, France, Italy, Spain, Sweden, Nederland, Turkey, Poland, Albania, Romania, Union, Hong Kong, Belgium, South Korea, Canada, Mexico, Singapore, Switzerland, Laos, Maldives, Bermuda, Guyana and many other European countries.</w:t>
      </w:r>
    </w:p>
    <w:sectPr w:rsidR="004C539B" w:rsidSect="004C539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C06BCA"/>
    <w:rsid w:val="004C539B"/>
    <w:rsid w:val="00C06B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3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2020-12-29T12:40:00Z</dcterms:created>
  <dcterms:modified xsi:type="dcterms:W3CDTF">2020-12-29T12:40:00Z</dcterms:modified>
</cp:coreProperties>
</file>