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84E77"/>
          <w:sz w:val="36"/>
        </w:rPr>
        <w:t>UMOWA O WYKONANIE STRONY INTERNETOWEJ</w:t>
      </w:r>
    </w:p>
    <w:p>
      <w:pPr>
        <w:spacing w:after="160"/>
        <w:jc w:val="center"/>
      </w:pPr>
      <w:r>
        <w:rPr>
          <w:rFonts w:ascii="Aptos" w:hAnsi="Aptos"/>
          <w:i/>
          <w:sz w:val="21"/>
        </w:rPr>
        <w:t>(umowa o dzieło z elementami przeniesienia autorskich praw majątkowych)</w:t>
      </w:r>
    </w:p>
    <w:p>
      <w:pPr>
        <w:spacing w:after="200"/>
        <w:jc w:val="center"/>
      </w:pPr>
      <w:r>
        <w:rPr>
          <w:sz w:val="21"/>
        </w:rPr>
        <w:t>nr ……/04/2026</w:t>
      </w:r>
    </w:p>
    <w:tbl>
      <w:tblPr>
        <w:tblStyle w:val="TableGrid"/>
        <w:tblW w:type="auto" w:w="0"/>
        <w:jc w:val="center"/>
        <w:tblLook w:firstColumn="1" w:firstRow="1" w:lastColumn="0" w:lastRow="0" w:noHBand="0" w:noVBand="1" w:val="04A0"/>
      </w:tblPr>
      <w:tblGrid>
        <w:gridCol w:w="2381"/>
        <w:gridCol w:w="6690"/>
      </w:tblGrid>
      <w:tr>
        <w:tc>
          <w:tcPr>
            <w:tcW w:type="dxa" w:w="4929"/>
            <w:vAlign w:val="center"/>
            <w:tcBorders>
              <w:left w:val="single" w:sz="6" w:color="D0D5DD"/>
              <w:top w:val="single" w:sz="6" w:color="D0D5DD"/>
              <w:right w:val="single" w:sz="6" w:color="D0D5DD"/>
              <w:bottom w:val="single" w:sz="6" w:color="D0D5DD"/>
            </w:tcBorders>
            <w:shd w:fill="EAF2F8"/>
          </w:tcPr>
          <w:p>
            <w:r>
              <w:rPr>
                <w:rFonts w:ascii="Aptos" w:hAnsi="Aptos"/>
                <w:b/>
                <w:sz w:val="20"/>
              </w:rPr>
              <w:t>Projekt</w:t>
            </w:r>
          </w:p>
        </w:tc>
        <w:tc>
          <w:tcPr>
            <w:tcW w:type="dxa" w:w="4929"/>
            <w:vAlign w:val="center"/>
            <w:tcBorders>
              <w:left w:val="single" w:sz="6" w:color="D0D5DD"/>
              <w:top w:val="single" w:sz="6" w:color="D0D5DD"/>
              <w:right w:val="single" w:sz="6" w:color="D0D5DD"/>
              <w:bottom w:val="single" w:sz="6" w:color="D0D5DD"/>
            </w:tcBorders>
            <w:shd w:fill="F8FAFC"/>
          </w:tcPr>
          <w:p>
            <w:r>
              <w:rPr>
                <w:rFonts w:ascii="Aptos" w:hAnsi="Aptos"/>
                <w:sz w:val="20"/>
              </w:rPr>
              <w:t>Strona wizytówka one-page dla marki DMsolutions</w:t>
            </w:r>
          </w:p>
        </w:tc>
      </w:tr>
      <w:tr>
        <w:tc>
          <w:tcPr>
            <w:tcW w:type="dxa" w:w="4929"/>
            <w:vAlign w:val="center"/>
            <w:tcBorders>
              <w:left w:val="single" w:sz="6" w:color="D0D5DD"/>
              <w:top w:val="single" w:sz="6" w:color="D0D5DD"/>
              <w:right w:val="single" w:sz="6" w:color="D0D5DD"/>
              <w:bottom w:val="single" w:sz="6" w:color="D0D5DD"/>
            </w:tcBorders>
            <w:shd w:fill="EAF2F8"/>
          </w:tcPr>
          <w:p>
            <w:r>
              <w:rPr>
                <w:rFonts w:ascii="Aptos" w:hAnsi="Aptos"/>
                <w:b/>
                <w:sz w:val="20"/>
              </w:rPr>
              <w:t>Cena całkowita</w:t>
            </w:r>
          </w:p>
        </w:tc>
        <w:tc>
          <w:tcPr>
            <w:tcW w:type="dxa" w:w="4929"/>
            <w:vAlign w:val="center"/>
            <w:tcBorders>
              <w:left w:val="single" w:sz="6" w:color="D0D5DD"/>
              <w:top w:val="single" w:sz="6" w:color="D0D5DD"/>
              <w:right w:val="single" w:sz="6" w:color="D0D5DD"/>
              <w:bottom w:val="single" w:sz="6" w:color="D0D5DD"/>
            </w:tcBorders>
            <w:shd w:fill="F8FAFC"/>
          </w:tcPr>
          <w:p>
            <w:r>
              <w:rPr>
                <w:rFonts w:ascii="Aptos" w:hAnsi="Aptos"/>
                <w:sz w:val="20"/>
              </w:rPr>
              <w:t>1 490,00 zł — 2 raty po 745,00 zł</w:t>
            </w:r>
          </w:p>
        </w:tc>
      </w:tr>
      <w:tr>
        <w:tc>
          <w:tcPr>
            <w:tcW w:type="dxa" w:w="4929"/>
            <w:vAlign w:val="center"/>
            <w:tcBorders>
              <w:left w:val="single" w:sz="6" w:color="D0D5DD"/>
              <w:top w:val="single" w:sz="6" w:color="D0D5DD"/>
              <w:right w:val="single" w:sz="6" w:color="D0D5DD"/>
              <w:bottom w:val="single" w:sz="6" w:color="D0D5DD"/>
            </w:tcBorders>
            <w:shd w:fill="EAF2F8"/>
          </w:tcPr>
          <w:p>
            <w:r>
              <w:rPr>
                <w:rFonts w:ascii="Aptos" w:hAnsi="Aptos"/>
                <w:b/>
                <w:sz w:val="20"/>
              </w:rPr>
              <w:t>Termin i zakres</w:t>
            </w:r>
          </w:p>
        </w:tc>
        <w:tc>
          <w:tcPr>
            <w:tcW w:type="dxa" w:w="4929"/>
            <w:vAlign w:val="center"/>
            <w:tcBorders>
              <w:left w:val="single" w:sz="6" w:color="D0D5DD"/>
              <w:top w:val="single" w:sz="6" w:color="D0D5DD"/>
              <w:right w:val="single" w:sz="6" w:color="D0D5DD"/>
              <w:bottom w:val="single" w:sz="6" w:color="D0D5DD"/>
            </w:tcBorders>
            <w:shd w:fill="F8FAFC"/>
          </w:tcPr>
          <w:p>
            <w:r>
              <w:t>7–10 dni roboczych od startu prac; do 5 sekcji, wersja PL, formularz, mapa, Google Analytics, podstawowe SEO, 2 tury poprawek</w:t>
            </w:r>
          </w:p>
        </w:tc>
      </w:tr>
    </w:tbl>
    <w:p>
      <w:pPr>
        <w:spacing w:after="40"/>
      </w:pPr>
    </w:p>
    <w:p>
      <w:pPr>
        <w:spacing w:after="160" w:before="0" w:line="240" w:lineRule="auto"/>
      </w:pPr>
      <w:r>
        <w:rPr>
          <w:rFonts w:ascii="Aptos" w:hAnsi="Aptos"/>
          <w:b w:val="0"/>
          <w:i w:val="0"/>
          <w:sz w:val="21"/>
        </w:rPr>
        <w:t>zawarta w dniu 09.04.2026 r. pomiędzy:</w:t>
      </w:r>
    </w:p>
    <w:tbl>
      <w:tblPr>
        <w:tblStyle w:val="TableGrid"/>
        <w:tblW w:type="auto" w:w="0"/>
        <w:jc w:val="center"/>
        <w:tblLook w:firstColumn="1" w:firstRow="1" w:lastColumn="0" w:lastRow="0" w:noHBand="0" w:noVBand="1" w:val="04A0"/>
      </w:tblPr>
      <w:tblGrid>
        <w:gridCol w:w="4929"/>
        <w:gridCol w:w="4929"/>
      </w:tblGrid>
      <w:tr>
        <w:tc>
          <w:tcPr>
            <w:tcW w:type="dxa" w:w="4929"/>
            <w:shd w:fill="EAF2F8"/>
            <w:vAlign w:val="center"/>
            <w:tcBorders>
              <w:left w:val="single" w:sz="6" w:color="D0D5DD"/>
              <w:top w:val="single" w:sz="6" w:color="D0D5DD"/>
              <w:right w:val="single" w:sz="6" w:color="D0D5DD"/>
              <w:bottom w:val="single" w:sz="6" w:color="D0D5DD"/>
            </w:tcBorders>
          </w:tcPr>
          <w:p>
            <w:pPr>
              <w:spacing w:after="40" w:line="259" w:lineRule="auto"/>
            </w:pPr>
            <w:r>
              <w:rPr>
                <w:rFonts w:ascii="Aptos" w:hAnsi="Aptos"/>
                <w:b/>
                <w:sz w:val="20"/>
              </w:rPr>
              <w:t>ZAMAWIAJĄCY</w:t>
            </w:r>
          </w:p>
        </w:tc>
        <w:tc>
          <w:tcPr>
            <w:tcW w:type="dxa" w:w="4929"/>
            <w:shd w:fill="FFFFFF"/>
            <w:vAlign w:val="center"/>
            <w:tcBorders>
              <w:left w:val="single" w:sz="6" w:color="D0D5DD"/>
              <w:top w:val="single" w:sz="6" w:color="D0D5DD"/>
              <w:right w:val="single" w:sz="6" w:color="D0D5DD"/>
              <w:bottom w:val="single" w:sz="6" w:color="D0D5DD"/>
            </w:tcBorders>
          </w:tcPr>
          <w:p>
            <w:pPr>
              <w:spacing w:after="40" w:line="259" w:lineRule="auto"/>
            </w:pPr>
            <w:r>
              <w:rPr>
                <w:rFonts w:ascii="Aptos" w:hAnsi="Aptos"/>
                <w:sz w:val="20"/>
              </w:rPr>
              <w:t>Damian Macur</w:t>
              <w:br/>
              <w:t>ul. Kłosowa 54, 10-818 Olsztyn</w:t>
              <w:br/>
              <w:t>PESEL: 91010804238</w:t>
              <w:br/>
              <w:t>telefon: +48 883 028 324</w:t>
              <w:br/>
              <w:t>e-mail: dmsolutions.olsztyn@gmail.com</w:t>
            </w:r>
          </w:p>
        </w:tc>
      </w:tr>
      <w:tr>
        <w:tc>
          <w:tcPr>
            <w:tcW w:type="dxa" w:w="4929"/>
            <w:shd w:fill="EAF2F8"/>
            <w:vAlign w:val="center"/>
            <w:tcBorders>
              <w:left w:val="single" w:sz="6" w:color="D0D5DD"/>
              <w:top w:val="single" w:sz="6" w:color="D0D5DD"/>
              <w:right w:val="single" w:sz="6" w:color="D0D5DD"/>
              <w:bottom w:val="single" w:sz="6" w:color="D0D5DD"/>
            </w:tcBorders>
          </w:tcPr>
          <w:p>
            <w:pPr>
              <w:spacing w:after="40" w:line="259" w:lineRule="auto"/>
            </w:pPr>
            <w:r>
              <w:rPr>
                <w:rFonts w:ascii="Aptos" w:hAnsi="Aptos"/>
                <w:b/>
                <w:sz w:val="20"/>
              </w:rPr>
              <w:t>WYKONAWCA</w:t>
            </w:r>
          </w:p>
        </w:tc>
        <w:tc>
          <w:tcPr>
            <w:tcW w:type="dxa" w:w="4929"/>
            <w:shd w:fill="FFFFFF"/>
            <w:vAlign w:val="center"/>
            <w:tcBorders>
              <w:left w:val="single" w:sz="6" w:color="D0D5DD"/>
              <w:top w:val="single" w:sz="6" w:color="D0D5DD"/>
              <w:right w:val="single" w:sz="6" w:color="D0D5DD"/>
              <w:bottom w:val="single" w:sz="6" w:color="D0D5DD"/>
            </w:tcBorders>
          </w:tcPr>
          <w:p>
            <w:pPr>
              <w:spacing w:after="40" w:line="259" w:lineRule="auto"/>
            </w:pPr>
            <w:r>
              <w:rPr>
                <w:rFonts w:ascii="Aptos" w:hAnsi="Aptos"/>
                <w:sz w:val="20"/>
              </w:rPr>
              <w:t>Yury Luzhkouski</w:t>
              <w:br/>
              <w:t>ul. Podmiłów 4B, 30-829 Kraków</w:t>
              <w:br/>
              <w:t>PESEL: 92100618599</w:t>
              <w:br/>
              <w:t>telefon: +48 788 554 887</w:t>
              <w:br/>
              <w:t>e-mail: contact@node48.pl</w:t>
              <w:br/>
              <w:t>www.node48.pl</w:t>
            </w:r>
          </w:p>
        </w:tc>
      </w:tr>
    </w:tbl>
    <w:p>
      <w:pPr>
        <w:spacing w:after="80"/>
      </w:pPr>
    </w:p>
    <w:tbl>
      <w:tblPr>
        <w:tblW w:type="auto" w:w="0"/>
        <w:jc w:val="center"/>
        <w:tblLook w:firstColumn="1" w:firstRow="1" w:lastColumn="0" w:lastRow="0" w:noHBand="0" w:noVBand="1" w:val="04A0"/>
      </w:tblPr>
      <w:tblGrid>
        <w:gridCol w:w="9858"/>
      </w:tblGrid>
      <w:tr>
        <w:tc>
          <w:tcPr>
            <w:tcW w:type="dxa" w:w="9858"/>
            <w:shd w:fill="F8FAFC"/>
            <w:tcBorders>
              <w:left w:val="single" w:sz="6" w:color="D0D5DD"/>
              <w:top w:val="single" w:sz="6" w:color="D0D5DD"/>
              <w:right w:val="single" w:sz="6" w:color="D0D5DD"/>
              <w:bottom w:val="single" w:sz="6" w:color="D0D5DD"/>
            </w:tcBorders>
          </w:tcPr>
          <w:p>
            <w:r>
              <w:t>Status Zamawiającego (zaznaczyć przed podpisaniem):  ☐ osoba fizyczna nieprowadząca działalności gospodarczej    ☐ osoba fizyczna prowadząca działalność gospodarczą / JDG</w:t>
            </w:r>
          </w:p>
        </w:tc>
      </w:tr>
    </w:tbl>
    <w:p>
      <w:pPr>
        <w:spacing w:after="80"/>
      </w:pPr>
    </w:p>
    <w:p>
      <w:pPr>
        <w:spacing w:after="160" w:before="0" w:line="240" w:lineRule="auto"/>
      </w:pPr>
      <w:r>
        <w:rPr>
          <w:rFonts w:ascii="Aptos" w:hAnsi="Aptos"/>
          <w:b w:val="0"/>
          <w:i w:val="0"/>
          <w:sz w:val="21"/>
        </w:rPr>
        <w:t>Strony zgodnie oświadczają, że niniejsza umowa określa zasady wykonania, odbioru, rozliczenia i przekazania strony internetowej oraz — w zakresie elementów stworzonych przez Wykonawcę — przeniesienia autorskich praw majątkowych.</w:t>
      </w:r>
    </w:p>
    <w:p>
      <w:pPr>
        <w:pStyle w:val="HeadingBlue"/>
        <w:spacing w:before="160" w:after="80"/>
      </w:pPr>
      <w:r>
        <w:t>§ 1. Przedmiot umowy</w:t>
      </w:r>
    </w:p>
    <w:p>
      <w:pPr>
        <w:spacing w:after="80" w:line="269" w:lineRule="auto"/>
      </w:pPr>
      <w:r>
        <w:rPr>
          <w:rFonts w:ascii="Aptos" w:hAnsi="Aptos"/>
          <w:sz w:val="21"/>
        </w:rPr>
        <w:t>1. Wykonawca zobowiązuje się wykonać na rzecz Zamawiającego stronę internetową typu wizytówka one-page dla marki „DMsolutions” (dalej: „Strona” albo „Dzieło”), zgodnie z niniejszą umową oraz Załącznikiem nr 1.</w:t>
      </w:r>
    </w:p>
    <w:p>
      <w:pPr>
        <w:spacing w:after="80" w:line="269" w:lineRule="auto"/>
      </w:pPr>
      <w:r>
        <w:rPr>
          <w:rFonts w:ascii="Aptos" w:hAnsi="Aptos"/>
          <w:sz w:val="21"/>
        </w:rPr>
        <w:t>2. Strona ma charakter promocyjno-informacyjny i służy prezentacji usług Zamawiającego oraz pozyskiwaniu zapytań od potencjalnych klientów.</w:t>
      </w:r>
    </w:p>
    <w:p>
      <w:pPr>
        <w:spacing w:after="80" w:line="269" w:lineRule="auto"/>
      </w:pPr>
      <w:r>
        <w:rPr>
          <w:rFonts w:ascii="Aptos" w:hAnsi="Aptos"/>
          <w:sz w:val="21"/>
        </w:rPr>
        <w:t>3. Szczegółowy zakres Dzieła, plan sekcji i lista elementów wchodzących w cenę zostały opisane w Załączniku nr 1, który stanowi integralną część umowy.</w:t>
      </w:r>
    </w:p>
    <w:p>
      <w:pPr>
        <w:pStyle w:val="HeadingBlue"/>
        <w:spacing w:before="160" w:after="80"/>
      </w:pPr>
      <w:r>
        <w:t>§ 2. Zakres prac</w:t>
      </w:r>
    </w:p>
    <w:p>
      <w:pPr>
        <w:spacing w:after="80" w:line="269" w:lineRule="auto"/>
      </w:pPr>
      <w:r>
        <w:t>1. W ramach wynagrodzenia określonego w § 5 Wykonawca wykonuje w szczególności: projekt graficzny, wdrożenie strony one-page w języku polskim, wersję responsywną na telefon, tablet i komputer, formularz kontaktowy, osadzenie mapy albo wizualnego wskazania obszaru działania, podstawową konfigurację Google Analytics po otrzymaniu wymaganych dostępów, podstawowe SEO strony oraz 2 tury poprawek w ustalonym zakresie.</w:t>
      </w:r>
    </w:p>
    <w:p>
      <w:pPr>
        <w:spacing w:after="80" w:line="269" w:lineRule="auto"/>
      </w:pPr>
      <w:r>
        <w:t>2. W cenie mieści się opracowanie, uporządkowanie i redakcja materiałów tekstowych dostarczonych przez Zamawiającego w zakresie niezbędnym do publikacji na stronie. Pełne opracowanie tekstów od podstaw, rozbudowane teksty sprzedażowe albo dodatkowe wersje językowe wymagają odrębnej wyceny i odrębnego potwierdzenia przez Zamawiającego.</w:t>
      </w:r>
    </w:p>
    <w:p>
      <w:pPr>
        <w:spacing w:after="80" w:line="269" w:lineRule="auto"/>
      </w:pPr>
      <w:r>
        <w:t>3. Poza zakresem umowy pozostają w szczególności: zakup i odnowienie domeny, hosting, poczta e-mail, stała opieka techniczna po odbiorze, blog lub panel CMS, integracje z zewnętrznymi systemami, dodatkowe sekcje ponad ustalony limit, dodatkowe języki, niestandardowe animacje, rozbudowane funkcje i inne elementy niewskazane wyraźnie w Załączniku nr 1.</w:t>
      </w:r>
    </w:p>
    <w:p>
      <w:pPr>
        <w:pStyle w:val="HeadingBlue"/>
        <w:spacing w:before="160" w:after="80"/>
      </w:pPr>
      <w:r>
        <w:t>§ 3. Materiały i współpraca Stron</w:t>
      </w:r>
    </w:p>
    <w:p>
      <w:pPr>
        <w:spacing w:after="80" w:line="269" w:lineRule="auto"/>
      </w:pPr>
      <w:r>
        <w:rPr>
          <w:rFonts w:ascii="Aptos" w:hAnsi="Aptos"/>
          <w:sz w:val="21"/>
        </w:rPr>
        <w:t>1. Warunkiem sprawnej realizacji projektu jest przekazanie przez Zamawiającego kompletu materiałów niezbędnych do wykonania Strony, w szczególności: logo, zdjęć, danych kontaktowych, informacji o ofercie, obszarze działania oraz innych materiałów wskazanych w Załączniku nr 1.</w:t>
      </w:r>
    </w:p>
    <w:p>
      <w:pPr>
        <w:spacing w:after="80" w:line="269" w:lineRule="auto"/>
      </w:pPr>
      <w:r>
        <w:rPr>
          <w:rFonts w:ascii="Aptos" w:hAnsi="Aptos"/>
          <w:sz w:val="21"/>
        </w:rPr>
        <w:t>2. Zamawiający oświadcza, że posiada prawa do materiałów przekazanych Wykonawcy albo jest uprawniony do korzystania z nich w zakresie niezbędnym do realizacji umowy. Wykonawca nie odpowiada za naruszenie praw osób trzecich wynikające z materiałów dostarczonych przez Zamawiającego.</w:t>
      </w:r>
    </w:p>
    <w:p>
      <w:pPr>
        <w:spacing w:after="80" w:line="269" w:lineRule="auto"/>
      </w:pPr>
      <w:r>
        <w:rPr>
          <w:rFonts w:ascii="Aptos" w:hAnsi="Aptos"/>
          <w:sz w:val="21"/>
        </w:rPr>
        <w:t>3. Opóźnienia w przekazaniu materiałów, dostępów, odpowiedzi lub akceptacji po stronie Zamawiającego powodują odpowiednie przesunięcie harmonogramu. Wykonawca ma prawo wstrzymać dalsze prace do czasu usunięcia przeszkody.</w:t>
      </w:r>
    </w:p>
    <w:p>
      <w:pPr>
        <w:spacing w:after="80" w:line="269" w:lineRule="auto"/>
      </w:pPr>
      <w:r>
        <w:rPr>
          <w:rFonts w:ascii="Aptos" w:hAnsi="Aptos"/>
          <w:sz w:val="21"/>
        </w:rPr>
        <w:t>4. Strony zobowiązują się współpracować w dobrej wierze i przekazywać sobie informacje potrzebne do prawidłowego wykonania umowy.</w:t>
      </w:r>
    </w:p>
    <w:p>
      <w:pPr>
        <w:pStyle w:val="HeadingBlue"/>
        <w:spacing w:before="160" w:after="80"/>
      </w:pPr>
      <w:r>
        <w:t>§ 4. Termin realizacji</w:t>
      </w:r>
    </w:p>
    <w:p>
      <w:pPr>
        <w:spacing w:after="80" w:line="269" w:lineRule="auto"/>
      </w:pPr>
      <w:r>
        <w:rPr>
          <w:rFonts w:ascii="Aptos" w:hAnsi="Aptos"/>
          <w:sz w:val="21"/>
        </w:rPr>
        <w:t>1. Wykonawca zobowiązuje się wykonać Stronę w terminie 7–10 dni roboczych, liczonych od pierwszego dnia roboczego następującego po łącznym spełnieniu następujących warunków: (a) zawarciu umowy, (b) wpłacie I raty, o której mowa w § 5 ust. 2 lit. a, oraz (c) przekazaniu przez Zamawiającego kompletu materiałów i danych potrzebnych do rozpoczęcia prac.</w:t>
      </w:r>
    </w:p>
    <w:p>
      <w:pPr>
        <w:spacing w:after="80" w:line="269" w:lineRule="auto"/>
      </w:pPr>
      <w:r>
        <w:rPr>
          <w:rFonts w:ascii="Aptos" w:hAnsi="Aptos"/>
          <w:sz w:val="21"/>
        </w:rPr>
        <w:t>2. Czas oczekiwania na decyzje, akceptacje, poprawki lub materiały od Zamawiającego nie wlicza się do terminu realizacji.</w:t>
      </w:r>
    </w:p>
    <w:p>
      <w:pPr>
        <w:spacing w:after="80" w:line="269" w:lineRule="auto"/>
      </w:pPr>
      <w:r>
        <w:rPr>
          <w:rFonts w:ascii="Aptos" w:hAnsi="Aptos"/>
          <w:sz w:val="21"/>
        </w:rPr>
        <w:t>3. Zmiany wykraczające poza ustalony zakres mogą wydłużyć termin realizacji; nowy termin Strony potwierdzą co najmniej w formie dokumentowej (np. e-mail).</w:t>
      </w:r>
    </w:p>
    <w:p>
      <w:pPr>
        <w:pStyle w:val="HeadingBlue"/>
        <w:spacing w:before="160" w:after="80"/>
      </w:pPr>
      <w:r>
        <w:t>§ 5. Wynagrodzenie i zasady rozliczeń</w:t>
      </w:r>
    </w:p>
    <w:p>
      <w:pPr>
        <w:spacing w:after="80" w:line="269" w:lineRule="auto"/>
      </w:pPr>
      <w:r>
        <w:t>1. Całkowite wynagrodzenie za wykonanie Strony wynosi 1 490,00 zł (słownie: jeden tysiąc czterysta dziewięćdziesiąt złotych) i stanowi całkowite wynagrodzenie za zakres objęty niniejszą umową.</w:t>
      </w:r>
    </w:p>
    <w:p>
      <w:pPr>
        <w:spacing w:after="80" w:line="269" w:lineRule="auto"/>
      </w:pPr>
      <w:r>
        <w:t>2. Wynagrodzenie płatne jest w dwóch ratach: a) I rata — zaliczka w wysokości 745,00 zł, płatna w terminie 3 dni od dnia zawarcia umowy, przelewem bankowym albo za pomocą systemu BLIK na numer telefonu wskazany przez Wykonawcę; b) II rata — 745,00 zł, płatna w terminie 3 dni od odbioru Dzieła i przed przekazaniem pełnych dostępów oraz plików źródłowych, przelewem bankowym albo za pomocą systemu BLIK na numer telefonu wskazany przez Wykonawcę, chyba że Strony wyraźnie uzgodnią inaczej.</w:t>
      </w:r>
    </w:p>
    <w:p>
      <w:pPr>
        <w:spacing w:after="80" w:line="269" w:lineRule="auto"/>
      </w:pPr>
      <w:r>
        <w:rPr>
          <w:rFonts w:ascii="Aptos" w:hAnsi="Aptos"/>
          <w:sz w:val="21"/>
        </w:rPr>
        <w:t>3. I rata ma charakter zaliczki i podlega zaliczeniu na poczet całkowitego wynagrodzenia.</w:t>
      </w:r>
    </w:p>
    <w:p>
      <w:pPr>
        <w:spacing w:after="80" w:line="269" w:lineRule="auto"/>
      </w:pPr>
      <w:r>
        <w:rPr>
          <w:rFonts w:ascii="Aptos" w:hAnsi="Aptos"/>
          <w:sz w:val="21"/>
        </w:rPr>
        <w:t>4. Jeżeli Zamawiający zrezygnuje z realizacji po rozpoczęciu prac z przyczyn nieleżących po stronie Wykonawcy, Wykonawcy przysługuje wynagrodzenie odpowiadające zakresowi prac wykonanych do dnia otrzymania rezygnacji oraz zwrot uzasadnionych kosztów zewnętrznych poniesionych za zgodą Zamawiającego. Niewykorzystana część otrzymanej zaliczki podlega zwrotowi w terminie 7 dni od przedstawienia rozliczenia.</w:t>
      </w:r>
    </w:p>
    <w:p>
      <w:pPr>
        <w:spacing w:after="80" w:line="269" w:lineRule="auto"/>
      </w:pPr>
      <w:r>
        <w:rPr>
          <w:rFonts w:ascii="Aptos" w:hAnsi="Aptos"/>
          <w:sz w:val="21"/>
        </w:rPr>
        <w:t>5. Jeżeli umowa nie zostanie wykonana z przyczyn leżących po stronie Wykonawcy, Wykonawca zwróci Zamawiającemu część otrzymanych kwot odpowiadającą niewykonanej części prac, w terminie 7 dni od dnia rozwiązania umowy. Strony wyłączają stosowanie mechanizmu żądania sumy dwukrotnie wyższej z tytułu zadatku, ponieważ pierwsza wpłata ma charakter zaliczki, a nie zadatku.</w:t>
      </w:r>
    </w:p>
    <w:p>
      <w:pPr>
        <w:spacing w:after="80" w:line="269" w:lineRule="auto"/>
      </w:pPr>
      <w:r>
        <w:t>6. Strony potwierdzają, że niniejsza umowa została przygotowana jako umowa cywilnoprawna zawierana pomiędzy dwiema osobami fizycznymi. Jeżeli któraś ze Stron zawierałaby ją jednak jako przedsiębiorca, przed podpisaniem należy odpowiednio dostosować treść umowy do tego statusu prawnego.</w:t>
      </w:r>
    </w:p>
    <w:p>
      <w:pPr>
        <w:pStyle w:val="HeadingBlue"/>
        <w:spacing w:before="160" w:after="80"/>
      </w:pPr>
      <w:r>
        <w:t>§ 6. Odbiór Dzieła i poprawki</w:t>
      </w:r>
    </w:p>
    <w:p>
      <w:pPr>
        <w:spacing w:after="80" w:line="269" w:lineRule="auto"/>
      </w:pPr>
      <w:r>
        <w:rPr>
          <w:rFonts w:ascii="Aptos" w:hAnsi="Aptos"/>
          <w:sz w:val="21"/>
        </w:rPr>
        <w:t>1. Po zakończeniu prac Wykonawca udostępni Zamawiającemu Stronę do weryfikacji w formie linku do podglądu albo w innej uzgodnionej formie.</w:t>
      </w:r>
    </w:p>
    <w:p>
      <w:pPr>
        <w:spacing w:after="80" w:line="269" w:lineRule="auto"/>
      </w:pPr>
      <w:r>
        <w:rPr>
          <w:rFonts w:ascii="Aptos" w:hAnsi="Aptos"/>
          <w:sz w:val="21"/>
        </w:rPr>
        <w:t>2. Zamawiający, w terminie 5 dni roboczych od udostępnienia podglądu, przekaże: a) akceptację bez zastrzeżeń albo b) jedną zbiorczą listę uwag w ramach danej tury poprawek.</w:t>
      </w:r>
    </w:p>
    <w:p>
      <w:pPr>
        <w:spacing w:after="80" w:line="269" w:lineRule="auto"/>
      </w:pPr>
      <w:r>
        <w:rPr>
          <w:rFonts w:ascii="Aptos" w:hAnsi="Aptos"/>
          <w:sz w:val="21"/>
        </w:rPr>
        <w:t>3. W ramach wynagrodzenia Wykonawca uwzględni do 2 tur poprawek, o ile mieszczą się one w uzgodnionym zakresie projektu. Uwagi powinny być przekazywane zbiorczo, w sposób czytelny i możliwy do wdrożenia.</w:t>
      </w:r>
    </w:p>
    <w:p>
      <w:pPr>
        <w:spacing w:after="80" w:line="269" w:lineRule="auto"/>
      </w:pPr>
      <w:r>
        <w:rPr>
          <w:rFonts w:ascii="Aptos" w:hAnsi="Aptos"/>
          <w:sz w:val="21"/>
        </w:rPr>
        <w:t>4. Zmiany wykraczające poza ustalony zakres — w szczególności nowe sekcje, dodatkowe funkcje, nowa wersja językowa, zmiana zaakceptowanej koncepcji wizualnej albo rozbudowane animacje — są wyceniane i realizowane odrębnie po akceptacji Zamawiającego.</w:t>
      </w:r>
    </w:p>
    <w:p>
      <w:pPr>
        <w:spacing w:after="80" w:line="269" w:lineRule="auto"/>
      </w:pPr>
      <w:r>
        <w:rPr>
          <w:rFonts w:ascii="Aptos" w:hAnsi="Aptos"/>
          <w:sz w:val="21"/>
        </w:rPr>
        <w:t>5. Odbiór końcowy następuje poprzez podpisanie Protokołu Odbioru albo wyraźne potwierdzenie akceptacji Dzieła w wiadomości e-mail. Brak odpowiedzi ze strony Zamawiającego nie oznacza automatycznej akceptacji, ale wydłuża harmonogram o czas oczekiwania.</w:t>
      </w:r>
    </w:p>
    <w:p>
      <w:pPr>
        <w:pStyle w:val="HeadingBlue"/>
        <w:spacing w:before="160" w:after="80"/>
      </w:pPr>
      <w:r>
        <w:t>§ 7. Prawa autorskie</w:t>
      </w:r>
    </w:p>
    <w:p>
      <w:pPr>
        <w:spacing w:after="80" w:line="269" w:lineRule="auto"/>
      </w:pPr>
      <w:r>
        <w:rPr>
          <w:rFonts w:ascii="Aptos" w:hAnsi="Aptos"/>
          <w:sz w:val="21"/>
        </w:rPr>
        <w:t>1. Z chwilą łącznego spełnienia dwóch warunków: (a) odbioru Dzieła przez Zamawiającego oraz (b) zapłaty całości wynagrodzenia, Wykonawca przenosi na Zamawiającego autorskie prawa majątkowe do elementów wykonanych przez Wykonawcę w ramach niniejszej umowy, w szczególności do projektu graficznego, układu strony, tekstów przygotowanych przez Wykonawcę oraz kodu źródłowego strony.</w:t>
      </w:r>
    </w:p>
    <w:p>
      <w:pPr>
        <w:spacing w:after="80" w:line="269" w:lineRule="auto"/>
      </w:pPr>
      <w:r>
        <w:rPr>
          <w:rFonts w:ascii="Aptos" w:hAnsi="Aptos"/>
          <w:sz w:val="21"/>
        </w:rPr>
        <w:t>2. Przeniesienie praw następuje bez ograniczeń terytorialnych, na następujących polach eksploatacji znanych w chwili zawarcia umowy: utrwalanie i zwielokrotnianie dowolną techniką, wprowadzanie do pamięci komputera, serwera i hostingu, publiczne udostępnianie w Internecie, publikowanie i wykorzystywanie w działalności Zamawiającego, dokonywanie zmian, aktualizacji, adaptacji, tłumaczeń oraz korzystanie z opracowań i rozporządzanie nimi.</w:t>
      </w:r>
    </w:p>
    <w:p>
      <w:pPr>
        <w:spacing w:after="80" w:line="269" w:lineRule="auto"/>
      </w:pPr>
      <w:r>
        <w:rPr>
          <w:rFonts w:ascii="Aptos" w:hAnsi="Aptos"/>
          <w:sz w:val="21"/>
        </w:rPr>
        <w:t>3. Przeniesienie praw obejmuje wyłącznie elementy stworzone przez Wykonawcę w ramach tej umowy. Nie obejmuje materiałów dostarczonych przez Zamawiającego ani elementów osób trzecich, w tym fontów, zdjęć stockowych, bibliotek, map, skryptów, narzędzi lub usług działających na podstawie odrębnych licencji.</w:t>
      </w:r>
    </w:p>
    <w:p>
      <w:pPr>
        <w:spacing w:after="80" w:line="269" w:lineRule="auto"/>
      </w:pPr>
      <w:r>
        <w:rPr>
          <w:rFonts w:ascii="Aptos" w:hAnsi="Aptos"/>
          <w:sz w:val="21"/>
        </w:rPr>
        <w:t>4. Do czasu zapłaty całości wynagrodzenia Zamawiający może korzystać z Dzieła wyłącznie w celu testów, weryfikacji i odbioru.</w:t>
      </w:r>
    </w:p>
    <w:p>
      <w:pPr>
        <w:spacing w:after="80" w:line="269" w:lineRule="auto"/>
      </w:pPr>
      <w:r>
        <w:rPr>
          <w:rFonts w:ascii="Aptos" w:hAnsi="Aptos"/>
          <w:sz w:val="21"/>
        </w:rPr>
        <w:t>5. Zamawiający wyraża zgodę na zamieszczenie przez Wykonawcę dyskretnej informacji o autorstwie w stopce strony oraz na prezentację zrealizowanego projektu w portfolio Wykonawcy, chyba że Strony postanowią inaczej na piśmie.</w:t>
      </w:r>
    </w:p>
    <w:p>
      <w:pPr>
        <w:pStyle w:val="HeadingBlue"/>
        <w:spacing w:before="160" w:after="80"/>
      </w:pPr>
      <w:r>
        <w:t>§ 8. Hosting, publikacja i wsparcie po odbiorze</w:t>
      </w:r>
    </w:p>
    <w:p>
      <w:pPr>
        <w:spacing w:after="80" w:line="269" w:lineRule="auto"/>
      </w:pPr>
      <w:r>
        <w:rPr>
          <w:rFonts w:ascii="Aptos" w:hAnsi="Aptos"/>
          <w:sz w:val="21"/>
        </w:rPr>
        <w:t>1. Koszty domeny, hostingu, poczty e-mail oraz usług zewnętrznych niezbędnych do działania strony ponosi Zamawiający, chyba że Strony wyraźnie postanowią inaczej.</w:t>
      </w:r>
    </w:p>
    <w:p>
      <w:pPr>
        <w:spacing w:after="80" w:line="269" w:lineRule="auto"/>
      </w:pPr>
      <w:r>
        <w:rPr>
          <w:rFonts w:ascii="Aptos" w:hAnsi="Aptos"/>
          <w:sz w:val="21"/>
        </w:rPr>
        <w:t>2. Jednorazowe wdrożenie Strony na standardowym hostingu i podpięcie domeny dostarczonych przez Zamawiającego mieści się w zakresie umowy, o ile nie wymaga niestandardowych prac serwerowych ani zakupu dodatkowych usług.</w:t>
      </w:r>
    </w:p>
    <w:p>
      <w:pPr>
        <w:spacing w:after="80" w:line="269" w:lineRule="auto"/>
      </w:pPr>
      <w:r>
        <w:rPr>
          <w:rFonts w:ascii="Aptos" w:hAnsi="Aptos"/>
          <w:sz w:val="21"/>
        </w:rPr>
        <w:t>3. W terminie 14 dni od odbioru Wykonawca usunie bez dodatkowego wynagrodzenia błędy powodujące niezgodność Strony z umową, zgłoszone przez Zamawiającego w formie dokumentowej. Nie dotyczy to nowych funkcji, zmian treści, zmian estetycznych ani ingerencji osób trzecich.</w:t>
      </w:r>
    </w:p>
    <w:p>
      <w:pPr>
        <w:spacing w:after="80" w:line="269" w:lineRule="auto"/>
      </w:pPr>
      <w:r>
        <w:rPr>
          <w:rFonts w:ascii="Aptos" w:hAnsi="Aptos"/>
          <w:sz w:val="21"/>
        </w:rPr>
        <w:t>4. Stała opieka techniczna, dalszy rozwój strony i późniejsze aktualizacje nie są objęte niniejszą umową, chyba że Strony zawrą odrębne porozumienie.</w:t>
      </w:r>
    </w:p>
    <w:p>
      <w:pPr>
        <w:pStyle w:val="HeadingBlue"/>
        <w:spacing w:before="160" w:after="80"/>
      </w:pPr>
      <w:r>
        <w:t>§ 9. Forma zawarcia i podpisania umowy</w:t>
      </w:r>
    </w:p>
    <w:p>
      <w:pPr>
        <w:spacing w:after="80" w:line="269" w:lineRule="auto"/>
      </w:pPr>
      <w:r>
        <w:rPr>
          <w:rFonts w:ascii="Aptos" w:hAnsi="Aptos"/>
          <w:sz w:val="21"/>
        </w:rPr>
        <w:t>1. W zakresie, w jakim umowa obejmuje przeniesienie autorskich praw majątkowych, wymaga ona zachowania formy pisemnej pod rygorem nieważności.</w:t>
      </w:r>
    </w:p>
    <w:p>
      <w:pPr>
        <w:spacing w:after="80" w:line="269" w:lineRule="auto"/>
      </w:pPr>
      <w:r>
        <w:t>2. Dla zachowania formy pisemnej każda ze Stron powinna złożyć własnoręczny podpis na egzemplarzu umowy obejmującym treść jej oświadczenia woli. Dopuszczalna jest także wymiana podpisanych egzemplarzy umowy między Stronami. Równoważne z formą pisemną jest podpisanie umowy przez obie Strony kwalifikowanym podpisem elektronicznym.</w:t>
      </w:r>
    </w:p>
    <w:p>
      <w:pPr>
        <w:spacing w:after="80" w:line="269" w:lineRule="auto"/>
      </w:pPr>
      <w:r>
        <w:t>3. Skan lub plik PDF podpisanej umowy może służyć do potwierdzenia ustaleń organizacyjnych, jednak nie zastępuje formy pisemnej w zakresie przeniesienia autorskich praw majątkowych, chyba że dokument został podpisany przez obie Strony kwalifikowanym podpisem elektronicznym.</w:t>
      </w:r>
    </w:p>
    <w:p>
      <w:pPr>
        <w:pStyle w:val="HeadingBlue"/>
        <w:spacing w:before="160" w:after="80"/>
      </w:pPr>
      <w:r>
        <w:t>§ 10. Postanowienia końcowe</w:t>
      </w:r>
    </w:p>
    <w:p>
      <w:pPr>
        <w:spacing w:after="80" w:line="269" w:lineRule="auto"/>
      </w:pPr>
      <w:r>
        <w:t>1. Załącznik nr 1 (Zakres projektu) stanowi integralną część niniejszej umowy.</w:t>
      </w:r>
    </w:p>
    <w:p>
      <w:pPr>
        <w:spacing w:after="80" w:line="269" w:lineRule="auto"/>
      </w:pPr>
      <w:r>
        <w:rPr>
          <w:rFonts w:ascii="Aptos" w:hAnsi="Aptos"/>
          <w:sz w:val="21"/>
        </w:rPr>
        <w:t>2. Zmiany umowy wymagają co najmniej formy dokumentowej, a w zakresie zmian dotyczących przeniesienia autorskich praw majątkowych — formy pisemnej albo elektronicznej opatrzonej kwalifikowanym podpisem elektronicznym.</w:t>
      </w:r>
    </w:p>
    <w:p>
      <w:pPr>
        <w:spacing w:after="80" w:line="269" w:lineRule="auto"/>
      </w:pPr>
      <w:r>
        <w:t>3. W sprawach nieuregulowanych niniejszą umową zastosowanie mają przepisy Kodeksu cywilnego oraz ustawy o prawie autorskim i prawach pokrewnych.</w:t>
      </w:r>
    </w:p>
    <w:p>
      <w:pPr>
        <w:spacing w:after="80" w:line="269" w:lineRule="auto"/>
      </w:pPr>
      <w:r>
        <w:rPr>
          <w:rFonts w:ascii="Aptos" w:hAnsi="Aptos"/>
          <w:sz w:val="21"/>
        </w:rPr>
        <w:t>4. Strony zobowiązują się dążyć do polubownego rozwiązania sporu, a w razie braku porozumienia spór rozstrzyga sąd właściwy zgodnie z przepisami prawa powszechnie obowiązującego.</w:t>
      </w:r>
    </w:p>
    <w:p>
      <w:pPr>
        <w:spacing w:after="80" w:line="269" w:lineRule="auto"/>
      </w:pPr>
      <w:r>
        <w:rPr>
          <w:rFonts w:ascii="Aptos" w:hAnsi="Aptos"/>
          <w:sz w:val="21"/>
        </w:rPr>
        <w:t>5. Umowę sporządzono w dwóch jednobrzmiących egzemplarzach, po jednym dla każdej ze Stron, albo podpisano w formie elektronicznej zgodnej z § 9.</w:t>
      </w:r>
    </w:p>
    <w:p/>
    <w:tbl>
      <w:tblPr>
        <w:tblW w:type="auto" w:w="0"/>
        <w:jc w:val="center"/>
        <w:tblLayout w:type="fixed"/>
        <w:tblLook w:firstColumn="1" w:firstRow="1" w:lastColumn="0" w:lastRow="0" w:noHBand="0" w:noVBand="1" w:val="04A0"/>
      </w:tblPr>
      <w:tblGrid>
        <w:gridCol w:w="4252"/>
        <w:gridCol w:w="4252"/>
      </w:tblGrid>
      <w:tr>
        <w:trPr>
          <w:trHeight w:val="567"/>
        </w:trPr>
        <w:tc>
          <w:tcPr>
            <w:tcW w:type="dxa" w:w="4929"/>
            <w:tcBorders>
              <w:left w:val="nil"/>
              <w:top w:val="nil"/>
              <w:right w:val="nil"/>
              <w:bottom w:val="nil"/>
            </w:tcBorders>
            <w:vAlign w:val="center"/>
          </w:tcPr>
          <w:p>
            <w:pPr>
              <w:spacing w:after="40"/>
              <w:jc w:val="center"/>
            </w:pPr>
            <w:r>
              <w:rPr>
                <w:rFonts w:ascii="Aptos" w:hAnsi="Aptos"/>
                <w:sz w:val="20"/>
              </w:rPr>
              <w:br/>
              <w:t>........................................................</w:t>
              <w:br/>
              <w:t>WYKONAWCA</w:t>
            </w:r>
          </w:p>
        </w:tc>
        <w:tc>
          <w:tcPr>
            <w:tcW w:type="dxa" w:w="4929"/>
            <w:tcBorders>
              <w:left w:val="nil"/>
              <w:top w:val="nil"/>
              <w:right w:val="nil"/>
              <w:bottom w:val="nil"/>
            </w:tcBorders>
            <w:vAlign w:val="center"/>
          </w:tcPr>
          <w:p>
            <w:pPr>
              <w:spacing w:after="40"/>
              <w:jc w:val="center"/>
            </w:pPr>
            <w:r>
              <w:rPr>
                <w:rFonts w:ascii="Aptos" w:hAnsi="Aptos"/>
                <w:sz w:val="20"/>
              </w:rPr>
              <w:br/>
              <w:t>........................................................</w:t>
              <w:br/>
              <w:t>ZAMAWIAJĄCY</w:t>
            </w:r>
          </w:p>
        </w:tc>
      </w:tr>
      <w:tr>
        <w:trPr>
          <w:trHeight w:val="567"/>
        </w:trPr>
        <w:tc>
          <w:tcPr>
            <w:tcW w:type="dxa" w:w="4929"/>
            <w:tcBorders>
              <w:left w:val="nil"/>
              <w:top w:val="nil"/>
              <w:right w:val="nil"/>
              <w:bottom w:val="nil"/>
            </w:tcBorders>
            <w:vAlign w:val="center"/>
          </w:tcPr>
          <w:p>
            <w:pPr>
              <w:spacing w:after="40"/>
              <w:jc w:val="center"/>
            </w:pPr>
            <w:r>
              <w:rPr>
                <w:rFonts w:ascii="Aptos" w:hAnsi="Aptos"/>
                <w:sz w:val="20"/>
              </w:rPr>
              <w:t>data i podpis</w:t>
            </w:r>
          </w:p>
        </w:tc>
        <w:tc>
          <w:tcPr>
            <w:tcW w:type="dxa" w:w="4929"/>
            <w:tcBorders>
              <w:left w:val="nil"/>
              <w:top w:val="nil"/>
              <w:right w:val="nil"/>
              <w:bottom w:val="nil"/>
            </w:tcBorders>
            <w:vAlign w:val="center"/>
          </w:tcPr>
          <w:p>
            <w:pPr>
              <w:spacing w:after="40"/>
              <w:jc w:val="center"/>
            </w:pPr>
            <w:r>
              <w:rPr>
                <w:rFonts w:ascii="Aptos" w:hAnsi="Aptos"/>
                <w:sz w:val="20"/>
              </w:rPr>
              <w:t>data i podpis</w:t>
            </w:r>
          </w:p>
        </w:tc>
      </w:tr>
    </w:tbl>
    <w:p>
      <w:r>
        <w:br w:type="page"/>
      </w:r>
    </w:p>
    <w:p>
      <w:pPr>
        <w:pStyle w:val="TitleBlue"/>
        <w:spacing w:after="0"/>
        <w:jc w:val="center"/>
      </w:pPr>
      <w:r>
        <w:rPr>
          <w:b/>
        </w:rPr>
        <w:t>ZAŁĄCZNIK NR 1</w:t>
      </w:r>
    </w:p>
    <w:p>
      <w:pPr>
        <w:spacing w:after="200"/>
        <w:jc w:val="center"/>
      </w:pPr>
      <w:r>
        <w:rPr>
          <w:rFonts w:ascii="Aptos Display" w:hAnsi="Aptos Display"/>
          <w:b/>
          <w:sz w:val="24"/>
        </w:rPr>
        <w:t>Zakres projektu i opis Dzieła</w:t>
      </w:r>
    </w:p>
    <w:tbl>
      <w:tblPr>
        <w:tblW w:type="auto" w:w="0"/>
        <w:tblLook w:firstColumn="1" w:firstRow="1" w:lastColumn="0" w:lastRow="0" w:noHBand="0" w:noVBand="1" w:val="04A0"/>
      </w:tblPr>
      <w:tblGrid>
        <w:gridCol w:w="9858"/>
      </w:tblGrid>
      <w:tr>
        <w:tc>
          <w:tcPr>
            <w:tcW w:type="dxa" w:w="9858"/>
            <w:shd w:fill="F8FAFC"/>
            <w:tcBorders>
              <w:left w:val="single" w:sz="6" w:color="D0D5DD"/>
              <w:top w:val="single" w:sz="6" w:color="D0D5DD"/>
              <w:right w:val="single" w:sz="6" w:color="D0D5DD"/>
              <w:bottom w:val="single" w:sz="6" w:color="D0D5DD"/>
            </w:tcBorders>
          </w:tcPr>
          <w:p>
            <w:pPr>
              <w:spacing w:after="0"/>
            </w:pPr>
            <w:r>
              <w:rPr>
                <w:rFonts w:ascii="Aptos" w:hAnsi="Aptos"/>
                <w:b/>
                <w:sz w:val="21"/>
              </w:rPr>
              <w:t xml:space="preserve">Cel strony: </w:t>
            </w:r>
            <w:r>
              <w:rPr>
                <w:rFonts w:ascii="Aptos" w:hAnsi="Aptos"/>
                <w:sz w:val="21"/>
              </w:rPr>
              <w:t>nowoczesna, estetyczna i czytelna strona wizytówka typu one-page dla DMsolutions, prezentująca ofertę, budująca zaufanie i zachęcająca do kontaktu w sprawie pomiaru lub wyceny.</w:t>
            </w:r>
          </w:p>
        </w:tc>
      </w:tr>
    </w:tbl>
    <w:p>
      <w:pPr>
        <w:spacing w:after="40"/>
      </w:pPr>
    </w:p>
    <w:p>
      <w:pPr>
        <w:pStyle w:val="HeadingBlue"/>
        <w:spacing w:before="160" w:after="40"/>
      </w:pPr>
      <w:r>
        <w:t>1. Format i kierunek wizualny</w:t>
      </w:r>
    </w:p>
    <w:p>
      <w:pPr>
        <w:pStyle w:val="ListBullet"/>
        <w:spacing w:after="40" w:line="259" w:lineRule="auto"/>
      </w:pPr>
      <w:r>
        <w:rPr>
          <w:rFonts w:ascii="Aptos" w:hAnsi="Aptos"/>
          <w:sz w:val="21"/>
        </w:rPr>
        <w:t>Strona jest realizowana jako wizytówka one-page w języku polskim.</w:t>
      </w:r>
    </w:p>
    <w:p>
      <w:pPr>
        <w:pStyle w:val="ListBullet"/>
        <w:spacing w:after="40" w:line="259" w:lineRule="auto"/>
      </w:pPr>
      <w:r>
        <w:t>Kierunek wizualny: nowoczesny, uporządkowany i estetyczny, z dużą dbałością o typografię, światło, tła, głębię i subtelne animacje. Strony nie projektuje się jako ciężkiej animacji ani jako efektu książki sterującego całą nawigacją.</w:t>
      </w:r>
    </w:p>
    <w:p>
      <w:pPr>
        <w:pStyle w:val="ListBullet"/>
        <w:spacing w:after="40" w:line="259" w:lineRule="auto"/>
      </w:pPr>
      <w:r>
        <w:t>Efekty ruchu i przejścia mają mieć charakter delikatny i nie mogą pogarszać czytelności, szybkości działania ani wygody korzystania ze strony na urządzeniach mobilnych.</w:t>
      </w:r>
    </w:p>
    <w:p>
      <w:pPr>
        <w:pStyle w:val="HeadingBlue"/>
        <w:spacing w:before="160" w:after="40"/>
      </w:pPr>
      <w:r>
        <w:t>2. Plan sekcji w wersji podstawowej</w:t>
      </w:r>
    </w:p>
    <w:p>
      <w:pPr>
        <w:pStyle w:val="ListBullet"/>
        <w:spacing w:after="40" w:line="259" w:lineRule="auto"/>
      </w:pPr>
      <w:r>
        <w:t>1) Sekcja otwierająca — nagłówek, krótkie przedstawienie oferty, główne wezwanie do kontaktu, obszar działania oraz warstwa wizualna otwierająca stronę.</w:t>
      </w:r>
    </w:p>
    <w:p>
      <w:pPr>
        <w:pStyle w:val="ListBullet"/>
        <w:spacing w:after="40" w:line="259" w:lineRule="auto"/>
      </w:pPr>
      <w:r>
        <w:rPr>
          <w:rFonts w:ascii="Aptos" w:hAnsi="Aptos"/>
          <w:sz w:val="21"/>
        </w:rPr>
        <w:t>2) Oferta — prezentacja głównych kategorii usług (np. rolety, żaluzje, plisy, moskitiery) w uporządkowany sposób.</w:t>
      </w:r>
    </w:p>
    <w:p>
      <w:pPr>
        <w:pStyle w:val="ListBullet"/>
        <w:spacing w:after="40" w:line="259" w:lineRule="auto"/>
      </w:pPr>
      <w:r>
        <w:t>3) Jak wygląda współpraca — prosty opis procesu: kontakt, pomiar albo doradztwo, dobór rozwiązania, realizacja.</w:t>
      </w:r>
    </w:p>
    <w:p>
      <w:pPr>
        <w:pStyle w:val="ListBullet"/>
        <w:spacing w:after="40" w:line="259" w:lineRule="auto"/>
      </w:pPr>
      <w:r>
        <w:rPr>
          <w:rFonts w:ascii="Aptos" w:hAnsi="Aptos"/>
          <w:sz w:val="21"/>
        </w:rPr>
        <w:t>4) Dlaczego warto nam zaufać — przewagi, podejście do klienta, lokalność, zdjęcia, ewentualne informacje o współpracy z dostawcą.</w:t>
      </w:r>
    </w:p>
    <w:p>
      <w:pPr>
        <w:pStyle w:val="ListBullet"/>
        <w:spacing w:after="40" w:line="259" w:lineRule="auto"/>
      </w:pPr>
      <w:r>
        <w:t>5) Kontakt — telefon, adres e-mail, formularz kontaktowy, mapa albo wskazanie obszaru działania oraz końcowe wezwanie do kontaktu.</w:t>
      </w:r>
    </w:p>
    <w:p>
      <w:pPr>
        <w:pStyle w:val="HeadingBlue"/>
        <w:spacing w:before="160" w:after="40"/>
      </w:pPr>
      <w:r>
        <w:t>3. Elementy techniczne w cenie</w:t>
      </w:r>
    </w:p>
    <w:p>
      <w:pPr>
        <w:pStyle w:val="ListBullet"/>
        <w:spacing w:after="40" w:line="259" w:lineRule="auto"/>
      </w:pPr>
      <w:r>
        <w:t>Projekt graficzny i wdrożenie strony.</w:t>
      </w:r>
    </w:p>
    <w:p>
      <w:pPr>
        <w:pStyle w:val="ListBullet"/>
        <w:spacing w:after="40" w:line="259" w:lineRule="auto"/>
      </w:pPr>
      <w:r>
        <w:rPr>
          <w:rFonts w:ascii="Aptos" w:hAnsi="Aptos"/>
          <w:sz w:val="21"/>
        </w:rPr>
        <w:t>Responsywność (telefon, tablet, komputer).</w:t>
      </w:r>
    </w:p>
    <w:p>
      <w:pPr>
        <w:pStyle w:val="ListBullet"/>
        <w:spacing w:after="40" w:line="259" w:lineRule="auto"/>
      </w:pPr>
      <w:r>
        <w:rPr>
          <w:rFonts w:ascii="Aptos" w:hAnsi="Aptos"/>
          <w:sz w:val="21"/>
        </w:rPr>
        <w:t>Formularz kontaktowy.</w:t>
      </w:r>
    </w:p>
    <w:p>
      <w:pPr>
        <w:pStyle w:val="ListBullet"/>
        <w:spacing w:after="40" w:line="259" w:lineRule="auto"/>
      </w:pPr>
      <w:r>
        <w:t>Osadzenie Google Maps albo wizualne wskazanie obszaru działania.</w:t>
      </w:r>
    </w:p>
    <w:p>
      <w:pPr>
        <w:pStyle w:val="ListBullet"/>
        <w:spacing w:after="40" w:line="259" w:lineRule="auto"/>
      </w:pPr>
      <w:r>
        <w:rPr>
          <w:rFonts w:ascii="Aptos" w:hAnsi="Aptos"/>
          <w:sz w:val="21"/>
        </w:rPr>
        <w:t>Podstawowa konfiguracja Google Analytics po udostępnieniu wymaganych dostępów przez Zamawiającego.</w:t>
      </w:r>
    </w:p>
    <w:p>
      <w:pPr>
        <w:pStyle w:val="ListBullet"/>
        <w:spacing w:after="40" w:line="259" w:lineRule="auto"/>
      </w:pPr>
      <w:r>
        <w:t>Podstawowe SEO strony: struktura nagłówków, tytuł strony, opis meta, podstawowe opisy alternatywne i uporządkowanie treści.</w:t>
      </w:r>
    </w:p>
    <w:p>
      <w:pPr>
        <w:pStyle w:val="ListBullet"/>
        <w:spacing w:after="40" w:line="259" w:lineRule="auto"/>
      </w:pPr>
      <w:r>
        <w:rPr>
          <w:rFonts w:ascii="Aptos" w:hAnsi="Aptos"/>
          <w:sz w:val="21"/>
        </w:rPr>
        <w:t>Dwie tury poprawek mieszczących się w zakresie umowy.</w:t>
      </w:r>
    </w:p>
    <w:p>
      <w:pPr>
        <w:pStyle w:val="HeadingBlue"/>
        <w:spacing w:before="160" w:after="40"/>
      </w:pPr>
      <w:r>
        <w:t>4. Materiały po stronie Zamawiającego</w:t>
      </w:r>
    </w:p>
    <w:p>
      <w:pPr>
        <w:pStyle w:val="ListBullet"/>
        <w:spacing w:after="40" w:line="259" w:lineRule="auto"/>
      </w:pPr>
      <w:r>
        <w:rPr>
          <w:rFonts w:ascii="Aptos" w:hAnsi="Aptos"/>
          <w:sz w:val="21"/>
        </w:rPr>
        <w:t>logo w dobrej jakości (najlepiej plik wektorowy lub PNG/SVG),</w:t>
      </w:r>
    </w:p>
    <w:p>
      <w:pPr>
        <w:pStyle w:val="ListBullet"/>
        <w:spacing w:after="40" w:line="259" w:lineRule="auto"/>
      </w:pPr>
      <w:r>
        <w:rPr>
          <w:rFonts w:ascii="Aptos" w:hAnsi="Aptos"/>
          <w:sz w:val="21"/>
        </w:rPr>
        <w:t>zdjęcia własne lub materiały, do których Zamawiający ma prawa,</w:t>
      </w:r>
    </w:p>
    <w:p>
      <w:pPr>
        <w:pStyle w:val="ListBullet"/>
        <w:spacing w:after="40" w:line="259" w:lineRule="auto"/>
      </w:pPr>
      <w:r>
        <w:rPr>
          <w:rFonts w:ascii="Aptos" w:hAnsi="Aptos"/>
          <w:sz w:val="21"/>
        </w:rPr>
        <w:t>ostateczne dane kontaktowe, obszar działania i ewentualne dane firmowe do publikacji,</w:t>
      </w:r>
    </w:p>
    <w:p>
      <w:pPr>
        <w:pStyle w:val="ListBullet"/>
        <w:spacing w:after="40" w:line="259" w:lineRule="auto"/>
      </w:pPr>
      <w:r>
        <w:rPr>
          <w:rFonts w:ascii="Aptos" w:hAnsi="Aptos"/>
          <w:sz w:val="21"/>
        </w:rPr>
        <w:t>lista usług i krótkie informacje potrzebne do przygotowania treści,</w:t>
      </w:r>
    </w:p>
    <w:p>
      <w:pPr>
        <w:pStyle w:val="ListBullet"/>
        <w:spacing w:after="40" w:line="259" w:lineRule="auto"/>
      </w:pPr>
      <w:r>
        <w:rPr>
          <w:rFonts w:ascii="Aptos" w:hAnsi="Aptos"/>
          <w:sz w:val="21"/>
        </w:rPr>
        <w:t>w razie potrzeby: dostęp do domeny, hostingu i narzędzi Google.</w:t>
      </w:r>
    </w:p>
    <w:p>
      <w:pPr>
        <w:pStyle w:val="HeadingBlue"/>
        <w:spacing w:before="160" w:after="40"/>
      </w:pPr>
      <w:r>
        <w:t>5. Poza zakresem wersji podstawowej</w:t>
      </w:r>
    </w:p>
    <w:p>
      <w:pPr>
        <w:pStyle w:val="ListBullet"/>
        <w:spacing w:after="40" w:line="259" w:lineRule="auto"/>
      </w:pPr>
      <w:r>
        <w:rPr>
          <w:rFonts w:ascii="Aptos" w:hAnsi="Aptos"/>
          <w:sz w:val="21"/>
        </w:rPr>
        <w:t>blog lub panel CMS,</w:t>
      </w:r>
    </w:p>
    <w:p>
      <w:pPr>
        <w:pStyle w:val="ListBullet"/>
        <w:spacing w:after="40" w:line="259" w:lineRule="auto"/>
      </w:pPr>
      <w:r>
        <w:rPr>
          <w:rFonts w:ascii="Aptos" w:hAnsi="Aptos"/>
          <w:sz w:val="21"/>
        </w:rPr>
        <w:t>dodatkowe wersje językowe,</w:t>
      </w:r>
    </w:p>
    <w:p>
      <w:pPr>
        <w:pStyle w:val="ListBullet"/>
        <w:spacing w:after="40" w:line="259" w:lineRule="auto"/>
      </w:pPr>
      <w:r>
        <w:rPr>
          <w:rFonts w:ascii="Aptos" w:hAnsi="Aptos"/>
          <w:sz w:val="21"/>
        </w:rPr>
        <w:t>dodatkowe sekcje ponad ustalony limit,</w:t>
      </w:r>
    </w:p>
    <w:p>
      <w:pPr>
        <w:pStyle w:val="ListBullet"/>
        <w:spacing w:after="40" w:line="259" w:lineRule="auto"/>
      </w:pPr>
      <w:r>
        <w:rPr>
          <w:rFonts w:ascii="Aptos" w:hAnsi="Aptos"/>
          <w:sz w:val="21"/>
        </w:rPr>
        <w:t>niestandardowe funkcje, integracje, konfiguratory i rozbudowane animacje,</w:t>
      </w:r>
    </w:p>
    <w:p>
      <w:pPr>
        <w:pStyle w:val="ListBullet"/>
        <w:spacing w:after="40" w:line="259" w:lineRule="auto"/>
      </w:pPr>
      <w:r>
        <w:rPr>
          <w:rFonts w:ascii="Aptos" w:hAnsi="Aptos"/>
          <w:sz w:val="21"/>
        </w:rPr>
        <w:t>stała opieka techniczna po odbiorze.</w:t>
      </w:r>
    </w:p>
    <w:p>
      <w:pPr>
        <w:pStyle w:val="HeadingBlue"/>
        <w:spacing w:before="160" w:after="40"/>
      </w:pPr>
      <w:r>
        <w:t>6. Uwagi praktyczne</w:t>
      </w:r>
    </w:p>
    <w:p>
      <w:pPr>
        <w:pStyle w:val="ListBullet"/>
        <w:spacing w:after="40" w:line="259" w:lineRule="auto"/>
      </w:pPr>
      <w:r>
        <w:t>Finalne nazwy sekcji, kolejność bloków i treść wezwań do kontaktu mogą zostać dopracowane w trakcie projektu bez zmiany charakteru i ceny Dzieła, o ile nie zwiększają zakresu prac.</w:t>
      </w:r>
    </w:p>
    <w:p>
      <w:pPr>
        <w:pStyle w:val="ListBullet"/>
        <w:spacing w:after="40" w:line="259" w:lineRule="auto"/>
      </w:pPr>
      <w:r>
        <w:rPr>
          <w:rFonts w:ascii="Aptos" w:hAnsi="Aptos"/>
          <w:sz w:val="21"/>
        </w:rPr>
        <w:t>Jeżeli przed publikacją okaże się, że konieczne jest dodanie obowiązkowych danych firmowych, polityki prywatności, zgód formularza albo innych informacji prawnych zależnych od modelu działalności Zamawiającego, Zamawiający dostarczy te informacje przed uruchomieniem strony.</w:t>
      </w:r>
    </w:p>
    <w:p>
      <w:r>
        <w:br w:type="page"/>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ue">
    <w:name w:val="TitleBlue"/>
    <w:rPr>
      <w:rFonts w:ascii="Aptos Display" w:hAnsi="Aptos Display"/>
      <w:b/>
      <w:color w:val="184E77"/>
      <w:sz w:val="40"/>
    </w:rPr>
  </w:style>
  <w:style w:type="paragraph" w:customStyle="1" w:styleId="HeadingBlue">
    <w:name w:val="HeadingBlue"/>
    <w:rPr>
      <w:rFonts w:ascii="Aptos Display" w:hAnsi="Aptos Display"/>
      <w:b/>
      <w:color w:val="184E77"/>
      <w:sz w:val="25"/>
    </w:rPr>
  </w:style>
  <w:style w:type="paragraph" w:customStyle="1" w:styleId="SmallMuted">
    <w:name w:val="SmallMuted"/>
    <w:rPr>
      <w:rFonts w:ascii="Aptos" w:hAnsi="Aptos"/>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