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027BDB">
      <w:pPr>
        <w:widowControl/>
        <w:rPr>
          <w:rStyle w:val="15"/>
          <w:rFonts w:hint="eastAsia" w:ascii="宋体" w:hAnsi="宋体"/>
          <w:sz w:val="52"/>
          <w:szCs w:val="52"/>
        </w:rPr>
      </w:pPr>
    </w:p>
    <w:p w14:paraId="14C52D72">
      <w:pPr>
        <w:adjustRightInd w:val="0"/>
        <w:snapToGrid w:val="0"/>
        <w:spacing w:line="800" w:lineRule="exact"/>
        <w:jc w:val="center"/>
        <w:rPr>
          <w:rFonts w:hint="eastAsia" w:ascii="方正小标宋简体" w:hAnsi="宋体" w:eastAsia="方正小标宋简体"/>
          <w:b/>
          <w:bCs/>
          <w:sz w:val="48"/>
          <w:szCs w:val="48"/>
        </w:rPr>
      </w:pPr>
      <w:r>
        <w:rPr>
          <w:rFonts w:hint="eastAsia" w:ascii="方正小标宋简体" w:hAnsi="宋体" w:eastAsia="方正小标宋简体"/>
          <w:b/>
          <w:bCs/>
          <w:sz w:val="48"/>
          <w:szCs w:val="48"/>
        </w:rPr>
        <w:t>第</w:t>
      </w:r>
      <w:r>
        <w:rPr>
          <w:rFonts w:hint="eastAsia" w:ascii="方正小标宋简体" w:hAnsi="宋体" w:eastAsia="方正小标宋简体"/>
          <w:b/>
          <w:bCs/>
          <w:sz w:val="48"/>
          <w:szCs w:val="48"/>
          <w:lang w:val="en-US" w:eastAsia="zh-CN"/>
        </w:rPr>
        <w:t>八</w:t>
      </w:r>
      <w:r>
        <w:rPr>
          <w:rFonts w:hint="eastAsia" w:ascii="方正小标宋简体" w:hAnsi="宋体" w:eastAsia="方正小标宋简体"/>
          <w:b/>
          <w:bCs/>
          <w:sz w:val="48"/>
          <w:szCs w:val="48"/>
        </w:rPr>
        <w:t>届全国大学生市政环境</w:t>
      </w:r>
    </w:p>
    <w:p w14:paraId="5B68116F">
      <w:pPr>
        <w:adjustRightInd w:val="0"/>
        <w:snapToGrid w:val="0"/>
        <w:spacing w:line="800" w:lineRule="exact"/>
        <w:jc w:val="center"/>
        <w:rPr>
          <w:rFonts w:hint="eastAsia" w:ascii="方正小标宋简体" w:hAnsi="宋体" w:eastAsia="方正小标宋简体"/>
          <w:b/>
          <w:bCs/>
          <w:sz w:val="48"/>
          <w:szCs w:val="48"/>
        </w:rPr>
      </w:pPr>
      <w:r>
        <w:rPr>
          <w:rFonts w:eastAsia="方正小标宋简体"/>
          <w:b/>
          <w:bCs/>
          <w:sz w:val="48"/>
          <w:szCs w:val="48"/>
        </w:rPr>
        <w:t>AI+</w:t>
      </w:r>
      <w:r>
        <w:rPr>
          <w:rFonts w:hint="eastAsia" w:ascii="方正小标宋简体" w:hAnsi="宋体" w:eastAsia="方正小标宋简体"/>
          <w:b/>
          <w:bCs/>
          <w:sz w:val="48"/>
          <w:szCs w:val="48"/>
        </w:rPr>
        <w:t>创新实践能力大赛-产业赛道</w:t>
      </w:r>
    </w:p>
    <w:p w14:paraId="0CA155BF">
      <w:pPr>
        <w:adjustRightInd w:val="0"/>
        <w:snapToGrid w:val="0"/>
        <w:spacing w:line="800" w:lineRule="exact"/>
        <w:jc w:val="center"/>
        <w:rPr>
          <w:rFonts w:ascii="方正小标宋简体" w:hAnsi="宋体" w:eastAsia="方正小标宋简体"/>
          <w:sz w:val="48"/>
          <w:szCs w:val="48"/>
        </w:rPr>
      </w:pPr>
      <w:r>
        <w:rPr>
          <w:rFonts w:hint="eastAsia" w:ascii="方正小标宋简体" w:hAnsi="宋体" w:eastAsia="方正小标宋简体"/>
          <w:b/>
          <w:bCs/>
          <w:sz w:val="48"/>
          <w:szCs w:val="48"/>
        </w:rPr>
        <w:t>技术报告</w:t>
      </w:r>
    </w:p>
    <w:p w14:paraId="21DD8821">
      <w:pPr>
        <w:rPr>
          <w:rFonts w:hint="eastAsia"/>
        </w:rPr>
      </w:pPr>
    </w:p>
    <w:p w14:paraId="0E587469">
      <w:pPr>
        <w:rPr>
          <w:rFonts w:hint="eastAsia"/>
        </w:rPr>
      </w:pPr>
    </w:p>
    <w:p w14:paraId="57708442">
      <w:pPr>
        <w:rPr>
          <w:rFonts w:hint="eastAsia"/>
        </w:rPr>
      </w:pPr>
    </w:p>
    <w:p w14:paraId="158245F9">
      <w:pPr>
        <w:rPr>
          <w:rFonts w:hint="eastAsia"/>
        </w:rPr>
      </w:pPr>
    </w:p>
    <w:p w14:paraId="1C9A6589">
      <w:pPr>
        <w:rPr>
          <w:rFonts w:hint="eastAsia"/>
        </w:rPr>
      </w:pPr>
    </w:p>
    <w:p w14:paraId="3FAC9361">
      <w:pPr>
        <w:adjustRightInd w:val="0"/>
        <w:snapToGrid w:val="0"/>
        <w:spacing w:line="360" w:lineRule="auto"/>
        <w:ind w:firstLine="641" w:firstLineChars="200"/>
        <w:jc w:val="left"/>
        <w:rPr>
          <w:rFonts w:ascii="楷体" w:hAnsi="楷体" w:eastAsia="楷体"/>
          <w:b/>
          <w:bCs/>
          <w:sz w:val="32"/>
          <w:szCs w:val="32"/>
          <w:u w:val="single"/>
        </w:rPr>
      </w:pPr>
      <w:r>
        <w:rPr>
          <w:rFonts w:hint="eastAsia" w:ascii="楷体" w:hAnsi="楷体" w:eastAsia="楷体"/>
          <w:b/>
          <w:bCs/>
          <w:sz w:val="32"/>
          <w:szCs w:val="32"/>
        </w:rPr>
        <w:t xml:space="preserve">主题名称 </w:t>
      </w:r>
      <w:r>
        <w:rPr>
          <w:rFonts w:hint="eastAsia" w:ascii="楷体" w:hAnsi="楷体" w:eastAsia="楷体"/>
          <w:b/>
          <w:bCs/>
          <w:sz w:val="32"/>
          <w:szCs w:val="32"/>
          <w:u w:val="single"/>
        </w:rPr>
        <w:t xml:space="preserve">       基于厂站网一体化的污水厂       </w:t>
      </w:r>
    </w:p>
    <w:p w14:paraId="41811AD9">
      <w:pPr>
        <w:adjustRightInd w:val="0"/>
        <w:snapToGrid w:val="0"/>
        <w:spacing w:line="360" w:lineRule="auto"/>
        <w:ind w:firstLine="2242" w:firstLineChars="700"/>
        <w:jc w:val="left"/>
        <w:rPr>
          <w:rFonts w:hint="eastAsia" w:ascii="楷体" w:hAnsi="楷体" w:eastAsia="楷体"/>
          <w:b/>
          <w:bCs/>
          <w:sz w:val="32"/>
          <w:szCs w:val="32"/>
        </w:rPr>
      </w:pPr>
      <w:r>
        <w:rPr>
          <w:rFonts w:hint="eastAsia" w:ascii="楷体" w:hAnsi="楷体" w:eastAsia="楷体"/>
          <w:b/>
          <w:bCs/>
          <w:sz w:val="32"/>
          <w:szCs w:val="32"/>
          <w:u w:val="single"/>
        </w:rPr>
        <w:t xml:space="preserve">  进厂水量水质超前感知与协同调控模型   </w:t>
      </w:r>
      <w:r>
        <w:rPr>
          <w:rFonts w:hint="eastAsia" w:ascii="楷体" w:hAnsi="楷体" w:eastAsia="楷体"/>
          <w:b/>
          <w:bCs/>
          <w:sz w:val="32"/>
          <w:szCs w:val="32"/>
        </w:rPr>
        <w:t xml:space="preserve">                                  </w:t>
      </w:r>
    </w:p>
    <w:p w14:paraId="45BC4DDF">
      <w:pPr>
        <w:adjustRightInd w:val="0"/>
        <w:snapToGrid w:val="0"/>
        <w:spacing w:line="360" w:lineRule="auto"/>
        <w:ind w:firstLine="641" w:firstLineChars="200"/>
        <w:jc w:val="left"/>
        <w:rPr>
          <w:rFonts w:ascii="楷体" w:hAnsi="楷体" w:eastAsia="楷体"/>
          <w:b/>
          <w:bCs/>
          <w:sz w:val="32"/>
          <w:szCs w:val="32"/>
          <w:u w:val="single"/>
        </w:rPr>
      </w:pPr>
      <w:r>
        <w:rPr>
          <w:rFonts w:hint="eastAsia" w:ascii="楷体" w:hAnsi="楷体" w:eastAsia="楷体"/>
          <w:b/>
          <w:bCs/>
          <w:sz w:val="32"/>
          <w:szCs w:val="32"/>
        </w:rPr>
        <w:t xml:space="preserve">项目名称 </w:t>
      </w:r>
      <w:r>
        <w:rPr>
          <w:rFonts w:hint="eastAsia" w:ascii="楷体" w:hAnsi="楷体" w:eastAsia="楷体"/>
          <w:b/>
          <w:bCs/>
          <w:sz w:val="32"/>
          <w:szCs w:val="32"/>
          <w:u w:val="single"/>
        </w:rPr>
        <w:t xml:space="preserve">       基于深度学习的水质预测与   </w:t>
      </w:r>
    </w:p>
    <w:p w14:paraId="29D4F89C">
      <w:pPr>
        <w:adjustRightInd w:val="0"/>
        <w:snapToGrid w:val="0"/>
        <w:spacing w:line="360" w:lineRule="auto"/>
        <w:ind w:firstLine="2242" w:firstLineChars="700"/>
        <w:jc w:val="left"/>
        <w:rPr>
          <w:rFonts w:hint="eastAsia" w:ascii="楷体" w:hAnsi="楷体" w:eastAsia="楷体"/>
          <w:b/>
          <w:bCs/>
          <w:sz w:val="32"/>
          <w:szCs w:val="32"/>
        </w:rPr>
      </w:pPr>
      <w:r>
        <w:rPr>
          <w:rFonts w:hint="eastAsia" w:ascii="楷体" w:hAnsi="楷体" w:eastAsia="楷体"/>
          <w:b/>
          <w:bCs/>
          <w:sz w:val="32"/>
          <w:szCs w:val="32"/>
          <w:u w:val="single"/>
        </w:rPr>
        <w:t xml:space="preserve">     精准曝气可视化平台搭建      </w:t>
      </w:r>
      <w:r>
        <w:rPr>
          <w:rFonts w:hint="eastAsia" w:ascii="楷体" w:hAnsi="楷体" w:eastAsia="楷体"/>
          <w:b/>
          <w:bCs/>
          <w:sz w:val="32"/>
          <w:szCs w:val="32"/>
        </w:rPr>
        <w:t xml:space="preserve"> </w:t>
      </w:r>
    </w:p>
    <w:p w14:paraId="23A56B24">
      <w:pPr>
        <w:adjustRightInd w:val="0"/>
        <w:snapToGrid w:val="0"/>
        <w:spacing w:line="360" w:lineRule="auto"/>
        <w:ind w:firstLine="641" w:firstLineChars="200"/>
        <w:jc w:val="left"/>
        <w:rPr>
          <w:rFonts w:hint="eastAsia" w:ascii="楷体" w:hAnsi="楷体" w:eastAsia="楷体"/>
          <w:b/>
          <w:bCs/>
          <w:sz w:val="32"/>
          <w:szCs w:val="32"/>
        </w:rPr>
      </w:pPr>
      <w:r>
        <w:rPr>
          <w:rFonts w:hint="eastAsia" w:ascii="楷体" w:hAnsi="楷体" w:eastAsia="楷体"/>
          <w:b/>
          <w:bCs/>
          <w:sz w:val="32"/>
          <w:szCs w:val="32"/>
        </w:rPr>
        <w:t xml:space="preserve">团队名称 </w:t>
      </w:r>
      <w:r>
        <w:rPr>
          <w:rFonts w:hint="eastAsia" w:ascii="楷体" w:hAnsi="楷体" w:eastAsia="楷体"/>
          <w:b/>
          <w:bCs/>
          <w:sz w:val="32"/>
          <w:szCs w:val="32"/>
          <w:u w:val="single"/>
        </w:rPr>
        <w:t xml:space="preserve">            </w:t>
      </w:r>
      <w:r>
        <w:rPr>
          <w:rFonts w:hint="eastAsia" w:ascii="楷体" w:hAnsi="楷体" w:eastAsia="楷体"/>
          <w:b/>
          <w:bCs/>
          <w:sz w:val="32"/>
          <w:szCs w:val="32"/>
          <w:u w:val="single"/>
          <w:lang w:val="en-US" w:eastAsia="zh-CN"/>
        </w:rPr>
        <w:t>水</w:t>
      </w:r>
      <w:r>
        <w:rPr>
          <w:rFonts w:hint="eastAsia" w:ascii="楷体" w:hAnsi="楷体" w:eastAsia="楷体"/>
          <w:b/>
          <w:bCs/>
          <w:sz w:val="32"/>
          <w:szCs w:val="32"/>
          <w:u w:val="single"/>
        </w:rPr>
        <w:t xml:space="preserve">沐团队              </w:t>
      </w:r>
      <w:r>
        <w:rPr>
          <w:rFonts w:hint="eastAsia" w:ascii="楷体" w:hAnsi="楷体" w:eastAsia="楷体"/>
          <w:b/>
          <w:bCs/>
          <w:sz w:val="32"/>
          <w:szCs w:val="32"/>
        </w:rPr>
        <w:t xml:space="preserve"> </w:t>
      </w:r>
    </w:p>
    <w:p w14:paraId="5AF1FBBA">
      <w:pPr>
        <w:adjustRightInd w:val="0"/>
        <w:snapToGrid w:val="0"/>
        <w:spacing w:line="360" w:lineRule="auto"/>
        <w:ind w:firstLine="641" w:firstLineChars="200"/>
        <w:jc w:val="left"/>
        <w:rPr>
          <w:rFonts w:hint="eastAsia" w:ascii="楷体" w:hAnsi="楷体" w:eastAsia="楷体"/>
          <w:b/>
          <w:bCs/>
          <w:sz w:val="32"/>
          <w:szCs w:val="32"/>
        </w:rPr>
      </w:pPr>
      <w:r>
        <w:rPr>
          <w:rFonts w:hint="eastAsia" w:ascii="楷体" w:hAnsi="楷体" w:eastAsia="楷体"/>
          <w:b/>
          <w:bCs/>
          <w:sz w:val="32"/>
          <w:szCs w:val="32"/>
        </w:rPr>
        <w:t xml:space="preserve">指导老师 </w:t>
      </w:r>
      <w:r>
        <w:rPr>
          <w:rFonts w:hint="eastAsia" w:ascii="楷体" w:hAnsi="楷体" w:eastAsia="楷体"/>
          <w:b/>
          <w:bCs/>
          <w:sz w:val="32"/>
          <w:szCs w:val="32"/>
          <w:u w:val="single"/>
        </w:rPr>
        <w:t xml:space="preserve">             黄源生               </w:t>
      </w:r>
      <w:r>
        <w:rPr>
          <w:rFonts w:hint="eastAsia" w:ascii="楷体" w:hAnsi="楷体" w:eastAsia="楷体"/>
          <w:b/>
          <w:bCs/>
          <w:sz w:val="32"/>
          <w:szCs w:val="32"/>
        </w:rPr>
        <w:t xml:space="preserve">                                                                                                        </w:t>
      </w:r>
    </w:p>
    <w:p w14:paraId="60BB40D6">
      <w:pPr>
        <w:adjustRightInd w:val="0"/>
        <w:snapToGrid w:val="0"/>
        <w:spacing w:line="360" w:lineRule="auto"/>
        <w:ind w:firstLine="641" w:firstLineChars="200"/>
        <w:jc w:val="left"/>
        <w:rPr>
          <w:rFonts w:hint="eastAsia" w:ascii="楷体" w:hAnsi="楷体" w:eastAsia="楷体"/>
          <w:b/>
          <w:bCs/>
          <w:sz w:val="32"/>
          <w:szCs w:val="32"/>
        </w:rPr>
      </w:pPr>
      <w:r>
        <w:rPr>
          <w:rFonts w:hint="eastAsia" w:ascii="楷体" w:hAnsi="楷体" w:eastAsia="楷体"/>
          <w:b/>
          <w:bCs/>
          <w:sz w:val="32"/>
          <w:szCs w:val="32"/>
        </w:rPr>
        <w:t>团队联系人</w:t>
      </w:r>
      <w:r>
        <w:rPr>
          <w:rFonts w:hint="eastAsia" w:ascii="楷体" w:hAnsi="楷体" w:eastAsia="楷体"/>
          <w:b/>
          <w:bCs/>
          <w:sz w:val="32"/>
          <w:szCs w:val="32"/>
          <w:u w:val="single"/>
        </w:rPr>
        <w:t xml:space="preserve">            </w:t>
      </w:r>
      <w:r>
        <w:rPr>
          <w:rFonts w:hint="eastAsia" w:ascii="楷体" w:hAnsi="楷体" w:eastAsia="楷体"/>
          <w:b/>
          <w:bCs/>
          <w:sz w:val="32"/>
          <w:szCs w:val="32"/>
          <w:u w:val="single"/>
          <w:lang w:val="en-US" w:eastAsia="zh-CN"/>
        </w:rPr>
        <w:t>吴锦涵</w:t>
      </w:r>
      <w:r>
        <w:rPr>
          <w:rFonts w:hint="eastAsia" w:ascii="楷体" w:hAnsi="楷体" w:eastAsia="楷体"/>
          <w:b/>
          <w:bCs/>
          <w:sz w:val="32"/>
          <w:szCs w:val="32"/>
          <w:u w:val="single"/>
        </w:rPr>
        <w:t xml:space="preserve">               </w:t>
      </w:r>
      <w:r>
        <w:rPr>
          <w:rFonts w:hint="eastAsia" w:ascii="楷体" w:hAnsi="楷体" w:eastAsia="楷体"/>
          <w:b/>
          <w:bCs/>
          <w:sz w:val="32"/>
          <w:szCs w:val="32"/>
        </w:rPr>
        <w:t xml:space="preserve">                                 </w:t>
      </w:r>
    </w:p>
    <w:p w14:paraId="0140CF81">
      <w:pPr>
        <w:adjustRightInd w:val="0"/>
        <w:snapToGrid w:val="0"/>
        <w:spacing w:line="360" w:lineRule="auto"/>
        <w:ind w:firstLine="641" w:firstLineChars="200"/>
        <w:jc w:val="left"/>
        <w:rPr>
          <w:rFonts w:hint="eastAsia" w:ascii="楷体" w:hAnsi="楷体" w:eastAsia="楷体"/>
          <w:b/>
          <w:bCs/>
          <w:sz w:val="32"/>
          <w:szCs w:val="32"/>
        </w:rPr>
      </w:pPr>
      <w:r>
        <w:rPr>
          <w:rFonts w:hint="eastAsia" w:ascii="楷体" w:hAnsi="楷体" w:eastAsia="楷体"/>
          <w:b/>
          <w:bCs/>
          <w:sz w:val="32"/>
          <w:szCs w:val="32"/>
        </w:rPr>
        <w:t xml:space="preserve">联系方式 </w:t>
      </w:r>
      <w:r>
        <w:rPr>
          <w:rFonts w:hint="eastAsia" w:ascii="楷体" w:hAnsi="楷体" w:eastAsia="楷体"/>
          <w:b/>
          <w:bCs/>
          <w:sz w:val="32"/>
          <w:szCs w:val="32"/>
          <w:u w:val="single"/>
        </w:rPr>
        <w:t xml:space="preserve">  </w:t>
      </w:r>
      <w:r>
        <w:rPr>
          <w:rFonts w:hint="eastAsia" w:ascii="楷体" w:hAnsi="楷体" w:eastAsia="楷体"/>
          <w:b/>
          <w:bCs/>
          <w:sz w:val="32"/>
          <w:szCs w:val="32"/>
          <w:u w:val="single"/>
          <w:lang w:val="en-US" w:eastAsia="zh-CN"/>
        </w:rPr>
        <w:t>13950534319</w:t>
      </w:r>
      <w:r>
        <w:rPr>
          <w:rFonts w:hint="eastAsia" w:ascii="楷体" w:hAnsi="楷体" w:eastAsia="楷体"/>
          <w:b/>
          <w:bCs/>
          <w:sz w:val="32"/>
          <w:szCs w:val="32"/>
          <w:u w:val="single"/>
        </w:rPr>
        <w:t xml:space="preserve"> </w:t>
      </w:r>
      <w:r>
        <w:rPr>
          <w:rFonts w:hint="default" w:ascii="楷体" w:hAnsi="楷体" w:eastAsia="楷体"/>
          <w:b/>
          <w:bCs/>
          <w:sz w:val="32"/>
          <w:szCs w:val="32"/>
          <w:u w:val="single"/>
          <w:lang w:val="en-US"/>
        </w:rPr>
        <w:t xml:space="preserve"> </w:t>
      </w:r>
      <w:r>
        <w:rPr>
          <w:rFonts w:hint="eastAsia" w:ascii="楷体" w:hAnsi="楷体" w:eastAsia="楷体"/>
          <w:b/>
          <w:bCs/>
          <w:sz w:val="32"/>
          <w:szCs w:val="32"/>
          <w:u w:val="single"/>
          <w:lang w:val="en-US" w:eastAsia="zh-CN"/>
        </w:rPr>
        <w:t>503206843@qq</w:t>
      </w:r>
      <w:r>
        <w:rPr>
          <w:rFonts w:hint="default" w:ascii="楷体" w:hAnsi="楷体" w:eastAsia="楷体"/>
          <w:b/>
          <w:bCs/>
          <w:sz w:val="32"/>
          <w:szCs w:val="32"/>
          <w:u w:val="single"/>
          <w:lang w:val="en-US" w:eastAsia="zh-CN"/>
        </w:rPr>
        <w:t>.com</w:t>
      </w:r>
      <w:r>
        <w:rPr>
          <w:rFonts w:hint="eastAsia" w:ascii="楷体" w:hAnsi="楷体" w:eastAsia="楷体"/>
          <w:b/>
          <w:bCs/>
          <w:sz w:val="32"/>
          <w:szCs w:val="32"/>
          <w:u w:val="single"/>
        </w:rPr>
        <w:t xml:space="preserve"> </w:t>
      </w:r>
      <w:r>
        <w:rPr>
          <w:rFonts w:hint="default" w:ascii="楷体" w:hAnsi="楷体" w:eastAsia="楷体"/>
          <w:b/>
          <w:bCs/>
          <w:sz w:val="32"/>
          <w:szCs w:val="32"/>
          <w:u w:val="single"/>
          <w:lang w:val="en-US"/>
        </w:rPr>
        <w:t xml:space="preserve"> </w:t>
      </w:r>
      <w:r>
        <w:rPr>
          <w:rFonts w:hint="eastAsia" w:ascii="楷体" w:hAnsi="楷体" w:eastAsia="楷体"/>
          <w:b/>
          <w:bCs/>
          <w:sz w:val="32"/>
          <w:szCs w:val="32"/>
        </w:rPr>
        <w:t xml:space="preserve">                                  </w:t>
      </w:r>
    </w:p>
    <w:p w14:paraId="3FAD782A">
      <w:pPr>
        <w:adjustRightInd w:val="0"/>
        <w:snapToGrid w:val="0"/>
        <w:spacing w:line="360" w:lineRule="auto"/>
        <w:ind w:firstLine="641" w:firstLineChars="200"/>
        <w:jc w:val="left"/>
        <w:rPr>
          <w:rFonts w:hint="eastAsia" w:ascii="楷体" w:hAnsi="楷体" w:eastAsia="楷体"/>
          <w:sz w:val="32"/>
          <w:szCs w:val="32"/>
        </w:rPr>
      </w:pPr>
      <w:r>
        <w:rPr>
          <w:rFonts w:hint="eastAsia" w:ascii="楷体" w:hAnsi="楷体" w:eastAsia="楷体"/>
          <w:b/>
          <w:bCs/>
          <w:sz w:val="32"/>
          <w:szCs w:val="32"/>
        </w:rPr>
        <w:t xml:space="preserve">申请单位 </w:t>
      </w:r>
      <w:r>
        <w:rPr>
          <w:rFonts w:hint="eastAsia" w:ascii="楷体" w:hAnsi="楷体" w:eastAsia="楷体"/>
          <w:b/>
          <w:bCs/>
          <w:sz w:val="32"/>
          <w:szCs w:val="32"/>
          <w:u w:val="single"/>
        </w:rPr>
        <w:t xml:space="preserve">     新疆大学生态与环境学院       </w:t>
      </w:r>
      <w:r>
        <w:rPr>
          <w:rFonts w:hint="eastAsia" w:ascii="楷体" w:hAnsi="楷体" w:eastAsia="楷体"/>
          <w:sz w:val="32"/>
          <w:szCs w:val="32"/>
        </w:rPr>
        <w:t xml:space="preserve">  </w:t>
      </w:r>
    </w:p>
    <w:p w14:paraId="61AFDD72">
      <w:pPr>
        <w:pStyle w:val="4"/>
      </w:pPr>
    </w:p>
    <w:p w14:paraId="30B87966">
      <w:pPr>
        <w:pStyle w:val="4"/>
      </w:pPr>
    </w:p>
    <w:p w14:paraId="1CE0EEE0"/>
    <w:p w14:paraId="075BB916">
      <w:pPr>
        <w:jc w:val="center"/>
        <w:sectPr>
          <w:headerReference r:id="rId3" w:type="first"/>
          <w:footerReference r:id="rId4" w:type="default"/>
          <w:footerReference r:id="rId5" w:type="even"/>
          <w:pgSz w:w="11906" w:h="16838"/>
          <w:pgMar w:top="1418" w:right="1701" w:bottom="1418" w:left="1701" w:header="851" w:footer="992" w:gutter="0"/>
          <w:pgNumType w:start="0"/>
          <w:cols w:space="720" w:num="1"/>
          <w:titlePg/>
          <w:docGrid w:type="lines" w:linePitch="312" w:charSpace="0"/>
        </w:sectPr>
      </w:pPr>
      <w:r>
        <w:rPr>
          <w:rFonts w:hint="eastAsia" w:eastAsia="仿宋_GB2312"/>
          <w:sz w:val="32"/>
          <w:szCs w:val="32"/>
        </w:rPr>
        <w:t>二〇二</w:t>
      </w:r>
      <w:r>
        <w:rPr>
          <w:rFonts w:hint="eastAsia" w:eastAsia="仿宋_GB2312"/>
          <w:sz w:val="32"/>
          <w:szCs w:val="32"/>
          <w:lang w:val="en-US" w:eastAsia="zh-CN"/>
        </w:rPr>
        <w:t>六</w:t>
      </w:r>
      <w:r>
        <w:rPr>
          <w:rFonts w:hint="eastAsia" w:eastAsia="仿宋_GB2312"/>
          <w:sz w:val="32"/>
          <w:szCs w:val="32"/>
        </w:rPr>
        <w:t>年九月</w:t>
      </w:r>
    </w:p>
    <w:p w14:paraId="0A8C6F50">
      <w:pPr>
        <w:jc w:val="center"/>
        <w:rPr>
          <w:rFonts w:hint="eastAsia" w:ascii="黑体" w:hAnsi="黑体" w:eastAsia="黑体" w:cs="黑体"/>
          <w:sz w:val="32"/>
          <w:szCs w:val="40"/>
        </w:rPr>
      </w:pPr>
      <w:r>
        <w:rPr>
          <w:rFonts w:hint="eastAsia" w:ascii="宋体" w:hAnsi="宋体" w:cs="宋体"/>
          <w:b/>
          <w:bCs/>
          <w:sz w:val="32"/>
          <w:szCs w:val="40"/>
        </w:rPr>
        <w:t>摘要</w:t>
      </w:r>
    </w:p>
    <w:p w14:paraId="1011D4FD">
      <w:pPr>
        <w:spacing w:line="400" w:lineRule="exact"/>
        <w:ind w:firstLine="420" w:firstLineChars="200"/>
        <w:rPr>
          <w:rFonts w:hint="eastAsia"/>
        </w:rPr>
      </w:pPr>
    </w:p>
    <w:p w14:paraId="12474AEB">
      <w:pPr>
        <w:spacing w:line="400" w:lineRule="exact"/>
        <w:ind w:firstLine="420" w:firstLineChars="200"/>
        <w:rPr>
          <w:rFonts w:hint="eastAsia"/>
        </w:rPr>
      </w:pPr>
      <w:r>
        <w:rPr>
          <w:rFonts w:hint="eastAsia"/>
        </w:rPr>
        <w:t>在厂站网一体化运行管理背景下，本作品面向泰和污水厂系统，构建了“感知—预测—预警—预控”闭环的进厂水量水质超前感知与协同调控模型。在数据层面，严格区分真实数据与模拟数据：真实数据涵盖组委会泵站资料（26座泵站，合计设计能力约 40.5 m³/s）、上海市水务局《水情信息》官方数据集（52站10分钟级雨量/水位，2021—2025年，约 1150 万行原始记录）以及 Köln-Weiden 等 6 类国际公开真实厂网数据集（已下载入库，来源与许可逐项登记）；模拟数据以</w:t>
      </w:r>
      <w:r>
        <w:rPr>
          <w:rFonts w:hint="eastAsia"/>
          <w:lang w:val="en-US" w:eastAsia="zh-CN"/>
        </w:rPr>
        <w:t>泵站资料</w:t>
      </w:r>
      <w:r>
        <w:rPr>
          <w:rFonts w:hint="eastAsia"/>
        </w:rPr>
        <w:t>骨架为基础参数化生成管网节点液位、流量、泵站运行、厂前进水水量水质时序，生成方式与全部参数在报告中逐项说明。在模型层面，基于多滞后特征工程与 LightGBM 梯度提升树实现进厂流量超前 1~3 h 预测：在 Köln 真实数据集上，+1 h、+2 h、+3 h 预测 NSE 分别达 0.942、0.809、0.677，优于 MLP 神经网络、季节朴素法与 persistence 三重基线；迁移至上海实测降雨驱动的泰和模拟场景后，进水流量 +3 h 预测 NSE 仍达 0.92，COD 负荷（浓度×流量）预测 NSE 为 0.78~0.84。在调控层面，建立按厂设计能力占比分级的四级预警（蓝、黄、橙、红）与规则化协同调控策略，并在 2024 年汛期 92 天场景中实现提前量 120 min 的预警演示。基于 SWMM 物理模型的在环调度对比验证表明，预见性滚动调度可在冒溢不增的约束下削减 28% 的超阈体积。作品同时交付可交互演示看板（Streamlit）与全链路可复现源码。</w:t>
      </w:r>
    </w:p>
    <w:p w14:paraId="182CC215">
      <w:pPr>
        <w:rPr>
          <w:rFonts w:hint="eastAsia"/>
        </w:rPr>
      </w:pPr>
    </w:p>
    <w:p w14:paraId="57A89AD4">
      <w:pPr>
        <w:rPr>
          <w:rFonts w:hint="eastAsia" w:ascii="宋体" w:hAnsi="宋体" w:cs="宋体"/>
          <w:b/>
          <w:bCs/>
        </w:rPr>
      </w:pPr>
    </w:p>
    <w:p w14:paraId="34823889">
      <w:pPr>
        <w:rPr>
          <w:rFonts w:hint="default" w:eastAsia="宋体"/>
          <w:lang w:val="en-US" w:eastAsia="zh-CN"/>
        </w:rPr>
      </w:pPr>
      <w:r>
        <w:rPr>
          <w:rFonts w:hint="eastAsia" w:ascii="宋体" w:hAnsi="宋体" w:cs="宋体"/>
          <w:b/>
          <w:bCs/>
        </w:rPr>
        <w:t>关键词：</w:t>
      </w:r>
      <w:r>
        <w:rPr>
          <w:rFonts w:hint="eastAsia"/>
          <w:lang w:val="en-US" w:eastAsia="zh-CN"/>
        </w:rPr>
        <w:t>厂管网一体化</w:t>
      </w:r>
      <w:r>
        <w:rPr>
          <w:rFonts w:hint="eastAsia"/>
        </w:rPr>
        <w:t>；</w:t>
      </w:r>
      <w:r>
        <w:rPr>
          <w:rFonts w:hint="eastAsia"/>
          <w:lang w:val="en-US" w:eastAsia="zh-CN"/>
        </w:rPr>
        <w:t>进水量预测</w:t>
      </w:r>
      <w:r>
        <w:rPr>
          <w:rFonts w:hint="eastAsia"/>
        </w:rPr>
        <w:t>；</w:t>
      </w:r>
      <w:r>
        <w:rPr>
          <w:rFonts w:hint="eastAsia"/>
          <w:lang w:val="en-US" w:eastAsia="zh-CN"/>
        </w:rPr>
        <w:t>L</w:t>
      </w:r>
      <w:r>
        <w:rPr>
          <w:rFonts w:hint="default"/>
          <w:lang w:val="en-US" w:eastAsia="zh-CN"/>
        </w:rPr>
        <w:t>ightGBM</w:t>
      </w:r>
      <w:r>
        <w:rPr>
          <w:rFonts w:hint="eastAsia"/>
        </w:rPr>
        <w:t>；</w:t>
      </w:r>
      <w:r>
        <w:rPr>
          <w:rFonts w:hint="eastAsia"/>
          <w:lang w:val="en-US" w:eastAsia="zh-CN"/>
        </w:rPr>
        <w:t>超前感知</w:t>
      </w:r>
      <w:r>
        <w:rPr>
          <w:rFonts w:hint="eastAsia"/>
        </w:rPr>
        <w:t>；</w:t>
      </w:r>
      <w:r>
        <w:rPr>
          <w:rFonts w:hint="eastAsia"/>
          <w:lang w:val="en-US" w:eastAsia="zh-CN"/>
        </w:rPr>
        <w:t>协同调控</w:t>
      </w:r>
      <w:r>
        <w:rPr>
          <w:rFonts w:hint="eastAsia"/>
        </w:rPr>
        <w:t>；</w:t>
      </w:r>
      <w:r>
        <w:rPr>
          <w:rFonts w:hint="eastAsia"/>
          <w:lang w:val="en-US" w:eastAsia="zh-CN"/>
        </w:rPr>
        <w:t>合流制排水系统</w:t>
      </w:r>
    </w:p>
    <w:p w14:paraId="2DDFCC8F">
      <w:r>
        <w:rPr>
          <w:rFonts w:hint="eastAsia"/>
        </w:rPr>
        <w:br w:type="page"/>
      </w:r>
    </w:p>
    <w:tbl>
      <w:tblPr>
        <w:tblStyle w:val="12"/>
        <w:tblW w:w="8873" w:type="dxa"/>
        <w:tblInd w:w="-153" w:type="dxa"/>
        <w:tblLayout w:type="autofit"/>
        <w:tblCellMar>
          <w:top w:w="0" w:type="dxa"/>
          <w:left w:w="108" w:type="dxa"/>
          <w:bottom w:w="0" w:type="dxa"/>
          <w:right w:w="108" w:type="dxa"/>
        </w:tblCellMar>
      </w:tblPr>
      <w:tblGrid>
        <w:gridCol w:w="8873"/>
      </w:tblGrid>
      <w:tr w14:paraId="5BB1F0D9">
        <w:trPr>
          <w:trHeight w:val="13505" w:hRule="atLeast"/>
        </w:trPr>
        <w:tc>
          <w:tcPr>
            <w:tcW w:w="8858" w:type="dxa"/>
            <w:noWrap w:val="0"/>
            <w:vAlign w:val="top"/>
          </w:tcPr>
          <w:p w14:paraId="754C1EFC">
            <w:pPr>
              <w:jc w:val="left"/>
              <w:rPr>
                <w:rFonts w:hint="eastAsia"/>
                <w:b/>
                <w:bCs/>
                <w:sz w:val="28"/>
                <w:szCs w:val="28"/>
              </w:rPr>
            </w:pPr>
            <w:r>
              <w:rPr>
                <w:rFonts w:hint="eastAsia"/>
                <w:b/>
                <w:bCs/>
                <w:sz w:val="28"/>
                <w:szCs w:val="28"/>
              </w:rPr>
              <w:t>一</w:t>
            </w:r>
            <w:r>
              <w:rPr>
                <w:rFonts w:hint="eastAsia"/>
                <w:b/>
                <w:bCs/>
                <w:sz w:val="28"/>
                <w:szCs w:val="28"/>
                <w:lang w:eastAsia="zh-CN"/>
              </w:rPr>
              <w:t>、</w:t>
            </w:r>
            <w:r>
              <w:rPr>
                <w:rFonts w:hint="eastAsia"/>
                <w:b/>
                <w:bCs/>
                <w:sz w:val="28"/>
                <w:szCs w:val="28"/>
              </w:rPr>
              <w:t>引言</w:t>
            </w:r>
          </w:p>
          <w:p w14:paraId="3D493CB3">
            <w:pPr>
              <w:rPr>
                <w:rFonts w:hint="eastAsia"/>
                <w:sz w:val="24"/>
                <w:szCs w:val="24"/>
              </w:rPr>
            </w:pPr>
            <w:r>
              <w:rPr>
                <w:rFonts w:hint="eastAsia"/>
                <w:b/>
                <w:bCs/>
                <w:sz w:val="24"/>
                <w:szCs w:val="24"/>
              </w:rPr>
              <w:t>1、研究背景与研究意义</w:t>
            </w:r>
          </w:p>
          <w:p w14:paraId="42D8D7A8">
            <w:pPr>
              <w:rPr>
                <w:b/>
                <w:bCs/>
              </w:rPr>
            </w:pPr>
            <w:r>
              <w:rPr>
                <w:rFonts w:hint="eastAsia"/>
                <w:b/>
                <w:bCs/>
              </w:rPr>
              <w:t>1.1科学问题与技术挑战</w:t>
            </w:r>
          </w:p>
          <w:p w14:paraId="6314AE5C">
            <w:pPr>
              <w:ind w:firstLine="420" w:firstLineChars="200"/>
              <w:rPr>
                <w:rFonts w:hint="eastAsia"/>
                <w:lang w:val="en-US" w:eastAsia="zh-CN"/>
              </w:rPr>
            </w:pPr>
            <w:r>
              <w:rPr>
                <w:rFonts w:hint="eastAsia"/>
                <w:lang w:val="en-US" w:eastAsia="zh-CN"/>
              </w:rPr>
              <w:t>城市排水系统中，污水厂并非孤立运行单元，而是"管网—泵站—污水厂"耦合系统的末端。在合流制或截流式排水体制下，降雨事件通过雨水入流/入渗（RDII）在短时间内显著抬升管网水位与泵站输送量，导致厂前进水流量在数小时内成倍波动；与此同时，管网沉积物冲刷（初期冲刷效应）与雨水稀释共同作用，使进水 COD、氨氮等水质指标剧烈变化，工业偷排等事件还可能带来毒性冲击。进水量、质的突变对生物处理工艺的稳定性构成直接威胁：曝气、回流、加药等环节的调整存在小时级惯性，若只能"事后响应"，工艺往往已经受损。</w:t>
            </w:r>
          </w:p>
          <w:p w14:paraId="1B8E773C">
            <w:pPr>
              <w:ind w:firstLine="420" w:firstLineChars="200"/>
              <w:rPr>
                <w:rFonts w:hint="eastAsia"/>
              </w:rPr>
            </w:pPr>
            <w:r>
              <w:rPr>
                <w:rFonts w:hint="eastAsia"/>
                <w:lang w:val="en-US" w:eastAsia="zh-CN"/>
              </w:rPr>
              <w:t>管厂网一体化感知</w:t>
            </w:r>
            <w:r>
              <w:rPr>
                <w:rFonts w:hint="eastAsia"/>
              </w:rPr>
              <w:t>面临三大核心矛盾：</w:t>
            </w:r>
          </w:p>
          <w:p w14:paraId="5E58A0F6">
            <w:pPr>
              <w:numPr>
                <w:ilvl w:val="0"/>
                <w:numId w:val="1"/>
              </w:numPr>
              <w:ind w:firstLine="420" w:firstLineChars="200"/>
              <w:rPr>
                <w:rFonts w:hint="eastAsia"/>
              </w:rPr>
            </w:pPr>
            <w:r>
              <w:rPr>
                <w:rFonts w:hint="eastAsia"/>
              </w:rPr>
              <w:t>厂站网耦合系统的进水演化机理与可预测性边界问题</w:t>
            </w:r>
            <w:r>
              <w:rPr>
                <w:rFonts w:hint="eastAsia"/>
                <w:lang w:eastAsia="zh-CN"/>
              </w:rPr>
              <w:t>：</w:t>
            </w:r>
            <w:r>
              <w:rPr>
                <w:rFonts w:hint="eastAsia"/>
              </w:rPr>
              <w:t>合流制排水系统中，厂前进水受管网汇流、泵站调度、降雨入渗与初期冲刷等多过程非线性耦合作用，流量与水质在数小时内可成倍波动，其时空演化规律与超前预测的物理边界尚不清晰。</w:t>
            </w:r>
          </w:p>
          <w:p w14:paraId="37989098">
            <w:pPr>
              <w:numPr>
                <w:ilvl w:val="0"/>
                <w:numId w:val="1"/>
              </w:numPr>
              <w:ind w:firstLine="420" w:firstLineChars="200"/>
              <w:rPr>
                <w:rFonts w:hint="eastAsia"/>
              </w:rPr>
            </w:pPr>
            <w:r>
              <w:rPr>
                <w:rFonts w:hint="eastAsia"/>
              </w:rPr>
              <w:t>数据稀缺场景下的模型可信验证难题</w:t>
            </w:r>
            <w:r>
              <w:rPr>
                <w:rFonts w:hint="eastAsia"/>
                <w:lang w:eastAsia="zh-CN"/>
              </w:rPr>
              <w:t>：</w:t>
            </w:r>
            <w:r>
              <w:rPr>
                <w:rFonts w:hint="eastAsia"/>
              </w:rPr>
              <w:t>实际工程中厂—网—雨一体化时序数据普遍难以获取，</w:t>
            </w:r>
            <w:r>
              <w:rPr>
                <w:rFonts w:hint="eastAsia"/>
                <w:lang w:val="en-US" w:eastAsia="zh-CN"/>
              </w:rPr>
              <w:t>如本次</w:t>
            </w:r>
            <w:r>
              <w:rPr>
                <w:rFonts w:hint="eastAsia"/>
              </w:rPr>
              <w:t>赛题仅提供泵站静态骨架而无运行真值，如何在缺乏目标场景实测数据的约束下，构建 "真实代理验证+物理模拟增广" 的可信证据链，避免纯数据模型陷入 "自证循环"，是方法落地必须突破的技术瓶颈。</w:t>
            </w:r>
          </w:p>
          <w:p w14:paraId="03B2A250">
            <w:pPr>
              <w:numPr>
                <w:ilvl w:val="0"/>
                <w:numId w:val="1"/>
              </w:numPr>
              <w:ind w:firstLine="420" w:firstLineChars="200"/>
              <w:rPr>
                <w:rFonts w:hint="eastAsia"/>
              </w:rPr>
            </w:pPr>
            <w:r>
              <w:rPr>
                <w:rFonts w:hint="eastAsia"/>
              </w:rPr>
              <w:t>极端工况泛化与预测 - 调控闭环衔接挑战</w:t>
            </w:r>
            <w:r>
              <w:rPr>
                <w:rFonts w:hint="eastAsia"/>
                <w:lang w:eastAsia="zh-CN"/>
              </w:rPr>
              <w:t>：</w:t>
            </w:r>
            <w:r>
              <w:rPr>
                <w:rFonts w:hint="eastAsia"/>
              </w:rPr>
              <w:t>极端暴雨事件属于典型小样本分布外场景，数据驱动模型易系统性低估洪峰；超前预测结果如何转化为满足管网水力约束、可工程落地的泵站协同调控策略，实现从 "感知" 到 "预控" 的闭环，是从算法研究走向工程应用的关键挑战。</w:t>
            </w:r>
          </w:p>
          <w:p w14:paraId="49A4D307">
            <w:pPr>
              <w:rPr>
                <w:rFonts w:hint="eastAsia"/>
                <w:b/>
                <w:bCs/>
                <w:highlight w:val="none"/>
              </w:rPr>
            </w:pPr>
            <w:r>
              <w:rPr>
                <w:rFonts w:hint="eastAsia"/>
                <w:b/>
                <w:bCs/>
                <w:highlight w:val="none"/>
              </w:rPr>
              <w:t>1.2研究意义</w:t>
            </w:r>
          </w:p>
          <w:p w14:paraId="20927F60">
            <w:pPr>
              <w:numPr>
                <w:ilvl w:val="0"/>
                <w:numId w:val="0"/>
              </w:numPr>
              <w:ind w:firstLine="420" w:firstLineChars="200"/>
              <w:rPr>
                <w:rFonts w:hint="eastAsia"/>
              </w:rPr>
            </w:pPr>
            <w:r>
              <w:rPr>
                <w:rFonts w:hint="eastAsia"/>
              </w:rPr>
              <w:t>管厂网一体化的核心价值在于：</w:t>
            </w:r>
          </w:p>
          <w:p w14:paraId="3F84F746">
            <w:pPr>
              <w:numPr>
                <w:ilvl w:val="0"/>
                <w:numId w:val="2"/>
              </w:numPr>
              <w:ind w:left="0" w:leftChars="0" w:firstLine="420" w:firstLineChars="0"/>
              <w:rPr>
                <w:rFonts w:hint="eastAsia"/>
              </w:rPr>
            </w:pPr>
            <w:r>
              <w:rPr>
                <w:rFonts w:hint="eastAsia"/>
              </w:rPr>
              <w:t>丰富厂站网一体化系统的超前感知理论体系</w:t>
            </w:r>
            <w:r>
              <w:rPr>
                <w:rFonts w:hint="eastAsia"/>
                <w:lang w:eastAsia="zh-CN"/>
              </w:rPr>
              <w:t>：</w:t>
            </w:r>
            <w:r>
              <w:rPr>
                <w:rFonts w:hint="eastAsia"/>
              </w:rPr>
              <w:t>本研究基于厂站网一体化视角，系统揭示上游管网液位、泵站运行与降雨信号对厂前进水的领先传导规律，量化不同提前量下进水流量与水质负荷的可预测性边界，推动排水系统从“末端被动监测”向“前端主动感知”转变，为合流制系统的协同运行提供理论支撑。；</w:t>
            </w:r>
          </w:p>
          <w:p w14:paraId="34641FB3">
            <w:pPr>
              <w:numPr>
                <w:ilvl w:val="0"/>
                <w:numId w:val="2"/>
              </w:numPr>
              <w:ind w:left="0" w:leftChars="0" w:firstLine="420" w:firstLineChars="0"/>
              <w:rPr>
                <w:rFonts w:hint="eastAsia"/>
              </w:rPr>
            </w:pPr>
            <w:r>
              <w:rPr>
                <w:rFonts w:hint="eastAsia"/>
              </w:rPr>
              <w:t>实现从"事后响应"到"事前预控"的运行模式升级。本研究构建的进厂水量水质超前1~3小时预测模型，可为工艺运行调整预留宝贵的准备窗口，通过雨前预抽空、错峰进厂、限流调蓄等协同调控策略，有效降低冲击负荷对生物处理系统的扰动。；</w:t>
            </w:r>
          </w:p>
          <w:p w14:paraId="45037B5C">
            <w:pPr>
              <w:numPr>
                <w:ilvl w:val="0"/>
                <w:numId w:val="2"/>
              </w:numPr>
              <w:ind w:left="0" w:leftChars="0" w:firstLine="420" w:firstLineChars="0"/>
              <w:rPr>
                <w:rFonts w:hint="eastAsia"/>
              </w:rPr>
            </w:pPr>
            <w:r>
              <w:rPr>
                <w:rFonts w:hint="eastAsia"/>
              </w:rPr>
              <w:t>提升排水系统整体运行效率与减灾能力。厂站网一体化的协同调控打破了管网与污水厂各自为政的管理壁垒，通过上游泵站群的错峰调度与调蓄容积的优化利用，在不新增硬件投资的前提下提升系统整体的削峰填谷能力。；</w:t>
            </w:r>
          </w:p>
          <w:p w14:paraId="75A1EF90">
            <w:pPr>
              <w:numPr>
                <w:ilvl w:val="0"/>
                <w:numId w:val="2"/>
              </w:numPr>
              <w:ind w:left="0" w:leftChars="0" w:firstLine="420" w:firstLineChars="0"/>
              <w:rPr>
                <w:rFonts w:hint="eastAsia"/>
              </w:rPr>
            </w:pPr>
            <w:r>
              <w:rPr>
                <w:rFonts w:hint="eastAsia"/>
              </w:rPr>
              <w:t>建立数据稀缺场景下的可信建模与验证范式。针对工程实践中普遍存在的"目标场景无实测真值"难题，本研究通过国际公开真实数据集验证方法有效性、再迁移至目标场景的技术路线，为数据约束下的水务AI建模提供了可复制的方法学参考。</w:t>
            </w:r>
          </w:p>
          <w:p w14:paraId="62CE399A">
            <w:pPr>
              <w:rPr>
                <w:rFonts w:hint="eastAsia"/>
                <w:b/>
                <w:bCs/>
                <w:highlight w:val="none"/>
              </w:rPr>
            </w:pPr>
            <w:r>
              <w:rPr>
                <w:rFonts w:hint="eastAsia"/>
                <w:b/>
                <w:bCs/>
                <w:highlight w:val="none"/>
              </w:rPr>
              <w:t>1.3国内外现状</w:t>
            </w:r>
          </w:p>
          <w:p w14:paraId="3ED40101">
            <w:pPr>
              <w:numPr>
                <w:ilvl w:val="0"/>
                <w:numId w:val="3"/>
              </w:numPr>
              <w:ind w:firstLine="420" w:firstLineChars="200"/>
              <w:rPr>
                <w:rFonts w:hint="eastAsia"/>
              </w:rPr>
            </w:pPr>
            <w:r>
              <w:rPr>
                <w:rFonts w:hint="eastAsia"/>
              </w:rPr>
              <w:t>进水预测模型研究进展：城市污水厂进水预测是智慧水务领域的研究热点。国外方面，Sun等人（2023）提出基于LSTM的污水厂进水流量多步预测模型，在真实数据集上实现+2h预测NSE达0.85，验证了深度学习在时序预测中的有效性；Zhang等人（2024）将图卷积网络（GCN）引入管网流量预测，捕捉管网空间拓扑关联，进一步提升了预测精度。国内方面，李等人（2023）基于CEEMDAN分解与LightGBM融合模型开展水质预测研究，在城市供水水质预测中取得了R²=0.93的优异表现；王等人（2024）提出基于梯度提升树的排水管网液位预测方法，在溢流风险预警场景中验证了树模型的工程实用性。总体来看，数据驱动模型已成为进水预测的主流技术路线，但多数研究依赖充足的目标场景实测数据，对数据稀缺场景下的可信验证关注不足。</w:t>
            </w:r>
          </w:p>
          <w:p w14:paraId="30DF14BE">
            <w:pPr>
              <w:numPr>
                <w:ilvl w:val="0"/>
                <w:numId w:val="3"/>
              </w:numPr>
              <w:ind w:firstLine="420" w:firstLineChars="200"/>
              <w:rPr>
                <w:rFonts w:hint="eastAsia"/>
              </w:rPr>
            </w:pPr>
            <w:r>
              <w:rPr>
                <w:rFonts w:hint="eastAsia"/>
              </w:rPr>
              <w:t>厂网协同调控研究进展：厂站网一体化调控是城市排水系统运行管理的重要方向。国际上，Schütze等人（2022）系统综述了实时控制（RTC）在排水系统中的应用，指出基于模型预测控制（MPC）的协同调度可显著降低溢流风险；Müller等人（2023）在柏林排水系统中开展了厂网协同调度的中试研究，验证了预见性调度的削峰效益。国内方面，刘等人（2023）以上海某排水系统为对象开展了厂网联动调控的模拟研究，结果表明协同调度可削减15%~25%的峰值流量；陈等人（2024）基于SWMM模型构建了泵站群优化调度模型，在汛期调度中取得了良好效果。然而，现有研究多依赖精细化水力模型与完整的监测数据，对数据约束下的轻量化调控方案研究相对较少。</w:t>
            </w:r>
          </w:p>
          <w:p w14:paraId="09E398F9">
            <w:pPr>
              <w:numPr>
                <w:ilvl w:val="0"/>
                <w:numId w:val="3"/>
              </w:numPr>
              <w:ind w:firstLine="420" w:firstLineChars="200"/>
              <w:rPr>
                <w:rFonts w:hint="eastAsia"/>
              </w:rPr>
            </w:pPr>
            <w:r>
              <w:rPr>
                <w:rFonts w:hint="eastAsia"/>
              </w:rPr>
              <w:t>概率预测与不确定性量化：传统确定性预测难以表征预测结果的可靠程度，而概率预测可为风险决策提供不确定性信息。近年来，分位数回归、贝叶斯神经网络等概率预测方法逐渐被引入水务领域。Hu等人（2024）提出基于梯度提升分位数回归的城市洪水概率预警方法，为防洪决策提供了置信区间支撑；Zhao等人（2025）将概率预测应用于污水处理厂出水水质预警，有效降低了误报率。概率预测与风险调控的结合已成为智慧水务领域的重要发展趋势。</w:t>
            </w:r>
          </w:p>
          <w:p w14:paraId="2E1968CA">
            <w:pPr>
              <w:rPr>
                <w:rFonts w:hint="eastAsia"/>
                <w:b/>
                <w:bCs/>
                <w:sz w:val="24"/>
                <w:szCs w:val="24"/>
              </w:rPr>
            </w:pPr>
            <w:r>
              <w:rPr>
                <w:rFonts w:hint="eastAsia"/>
                <w:b/>
                <w:bCs/>
                <w:sz w:val="24"/>
                <w:szCs w:val="24"/>
              </w:rPr>
              <w:t>2、研究目标</w:t>
            </w:r>
          </w:p>
          <w:p w14:paraId="3B5EC60F">
            <w:pPr>
              <w:numPr>
                <w:ilvl w:val="0"/>
                <w:numId w:val="0"/>
              </w:numPr>
              <w:ind w:firstLine="420" w:firstLineChars="200"/>
              <w:rPr>
                <w:rFonts w:hint="eastAsia"/>
              </w:rPr>
            </w:pPr>
            <w:r>
              <w:rPr>
                <w:rFonts w:hint="eastAsia"/>
              </w:rPr>
              <w:t>本研究面向厂站网一体化运行管理需求，以泰和污水厂系统为研究对象，构建进厂水量水质超前感知与协同调控模型，具体目标如下：</w:t>
            </w:r>
          </w:p>
          <w:p w14:paraId="0973305C">
            <w:pPr>
              <w:numPr>
                <w:ilvl w:val="0"/>
                <w:numId w:val="4"/>
              </w:numPr>
              <w:ind w:firstLine="420" w:firstLineChars="200"/>
              <w:rPr>
                <w:rFonts w:hint="eastAsia"/>
              </w:rPr>
            </w:pPr>
            <w:r>
              <w:rPr>
                <w:rFonts w:hint="eastAsia"/>
              </w:rPr>
              <w:t>建立严格区分真实数据与模拟数据的数据体系，在缺乏目标场景实测真值的约束下，通过国际公开真实数据集验证方法有效性；</w:t>
            </w:r>
          </w:p>
          <w:p w14:paraId="71E2549E">
            <w:pPr>
              <w:numPr>
                <w:ilvl w:val="0"/>
                <w:numId w:val="4"/>
              </w:numPr>
              <w:ind w:firstLine="420" w:firstLineChars="200"/>
              <w:rPr>
                <w:rFonts w:hint="eastAsia"/>
              </w:rPr>
            </w:pPr>
            <w:r>
              <w:rPr>
                <w:rFonts w:hint="eastAsia"/>
              </w:rPr>
              <w:t>开发基于LightGBM梯度提升树的进厂水量水质超前预测模型，实现超前1~3小时的进水流量与水质负荷预测，在真实数据集上+1h预测NSE≥0.90；</w:t>
            </w:r>
          </w:p>
          <w:p w14:paraId="464A124C">
            <w:pPr>
              <w:numPr>
                <w:ilvl w:val="0"/>
                <w:numId w:val="4"/>
              </w:numPr>
              <w:ind w:firstLine="420" w:firstLineChars="200"/>
              <w:rPr>
                <w:rFonts w:hint="eastAsia"/>
                <w:b/>
                <w:bCs/>
              </w:rPr>
            </w:pPr>
            <w:r>
              <w:rPr>
                <w:rFonts w:hint="eastAsia"/>
              </w:rPr>
              <w:t>引入概率预测与不确定性量化，输出P10–P90预测区间，为调控决策提供风险量化支撑，区间覆盖率PICP达到名义置信水平的85%以上</w:t>
            </w:r>
            <w:r>
              <w:rPr>
                <w:rFonts w:hint="eastAsia"/>
                <w:lang w:eastAsia="zh-CN"/>
              </w:rPr>
              <w:t>；</w:t>
            </w:r>
          </w:p>
          <w:p w14:paraId="7DFA7605">
            <w:pPr>
              <w:numPr>
                <w:ilvl w:val="0"/>
                <w:numId w:val="4"/>
              </w:numPr>
              <w:ind w:firstLine="420" w:firstLineChars="200"/>
              <w:rPr>
                <w:rFonts w:hint="eastAsia"/>
                <w:b w:val="0"/>
                <w:bCs w:val="0"/>
              </w:rPr>
            </w:pPr>
            <w:r>
              <w:rPr>
                <w:rFonts w:hint="eastAsia"/>
                <w:b w:val="0"/>
                <w:bCs w:val="0"/>
              </w:rPr>
              <w:t>建立四级预警体系与泵站协同调控策略，打通"感知—预测—预警—预控"闭环，实现120分钟提前量的汛期预警演示，并通过SWMM物理模型验证调控策略的有效性</w:t>
            </w:r>
            <w:r>
              <w:rPr>
                <w:rFonts w:hint="eastAsia"/>
                <w:b w:val="0"/>
                <w:bCs w:val="0"/>
                <w:lang w:eastAsia="zh-CN"/>
              </w:rPr>
              <w:t>；</w:t>
            </w:r>
          </w:p>
          <w:p w14:paraId="1EAB14F3">
            <w:pPr>
              <w:numPr>
                <w:ilvl w:val="0"/>
                <w:numId w:val="4"/>
              </w:numPr>
              <w:ind w:firstLine="420" w:firstLineChars="200"/>
              <w:rPr>
                <w:rFonts w:hint="eastAsia"/>
                <w:b w:val="0"/>
                <w:bCs w:val="0"/>
              </w:rPr>
            </w:pPr>
            <w:r>
              <w:rPr>
                <w:rFonts w:hint="eastAsia"/>
                <w:b w:val="0"/>
                <w:bCs w:val="0"/>
              </w:rPr>
              <w:t>交付全链路可复现代码与交互式演示看板。</w:t>
            </w:r>
          </w:p>
          <w:p w14:paraId="40D908C7">
            <w:pPr>
              <w:numPr>
                <w:ilvl w:val="0"/>
                <w:numId w:val="0"/>
              </w:numPr>
              <w:rPr>
                <w:rFonts w:hint="default" w:eastAsia="宋体"/>
                <w:b w:val="0"/>
                <w:bCs w:val="0"/>
                <w:sz w:val="24"/>
                <w:szCs w:val="24"/>
                <w:lang w:val="en-US" w:eastAsia="zh-CN"/>
              </w:rPr>
            </w:pPr>
            <w:r>
              <w:rPr>
                <w:rFonts w:hint="eastAsia"/>
                <w:b/>
                <w:bCs/>
                <w:sz w:val="24"/>
                <w:szCs w:val="24"/>
                <w:lang w:val="en-US" w:eastAsia="zh-CN"/>
              </w:rPr>
              <w:t>3</w:t>
            </w:r>
            <w:r>
              <w:rPr>
                <w:rFonts w:hint="eastAsia"/>
                <w:b/>
                <w:bCs/>
                <w:sz w:val="24"/>
                <w:szCs w:val="24"/>
              </w:rPr>
              <w:t>、</w:t>
            </w:r>
            <w:r>
              <w:rPr>
                <w:rFonts w:hint="eastAsia"/>
                <w:b/>
                <w:bCs/>
                <w:sz w:val="24"/>
                <w:szCs w:val="24"/>
                <w:lang w:val="en-US" w:eastAsia="zh-CN"/>
              </w:rPr>
              <w:t>研究内容与技术方案</w:t>
            </w:r>
          </w:p>
          <w:p w14:paraId="7D7CE6DA">
            <w:pPr>
              <w:ind w:firstLine="420" w:firstLineChars="200"/>
              <w:rPr>
                <w:rFonts w:hint="default" w:eastAsia="宋体"/>
                <w:b w:val="0"/>
                <w:bCs w:val="0"/>
                <w:lang w:val="en-US" w:eastAsia="zh-CN"/>
              </w:rPr>
            </w:pPr>
            <w:r>
              <w:rPr>
                <w:rFonts w:hint="eastAsia"/>
                <w:b w:val="0"/>
                <w:bCs w:val="0"/>
                <w:lang w:val="en-US" w:eastAsia="zh-CN"/>
              </w:rPr>
              <w:t>本研究主要内容包括以下四个模块：</w:t>
            </w:r>
          </w:p>
          <w:p w14:paraId="180843D9">
            <w:pPr>
              <w:numPr>
                <w:ilvl w:val="0"/>
                <w:numId w:val="5"/>
              </w:numPr>
              <w:ind w:left="0" w:leftChars="0" w:firstLine="420" w:firstLineChars="0"/>
              <w:rPr>
                <w:rFonts w:hint="eastAsia"/>
                <w:b w:val="0"/>
                <w:bCs w:val="0"/>
              </w:rPr>
            </w:pPr>
            <w:r>
              <w:rPr>
                <w:rFonts w:hint="eastAsia"/>
                <w:b w:val="0"/>
                <w:bCs w:val="0"/>
              </w:rPr>
              <w:t>数据体系构建与预处理。严格区分真实数据与模拟数据：真实数据包括组委会官方资料、上海官方实测降雨与水文数据、国际公开厂网雨数据集，均下载入库并标注来源</w:t>
            </w:r>
            <w:r>
              <w:rPr>
                <w:rFonts w:hint="eastAsia"/>
                <w:b w:val="0"/>
                <w:bCs w:val="0"/>
                <w:lang w:eastAsia="zh-CN"/>
              </w:rPr>
              <w:t>。</w:t>
            </w:r>
            <w:r>
              <w:rPr>
                <w:rFonts w:hint="eastAsia"/>
                <w:b w:val="0"/>
                <w:bCs w:val="0"/>
              </w:rPr>
              <w:t>模拟数据以Date1骨架为基础参数化生成，明确标注生成方式与参数设定。完成多源数据的清洗、对齐与特征工程构建。</w:t>
            </w:r>
          </w:p>
          <w:p w14:paraId="786075FF">
            <w:pPr>
              <w:numPr>
                <w:ilvl w:val="0"/>
                <w:numId w:val="5"/>
              </w:numPr>
              <w:ind w:left="0" w:leftChars="0" w:firstLine="420" w:firstLineChars="0"/>
              <w:rPr>
                <w:rFonts w:hint="eastAsia"/>
                <w:b w:val="0"/>
                <w:bCs w:val="0"/>
              </w:rPr>
            </w:pPr>
            <w:r>
              <w:rPr>
                <w:rFonts w:hint="eastAsia"/>
                <w:b w:val="0"/>
                <w:bCs w:val="0"/>
              </w:rPr>
              <w:t>厂站网一体化超前预测模型构建。基于多滞后特征工程，以LightGBM梯度提升树为主模型，实现进厂流量与水质负荷的超前1~3小时预测；引入分位数回归实现概率预测，输出P10–P90不确定性区间；设置persistence、季节朴素、MLP神经网络等多重基线，通过消融实验与对比实验验证模型的有效性与优越性。</w:t>
            </w:r>
          </w:p>
          <w:p w14:paraId="60A4F2C4">
            <w:pPr>
              <w:numPr>
                <w:ilvl w:val="0"/>
                <w:numId w:val="5"/>
              </w:numPr>
              <w:ind w:left="0" w:leftChars="0" w:firstLine="420" w:firstLineChars="0"/>
              <w:rPr>
                <w:rFonts w:hint="eastAsia"/>
                <w:b w:val="0"/>
                <w:bCs w:val="0"/>
              </w:rPr>
            </w:pPr>
            <w:r>
              <w:rPr>
                <w:rFonts w:hint="eastAsia"/>
                <w:b w:val="0"/>
                <w:bCs w:val="0"/>
              </w:rPr>
              <w:t>极端场景压力测试与泛化性分析。设计芝加哥雨型设计暴雨（P=5/50/100年）与台风实况回放等极端场景，开展跨场景泛化测试，分析数据驱动模型在分布外场景下的局限性；</w:t>
            </w:r>
            <w:r>
              <w:rPr>
                <w:rFonts w:hint="eastAsia"/>
                <w:b w:val="0"/>
                <w:bCs w:val="0"/>
                <w:lang w:val="en-US" w:eastAsia="zh-CN"/>
              </w:rPr>
              <w:t>有助于</w:t>
            </w:r>
            <w:r>
              <w:rPr>
                <w:rFonts w:hint="eastAsia"/>
                <w:b w:val="0"/>
                <w:bCs w:val="0"/>
              </w:rPr>
              <w:t>探索设计暴雨增广、降雨预报输入等提升极端工况性能的工程手段。</w:t>
            </w:r>
          </w:p>
          <w:p w14:paraId="3D913576">
            <w:pPr>
              <w:numPr>
                <w:ilvl w:val="0"/>
                <w:numId w:val="5"/>
              </w:numPr>
              <w:ind w:left="0" w:leftChars="0" w:firstLine="420" w:firstLineChars="0"/>
              <w:rPr>
                <w:rFonts w:hint="eastAsia"/>
                <w:b w:val="0"/>
                <w:bCs w:val="0"/>
              </w:rPr>
            </w:pPr>
            <w:r>
              <w:rPr>
                <w:rFonts w:hint="eastAsia"/>
                <w:b w:val="0"/>
                <w:bCs w:val="0"/>
              </w:rPr>
              <w:t>预警与协同调控体系构建。建立蓝/黄/橙/红四级预警机制，设计雨前预抽空、错峰开泵、限流调蓄等分级协同调控策略；基于SWMM物理模型开展在环调度对比，验证调控策略的削峰效益与工程可行性；开发Streamlit交互式演示看板，实现全流程可视化展示。</w:t>
            </w:r>
          </w:p>
          <w:p w14:paraId="3E5344AA">
            <w:pPr>
              <w:numPr>
                <w:ilvl w:val="0"/>
                <w:numId w:val="0"/>
              </w:numPr>
              <w:rPr>
                <w:rFonts w:hint="default"/>
                <w:b w:val="0"/>
                <w:bCs w:val="0"/>
                <w:sz w:val="24"/>
                <w:szCs w:val="24"/>
                <w:lang w:val="en-US"/>
              </w:rPr>
            </w:pPr>
            <w:r>
              <w:rPr>
                <w:rFonts w:hint="eastAsia"/>
                <w:b/>
                <w:bCs/>
                <w:sz w:val="24"/>
                <w:szCs w:val="24"/>
                <w:lang w:val="en-US" w:eastAsia="zh-CN"/>
              </w:rPr>
              <w:t>4</w:t>
            </w:r>
            <w:r>
              <w:rPr>
                <w:rFonts w:hint="eastAsia"/>
                <w:b/>
                <w:bCs/>
                <w:sz w:val="24"/>
                <w:szCs w:val="24"/>
              </w:rPr>
              <w:t>、</w:t>
            </w:r>
            <w:r>
              <w:rPr>
                <w:rFonts w:hint="eastAsia"/>
                <w:b/>
                <w:bCs/>
                <w:sz w:val="24"/>
                <w:szCs w:val="24"/>
                <w:lang w:val="en-US" w:eastAsia="zh-CN"/>
              </w:rPr>
              <w:t>技术关键</w:t>
            </w:r>
          </w:p>
          <w:p w14:paraId="38FC0B95">
            <w:pPr>
              <w:numPr>
                <w:ilvl w:val="0"/>
                <w:numId w:val="6"/>
              </w:numPr>
              <w:ind w:left="0" w:leftChars="0" w:firstLine="420" w:firstLineChars="0"/>
              <w:rPr>
                <w:rFonts w:hint="eastAsia"/>
                <w:b w:val="0"/>
                <w:bCs w:val="0"/>
              </w:rPr>
            </w:pPr>
            <w:r>
              <w:rPr>
                <w:rFonts w:hint="eastAsia"/>
                <w:b w:val="0"/>
                <w:bCs w:val="0"/>
              </w:rPr>
              <w:t>真实数据验证与模拟数据透明化。方法有效性首先在国际公开真实数据集（Köln-Weiden）上验证，避免只在模拟数据上自我验证；模拟数据明确标注哪些环节是模拟的、如何模拟的、参数取值是什么，并诚实声明模拟结果的证明边界。</w:t>
            </w:r>
          </w:p>
          <w:p w14:paraId="04C0EE37">
            <w:pPr>
              <w:numPr>
                <w:ilvl w:val="0"/>
                <w:numId w:val="6"/>
              </w:numPr>
              <w:ind w:left="0" w:leftChars="0" w:firstLine="420" w:firstLineChars="0"/>
              <w:rPr>
                <w:rFonts w:hint="eastAsia"/>
                <w:b w:val="0"/>
                <w:bCs w:val="0"/>
              </w:rPr>
            </w:pPr>
            <w:r>
              <w:rPr>
                <w:rFonts w:hint="eastAsia"/>
                <w:b w:val="0"/>
                <w:bCs w:val="0"/>
              </w:rPr>
              <w:t>轻量化树模型耦合水力约束预测技术。选用LightGBM分位数回归作为核心轻量化预测模型，兼顾预测精度与训练效率，输出P10-P90概率区间量化预测不确定性；引入曼宁水力公式、降雨单位线作为物理校验层，修正违背管网水力规律的异常预测值，兼顾数据拟合能力与工程物理合理性。</w:t>
            </w:r>
          </w:p>
          <w:p w14:paraId="5012EDE2">
            <w:pPr>
              <w:numPr>
                <w:ilvl w:val="0"/>
                <w:numId w:val="6"/>
              </w:numPr>
              <w:ind w:left="0" w:leftChars="0" w:firstLine="420" w:firstLineChars="0"/>
              <w:rPr>
                <w:rFonts w:hint="eastAsia"/>
                <w:b w:val="0"/>
                <w:bCs w:val="0"/>
              </w:rPr>
            </w:pPr>
            <w:r>
              <w:rPr>
                <w:rFonts w:hint="eastAsia"/>
                <w:b w:val="0"/>
                <w:bCs w:val="0"/>
              </w:rPr>
              <w:t>预测-分级预警-水力仿真调控闭环技术。基于保守P90预测流量建立四级进水负荷预警体系，配套雨前预抽空、错峰开泵、全网限流三段协同调控策略；依托SWMM概化水力模型量化不同调度方案削峰、溢流控制效益，搭配Streamlit交互式看板实现厂网全流程可视化，形成完整可落地的厂网一体化调控闭环。</w:t>
            </w:r>
          </w:p>
          <w:p w14:paraId="11C43A74">
            <w:pPr>
              <w:numPr>
                <w:ilvl w:val="0"/>
                <w:numId w:val="0"/>
              </w:numPr>
              <w:rPr>
                <w:rFonts w:hint="default"/>
                <w:b/>
                <w:bCs/>
                <w:sz w:val="24"/>
                <w:szCs w:val="24"/>
                <w:highlight w:val="yellow"/>
                <w:lang w:val="en-US" w:eastAsia="zh-CN"/>
              </w:rPr>
            </w:pPr>
            <w:r>
              <w:rPr>
                <w:rFonts w:hint="eastAsia"/>
                <w:b/>
                <w:bCs/>
                <w:sz w:val="24"/>
                <w:szCs w:val="24"/>
                <w:highlight w:val="yellow"/>
                <w:lang w:val="en-US" w:eastAsia="zh-CN"/>
              </w:rPr>
              <w:t>5</w:t>
            </w:r>
            <w:r>
              <w:rPr>
                <w:rFonts w:hint="eastAsia"/>
                <w:b/>
                <w:bCs/>
                <w:sz w:val="24"/>
                <w:szCs w:val="24"/>
                <w:highlight w:val="yellow"/>
              </w:rPr>
              <w:t>、</w:t>
            </w:r>
            <w:r>
              <w:rPr>
                <w:rFonts w:hint="eastAsia"/>
                <w:b/>
                <w:bCs/>
                <w:sz w:val="24"/>
                <w:szCs w:val="24"/>
                <w:highlight w:val="yellow"/>
                <w:lang w:val="en-US" w:eastAsia="zh-CN"/>
              </w:rPr>
              <w:t>技术路线</w:t>
            </w:r>
          </w:p>
          <w:p w14:paraId="361892F6">
            <w:pPr>
              <w:numPr>
                <w:ilvl w:val="0"/>
                <w:numId w:val="0"/>
              </w:numPr>
              <w:ind w:firstLine="420" w:firstLineChars="200"/>
              <w:rPr>
                <w:rFonts w:hint="eastAsia"/>
                <w:b w:val="0"/>
                <w:bCs w:val="0"/>
                <w:lang w:val="en-US" w:eastAsia="zh-CN"/>
              </w:rPr>
            </w:pPr>
            <w:r>
              <w:rPr>
                <w:rFonts w:hint="eastAsia"/>
                <w:b w:val="0"/>
                <w:bCs w:val="0"/>
                <w:lang w:val="en-US" w:eastAsia="zh-CN"/>
              </w:rPr>
              <w:t>技术路线遵循"数据构建→机理建模→预测开发→调控落地→系统展示"的总体逻辑，自上而下逐层推进，调控层SWMM水力仿真验证结果反馈至预测层，形成闭环迭代。</w:t>
            </w:r>
          </w:p>
          <w:p w14:paraId="6DB22647">
            <w:pPr>
              <w:numPr>
                <w:ilvl w:val="0"/>
                <w:numId w:val="0"/>
              </w:numPr>
              <w:ind w:firstLine="420" w:firstLineChars="200"/>
              <w:jc w:val="center"/>
              <w:rPr>
                <w:rFonts w:hint="eastAsia"/>
              </w:rPr>
            </w:pPr>
            <w:r>
              <w:rPr>
                <w:rFonts w:hint="eastAsia"/>
              </w:rPr>
              <w:drawing>
                <wp:inline distT="0" distB="0" distL="114300" distR="114300">
                  <wp:extent cx="5485765" cy="3147695"/>
                  <wp:effectExtent l="0" t="0" r="635" b="1905"/>
                  <wp:docPr id="7" name="图片 7" descr="583eb5727983cc04d88a1643d73e7e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83eb5727983cc04d88a1643d73e7e7f"/>
                          <pic:cNvPicPr>
                            <a:picLocks noChangeAspect="1"/>
                          </pic:cNvPicPr>
                        </pic:nvPicPr>
                        <pic:blipFill>
                          <a:blip r:embed="rId9"/>
                          <a:srcRect t="7103"/>
                          <a:stretch>
                            <a:fillRect/>
                          </a:stretch>
                        </pic:blipFill>
                        <pic:spPr>
                          <a:xfrm>
                            <a:off x="0" y="0"/>
                            <a:ext cx="5485765" cy="3147695"/>
                          </a:xfrm>
                          <a:prstGeom prst="rect">
                            <a:avLst/>
                          </a:prstGeom>
                        </pic:spPr>
                      </pic:pic>
                    </a:graphicData>
                  </a:graphic>
                </wp:inline>
              </w:drawing>
            </w:r>
          </w:p>
          <w:p w14:paraId="7CAFC6DD">
            <w:pPr>
              <w:numPr>
                <w:ilvl w:val="0"/>
                <w:numId w:val="0"/>
              </w:numPr>
              <w:jc w:val="center"/>
              <w:rPr>
                <w:rFonts w:hint="eastAsia"/>
              </w:rPr>
            </w:pPr>
            <w:r>
              <w:rPr>
                <w:rFonts w:hint="eastAsia"/>
              </w:rPr>
              <w:t>图</w:t>
            </w:r>
            <w:r>
              <w:rPr>
                <w:rFonts w:hint="eastAsia"/>
                <w:lang w:val="en-US" w:eastAsia="zh-CN"/>
              </w:rPr>
              <w:t>1-1技术路线</w:t>
            </w:r>
          </w:p>
          <w:p w14:paraId="25837E8B">
            <w:pPr>
              <w:numPr>
                <w:ilvl w:val="0"/>
                <w:numId w:val="0"/>
              </w:numPr>
              <w:jc w:val="left"/>
              <w:rPr>
                <w:rFonts w:hint="default" w:eastAsia="宋体"/>
                <w:b/>
                <w:bCs/>
                <w:sz w:val="28"/>
                <w:szCs w:val="28"/>
                <w:lang w:val="en-US" w:eastAsia="zh-CN"/>
              </w:rPr>
            </w:pPr>
            <w:r>
              <w:rPr>
                <w:rFonts w:hint="eastAsia"/>
                <w:b/>
                <w:bCs/>
                <w:sz w:val="28"/>
                <w:szCs w:val="28"/>
                <w:lang w:val="en-US" w:eastAsia="zh-CN"/>
              </w:rPr>
              <w:t>二、数据体系构建与预处理</w:t>
            </w:r>
          </w:p>
          <w:p w14:paraId="6775B2A2">
            <w:pPr>
              <w:numPr>
                <w:ilvl w:val="0"/>
                <w:numId w:val="0"/>
              </w:numPr>
              <w:rPr>
                <w:rFonts w:hint="default" w:eastAsia="宋体"/>
                <w:b/>
                <w:bCs/>
                <w:sz w:val="24"/>
                <w:szCs w:val="24"/>
                <w:lang w:val="en-US" w:eastAsia="zh-CN"/>
              </w:rPr>
            </w:pPr>
            <w:r>
              <w:rPr>
                <w:rFonts w:hint="eastAsia" w:eastAsia="宋体"/>
                <w:b/>
                <w:bCs/>
                <w:sz w:val="24"/>
                <w:szCs w:val="24"/>
                <w:lang w:val="en-US" w:eastAsia="zh-CN"/>
              </w:rPr>
              <w:t>1、</w:t>
            </w:r>
            <w:r>
              <w:rPr>
                <w:rFonts w:hint="eastAsia"/>
                <w:b/>
                <w:bCs/>
                <w:sz w:val="24"/>
                <w:szCs w:val="24"/>
                <w:lang w:val="en-US" w:eastAsia="zh-CN"/>
              </w:rPr>
              <w:t>数据分类与总体说明</w:t>
            </w:r>
          </w:p>
          <w:p w14:paraId="096D997F">
            <w:pPr>
              <w:numPr>
                <w:ilvl w:val="0"/>
                <w:numId w:val="0"/>
              </w:numPr>
              <w:ind w:firstLine="420" w:firstLineChars="200"/>
              <w:jc w:val="both"/>
              <w:rPr>
                <w:rFonts w:hint="eastAsia"/>
                <w:lang w:eastAsia="zh-CN"/>
              </w:rPr>
            </w:pPr>
            <w:r>
              <w:rPr>
                <w:rFonts w:hint="eastAsia"/>
              </w:rPr>
              <w:t>本作品使用的数据严格分为两类：真实数据与模拟数据。真实数据全部下载入库并逐项标注来源、许可与用途；模拟数据明确标注哪些量是模拟的、生成方式与参数取值。如表</w:t>
            </w:r>
            <w:r>
              <w:rPr>
                <w:rFonts w:hint="eastAsia"/>
                <w:lang w:val="en-US" w:eastAsia="zh-CN"/>
              </w:rPr>
              <w:t>1</w:t>
            </w:r>
            <w:r>
              <w:rPr>
                <w:rFonts w:hint="eastAsia"/>
              </w:rPr>
              <w:t>所示</w:t>
            </w:r>
            <w:r>
              <w:rPr>
                <w:rFonts w:hint="eastAsia"/>
                <w:lang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
              <w:gridCol w:w="1489"/>
              <w:gridCol w:w="3770"/>
              <w:gridCol w:w="1307"/>
              <w:gridCol w:w="1196"/>
            </w:tblGrid>
            <w:tr w14:paraId="7C9EBEA7">
              <w:tc>
                <w:tcPr>
                  <w:tcW w:w="1728" w:type="dxa"/>
                </w:tcPr>
                <w:p w14:paraId="24C08032">
                  <w:pPr>
                    <w:numPr>
                      <w:ilvl w:val="0"/>
                      <w:numId w:val="0"/>
                    </w:numPr>
                    <w:jc w:val="center"/>
                    <w:rPr>
                      <w:rFonts w:hint="eastAsia"/>
                      <w:vertAlign w:val="baseline"/>
                      <w:lang w:eastAsia="zh-CN"/>
                    </w:rPr>
                  </w:pPr>
                  <w:r>
                    <w:rPr>
                      <w:rFonts w:hint="eastAsia"/>
                      <w:vertAlign w:val="baseline"/>
                      <w:lang w:val="en-US" w:eastAsia="zh-CN"/>
                    </w:rPr>
                    <w:t>类别</w:t>
                  </w:r>
                </w:p>
              </w:tc>
              <w:tc>
                <w:tcPr>
                  <w:tcW w:w="1729" w:type="dxa"/>
                </w:tcPr>
                <w:p w14:paraId="7E0444C0">
                  <w:pPr>
                    <w:numPr>
                      <w:ilvl w:val="0"/>
                      <w:numId w:val="0"/>
                    </w:numPr>
                    <w:jc w:val="center"/>
                    <w:rPr>
                      <w:rFonts w:hint="eastAsia"/>
                      <w:vertAlign w:val="baseline"/>
                      <w:lang w:eastAsia="zh-CN"/>
                    </w:rPr>
                  </w:pPr>
                  <w:r>
                    <w:rPr>
                      <w:rFonts w:hint="eastAsia"/>
                      <w:vertAlign w:val="baseline"/>
                      <w:lang w:val="en-US" w:eastAsia="zh-CN"/>
                    </w:rPr>
                    <w:t>数据项</w:t>
                  </w:r>
                </w:p>
              </w:tc>
              <w:tc>
                <w:tcPr>
                  <w:tcW w:w="1729" w:type="dxa"/>
                </w:tcPr>
                <w:p w14:paraId="6980A0BA">
                  <w:pPr>
                    <w:numPr>
                      <w:ilvl w:val="0"/>
                      <w:numId w:val="0"/>
                    </w:numPr>
                    <w:jc w:val="center"/>
                    <w:rPr>
                      <w:rFonts w:hint="eastAsia"/>
                      <w:vertAlign w:val="baseline"/>
                      <w:lang w:eastAsia="zh-CN"/>
                    </w:rPr>
                  </w:pPr>
                  <w:r>
                    <w:rPr>
                      <w:rFonts w:hint="eastAsia"/>
                      <w:vertAlign w:val="baseline"/>
                      <w:lang w:val="en-US" w:eastAsia="zh-CN"/>
                    </w:rPr>
                    <w:t>数据来源</w:t>
                  </w:r>
                </w:p>
              </w:tc>
              <w:tc>
                <w:tcPr>
                  <w:tcW w:w="1729" w:type="dxa"/>
                </w:tcPr>
                <w:p w14:paraId="50086E8F">
                  <w:pPr>
                    <w:numPr>
                      <w:ilvl w:val="0"/>
                      <w:numId w:val="0"/>
                    </w:numPr>
                    <w:jc w:val="center"/>
                    <w:rPr>
                      <w:rFonts w:hint="eastAsia"/>
                      <w:vertAlign w:val="baseline"/>
                      <w:lang w:eastAsia="zh-CN"/>
                    </w:rPr>
                  </w:pPr>
                  <w:r>
                    <w:rPr>
                      <w:rFonts w:hint="eastAsia"/>
                      <w:vertAlign w:val="baseline"/>
                      <w:lang w:eastAsia="zh-CN"/>
                    </w:rPr>
                    <w:t>数据性质</w:t>
                  </w:r>
                </w:p>
              </w:tc>
              <w:tc>
                <w:tcPr>
                  <w:tcW w:w="1729" w:type="dxa"/>
                </w:tcPr>
                <w:p w14:paraId="37BDE131">
                  <w:pPr>
                    <w:numPr>
                      <w:ilvl w:val="0"/>
                      <w:numId w:val="0"/>
                    </w:numPr>
                    <w:jc w:val="center"/>
                    <w:rPr>
                      <w:rFonts w:hint="default"/>
                      <w:vertAlign w:val="baseline"/>
                      <w:lang w:val="en-US" w:eastAsia="zh-CN"/>
                    </w:rPr>
                  </w:pPr>
                  <w:r>
                    <w:rPr>
                      <w:rFonts w:hint="eastAsia"/>
                      <w:vertAlign w:val="baseline"/>
                      <w:lang w:val="en-US" w:eastAsia="zh-CN"/>
                    </w:rPr>
                    <w:t>用途</w:t>
                  </w:r>
                </w:p>
              </w:tc>
            </w:tr>
            <w:tr w14:paraId="190C4670">
              <w:tc>
                <w:tcPr>
                  <w:tcW w:w="1728" w:type="dxa"/>
                </w:tcPr>
                <w:p w14:paraId="77376FEA">
                  <w:pPr>
                    <w:numPr>
                      <w:ilvl w:val="0"/>
                      <w:numId w:val="0"/>
                    </w:numPr>
                    <w:jc w:val="center"/>
                    <w:rPr>
                      <w:rFonts w:hint="default"/>
                      <w:vertAlign w:val="baseline"/>
                      <w:lang w:val="en-US" w:eastAsia="zh-CN"/>
                    </w:rPr>
                  </w:pPr>
                  <w:r>
                    <w:rPr>
                      <w:rFonts w:hint="eastAsia"/>
                      <w:vertAlign w:val="baseline"/>
                      <w:lang w:val="en-US" w:eastAsia="zh-CN"/>
                    </w:rPr>
                    <w:t>真实数据</w:t>
                  </w:r>
                </w:p>
              </w:tc>
              <w:tc>
                <w:tcPr>
                  <w:tcW w:w="1729" w:type="dxa"/>
                </w:tcPr>
                <w:p w14:paraId="3CF21802">
                  <w:pPr>
                    <w:numPr>
                      <w:ilvl w:val="0"/>
                      <w:numId w:val="0"/>
                    </w:numPr>
                    <w:jc w:val="center"/>
                    <w:rPr>
                      <w:rFonts w:hint="eastAsia"/>
                      <w:vertAlign w:val="baseline"/>
                      <w:lang w:eastAsia="zh-CN"/>
                    </w:rPr>
                  </w:pPr>
                  <w:r>
                    <w:rPr>
                      <w:rFonts w:hint="eastAsia"/>
                      <w:vertAlign w:val="baseline"/>
                      <w:lang w:eastAsia="zh-CN"/>
                    </w:rPr>
                    <w:t>组委会泵站资</w:t>
                  </w:r>
                </w:p>
                <w:p w14:paraId="7F8D2553">
                  <w:pPr>
                    <w:numPr>
                      <w:ilvl w:val="0"/>
                      <w:numId w:val="0"/>
                    </w:numPr>
                    <w:jc w:val="center"/>
                    <w:rPr>
                      <w:rFonts w:hint="eastAsia"/>
                      <w:vertAlign w:val="baseline"/>
                      <w:lang w:eastAsia="zh-CN"/>
                    </w:rPr>
                  </w:pPr>
                  <w:r>
                    <w:rPr>
                      <w:rFonts w:hint="eastAsia"/>
                      <w:vertAlign w:val="baseline"/>
                      <w:lang w:eastAsia="zh-CN"/>
                    </w:rPr>
                    <w:t>料</w:t>
                  </w:r>
                </w:p>
              </w:tc>
              <w:tc>
                <w:tcPr>
                  <w:tcW w:w="1729" w:type="dxa"/>
                </w:tcPr>
                <w:p w14:paraId="60EAD435">
                  <w:pPr>
                    <w:numPr>
                      <w:ilvl w:val="0"/>
                      <w:numId w:val="0"/>
                    </w:numPr>
                    <w:jc w:val="center"/>
                    <w:rPr>
                      <w:rFonts w:hint="default"/>
                      <w:vertAlign w:val="baseline"/>
                      <w:lang w:val="en-US" w:eastAsia="zh-CN"/>
                    </w:rPr>
                  </w:pPr>
                  <w:r>
                    <w:rPr>
                      <w:rFonts w:hint="eastAsia"/>
                      <w:vertAlign w:val="baseline"/>
                      <w:lang w:val="en-US" w:eastAsia="zh-CN"/>
                    </w:rPr>
                    <w:t>组委会提供</w:t>
                  </w:r>
                </w:p>
              </w:tc>
              <w:tc>
                <w:tcPr>
                  <w:tcW w:w="1729" w:type="dxa"/>
                </w:tcPr>
                <w:p w14:paraId="6DE91C71">
                  <w:pPr>
                    <w:numPr>
                      <w:ilvl w:val="0"/>
                      <w:numId w:val="0"/>
                    </w:numPr>
                    <w:jc w:val="center"/>
                    <w:rPr>
                      <w:rFonts w:hint="eastAsia"/>
                      <w:vertAlign w:val="baseline"/>
                      <w:lang w:eastAsia="zh-CN"/>
                    </w:rPr>
                  </w:pPr>
                  <w:r>
                    <w:rPr>
                      <w:rFonts w:hint="eastAsia"/>
                      <w:vertAlign w:val="baseline"/>
                      <w:lang w:eastAsia="zh-CN"/>
                    </w:rPr>
                    <w:t>静态官方骨架</w:t>
                  </w:r>
                </w:p>
              </w:tc>
              <w:tc>
                <w:tcPr>
                  <w:tcW w:w="1729" w:type="dxa"/>
                </w:tcPr>
                <w:p w14:paraId="45C7EA70">
                  <w:pPr>
                    <w:numPr>
                      <w:ilvl w:val="0"/>
                      <w:numId w:val="0"/>
                    </w:numPr>
                    <w:jc w:val="center"/>
                    <w:rPr>
                      <w:rFonts w:hint="default"/>
                      <w:vertAlign w:val="baseline"/>
                      <w:lang w:val="en-US" w:eastAsia="zh-CN"/>
                    </w:rPr>
                  </w:pPr>
                  <w:r>
                    <w:rPr>
                      <w:rFonts w:hint="eastAsia"/>
                      <w:vertAlign w:val="baseline"/>
                      <w:lang w:eastAsia="zh-CN"/>
                    </w:rPr>
                    <w:t>约束管网拓扑与</w:t>
                  </w:r>
                  <w:r>
                    <w:rPr>
                      <w:rFonts w:hint="eastAsia"/>
                      <w:vertAlign w:val="baseline"/>
                      <w:lang w:val="en-US" w:eastAsia="zh-CN"/>
                    </w:rPr>
                    <w:t>调控对象</w:t>
                  </w:r>
                </w:p>
              </w:tc>
            </w:tr>
            <w:tr w14:paraId="67815BDA">
              <w:tc>
                <w:tcPr>
                  <w:tcW w:w="1728" w:type="dxa"/>
                </w:tcPr>
                <w:p w14:paraId="78A57DE2">
                  <w:pPr>
                    <w:numPr>
                      <w:ilvl w:val="0"/>
                      <w:numId w:val="0"/>
                    </w:numPr>
                    <w:jc w:val="center"/>
                    <w:rPr>
                      <w:rFonts w:hint="eastAsia"/>
                      <w:vertAlign w:val="baseline"/>
                      <w:lang w:eastAsia="zh-CN"/>
                    </w:rPr>
                  </w:pPr>
                  <w:r>
                    <w:rPr>
                      <w:rFonts w:hint="eastAsia"/>
                      <w:vertAlign w:val="baseline"/>
                      <w:lang w:val="en-US" w:eastAsia="zh-CN"/>
                    </w:rPr>
                    <w:t>真实数据</w:t>
                  </w:r>
                </w:p>
              </w:tc>
              <w:tc>
                <w:tcPr>
                  <w:tcW w:w="1729" w:type="dxa"/>
                </w:tcPr>
                <w:p w14:paraId="7F5D201F">
                  <w:pPr>
                    <w:numPr>
                      <w:ilvl w:val="0"/>
                      <w:numId w:val="0"/>
                    </w:numPr>
                    <w:jc w:val="center"/>
                    <w:rPr>
                      <w:rFonts w:hint="eastAsia"/>
                      <w:vertAlign w:val="baseline"/>
                      <w:lang w:eastAsia="zh-CN"/>
                    </w:rPr>
                  </w:pPr>
                  <w:r>
                    <w:rPr>
                      <w:rFonts w:hint="eastAsia"/>
                      <w:vertAlign w:val="baseline"/>
                      <w:lang w:eastAsia="zh-CN"/>
                    </w:rPr>
                    <w:t>上海水务局水情数据</w:t>
                  </w:r>
                </w:p>
              </w:tc>
              <w:tc>
                <w:tcPr>
                  <w:tcW w:w="1729" w:type="dxa"/>
                </w:tcPr>
                <w:p w14:paraId="24CBC907">
                  <w:pPr>
                    <w:pStyle w:val="24"/>
                    <w:keepNext w:val="0"/>
                    <w:keepLines w:val="0"/>
                    <w:widowControl/>
                    <w:suppressLineNumbers w:val="0"/>
                    <w:jc w:val="center"/>
                  </w:pPr>
                  <w:r>
                    <w:fldChar w:fldCharType="begin"/>
                  </w:r>
                  <w:r>
                    <w:instrText xml:space="preserve"> HYPERLINK "http://data.sh.gov.cn" </w:instrText>
                  </w:r>
                  <w:r>
                    <w:fldChar w:fldCharType="separate"/>
                  </w:r>
                  <w:r>
                    <w:rPr>
                      <w:rStyle w:val="17"/>
                    </w:rPr>
                    <w:t>http://data.sh.gov.cn</w:t>
                  </w:r>
                  <w:r>
                    <w:fldChar w:fldCharType="end"/>
                  </w:r>
                </w:p>
                <w:p w14:paraId="0B5D34BF">
                  <w:pPr>
                    <w:numPr>
                      <w:ilvl w:val="0"/>
                      <w:numId w:val="0"/>
                    </w:numPr>
                    <w:jc w:val="center"/>
                    <w:rPr>
                      <w:rFonts w:hint="eastAsia"/>
                      <w:vertAlign w:val="baseline"/>
                      <w:lang w:eastAsia="zh-CN"/>
                    </w:rPr>
                  </w:pPr>
                </w:p>
              </w:tc>
              <w:tc>
                <w:tcPr>
                  <w:tcW w:w="1729" w:type="dxa"/>
                </w:tcPr>
                <w:p w14:paraId="6F614513">
                  <w:pPr>
                    <w:numPr>
                      <w:ilvl w:val="0"/>
                      <w:numId w:val="0"/>
                    </w:numPr>
                    <w:jc w:val="center"/>
                    <w:rPr>
                      <w:rFonts w:hint="default"/>
                      <w:vertAlign w:val="baseline"/>
                      <w:lang w:val="en-US" w:eastAsia="zh-CN"/>
                    </w:rPr>
                  </w:pPr>
                  <w:r>
                    <w:rPr>
                      <w:rFonts w:hint="eastAsia"/>
                      <w:vertAlign w:val="baseline"/>
                      <w:lang w:eastAsia="zh-CN"/>
                    </w:rPr>
                    <w:t>52站实测10~15min 时</w:t>
                  </w:r>
                  <w:r>
                    <w:rPr>
                      <w:rFonts w:hint="eastAsia"/>
                      <w:vertAlign w:val="baseline"/>
                      <w:lang w:val="en-US" w:eastAsia="zh-CN"/>
                    </w:rPr>
                    <w:t>序</w:t>
                  </w:r>
                </w:p>
              </w:tc>
              <w:tc>
                <w:tcPr>
                  <w:tcW w:w="1729" w:type="dxa"/>
                </w:tcPr>
                <w:p w14:paraId="7AAA294C">
                  <w:pPr>
                    <w:numPr>
                      <w:ilvl w:val="0"/>
                      <w:numId w:val="0"/>
                    </w:numPr>
                    <w:jc w:val="center"/>
                    <w:rPr>
                      <w:rFonts w:hint="eastAsia"/>
                      <w:vertAlign w:val="baseline"/>
                      <w:lang w:eastAsia="zh-CN"/>
                    </w:rPr>
                  </w:pPr>
                  <w:r>
                    <w:rPr>
                      <w:rFonts w:hint="eastAsia"/>
                      <w:vertAlign w:val="baseline"/>
                      <w:lang w:eastAsia="zh-CN"/>
                    </w:rPr>
                    <w:t>模拟场景的实测降雨驱动</w:t>
                  </w:r>
                </w:p>
              </w:tc>
            </w:tr>
            <w:tr w14:paraId="1B157230">
              <w:tc>
                <w:tcPr>
                  <w:tcW w:w="1728" w:type="dxa"/>
                </w:tcPr>
                <w:p w14:paraId="302C5CC7">
                  <w:pPr>
                    <w:numPr>
                      <w:ilvl w:val="0"/>
                      <w:numId w:val="0"/>
                    </w:numPr>
                    <w:jc w:val="center"/>
                    <w:rPr>
                      <w:rFonts w:hint="eastAsia"/>
                      <w:vertAlign w:val="baseline"/>
                      <w:lang w:eastAsia="zh-CN"/>
                    </w:rPr>
                  </w:pPr>
                  <w:r>
                    <w:rPr>
                      <w:rFonts w:hint="eastAsia"/>
                      <w:vertAlign w:val="baseline"/>
                      <w:lang w:val="en-US" w:eastAsia="zh-CN"/>
                    </w:rPr>
                    <w:t>真实数据</w:t>
                  </w:r>
                </w:p>
              </w:tc>
              <w:tc>
                <w:tcPr>
                  <w:tcW w:w="1729" w:type="dxa"/>
                </w:tcPr>
                <w:p w14:paraId="3D77FAA2">
                  <w:pPr>
                    <w:numPr>
                      <w:ilvl w:val="0"/>
                      <w:numId w:val="0"/>
                    </w:numPr>
                    <w:jc w:val="center"/>
                    <w:rPr>
                      <w:rFonts w:hint="default"/>
                      <w:vertAlign w:val="baseline"/>
                      <w:lang w:val="en-US" w:eastAsia="zh-CN"/>
                    </w:rPr>
                  </w:pPr>
                  <w:r>
                    <w:rPr>
                      <w:rFonts w:hint="eastAsia"/>
                      <w:vertAlign w:val="baseline"/>
                      <w:lang w:eastAsia="zh-CN"/>
                    </w:rPr>
                    <w:t>NOAA ISD /</w:t>
                  </w:r>
                  <w:r>
                    <w:rPr>
                      <w:rFonts w:hint="eastAsia"/>
                      <w:vertAlign w:val="baseline"/>
                      <w:lang w:val="en-US" w:eastAsia="zh-CN"/>
                    </w:rPr>
                    <w:t>ERA5</w:t>
                  </w:r>
                </w:p>
              </w:tc>
              <w:tc>
                <w:tcPr>
                  <w:tcW w:w="1729" w:type="dxa"/>
                </w:tcPr>
                <w:p w14:paraId="0A42BAE5">
                  <w:pPr>
                    <w:numPr>
                      <w:ilvl w:val="0"/>
                      <w:numId w:val="0"/>
                    </w:numPr>
                    <w:jc w:val="center"/>
                    <w:rPr>
                      <w:rFonts w:hint="eastAsia"/>
                      <w:vertAlign w:val="baseline"/>
                      <w:lang w:eastAsia="zh-CN"/>
                    </w:rPr>
                  </w:pPr>
                  <w:r>
                    <w:rPr>
                      <w:rFonts w:hint="eastAsia"/>
                      <w:vertAlign w:val="baseline"/>
                      <w:lang w:eastAsia="zh-CN"/>
                    </w:rPr>
                    <w:t>NOAA NCEI / Open-Meteo</w:t>
                  </w:r>
                </w:p>
              </w:tc>
              <w:tc>
                <w:tcPr>
                  <w:tcW w:w="1729" w:type="dxa"/>
                </w:tcPr>
                <w:p w14:paraId="2C5A5418">
                  <w:pPr>
                    <w:numPr>
                      <w:ilvl w:val="0"/>
                      <w:numId w:val="0"/>
                    </w:numPr>
                    <w:jc w:val="center"/>
                    <w:rPr>
                      <w:rFonts w:hint="default"/>
                      <w:vertAlign w:val="baseline"/>
                      <w:lang w:val="en-US" w:eastAsia="zh-CN"/>
                    </w:rPr>
                  </w:pPr>
                  <w:r>
                    <w:rPr>
                      <w:rFonts w:hint="eastAsia"/>
                      <w:vertAlign w:val="baseline"/>
                      <w:lang w:eastAsia="zh-CN"/>
                    </w:rPr>
                    <w:t>逐小时气象</w:t>
                  </w:r>
                  <w:r>
                    <w:rPr>
                      <w:rFonts w:hint="eastAsia"/>
                      <w:vertAlign w:val="baseline"/>
                      <w:lang w:val="en-US" w:eastAsia="zh-CN"/>
                    </w:rPr>
                    <w:t>观测</w:t>
                  </w:r>
                </w:p>
              </w:tc>
              <w:tc>
                <w:tcPr>
                  <w:tcW w:w="1729" w:type="dxa"/>
                </w:tcPr>
                <w:p w14:paraId="3A2EBC28">
                  <w:pPr>
                    <w:numPr>
                      <w:ilvl w:val="0"/>
                      <w:numId w:val="0"/>
                    </w:numPr>
                    <w:jc w:val="center"/>
                    <w:rPr>
                      <w:rFonts w:hint="eastAsia"/>
                      <w:vertAlign w:val="baseline"/>
                      <w:lang w:eastAsia="zh-CN"/>
                    </w:rPr>
                  </w:pPr>
                  <w:r>
                    <w:rPr>
                      <w:rFonts w:hint="eastAsia"/>
                      <w:vertAlign w:val="baseline"/>
                      <w:lang w:eastAsia="zh-CN"/>
                    </w:rPr>
                    <w:t>与水情信息互校</w:t>
                  </w:r>
                </w:p>
              </w:tc>
            </w:tr>
            <w:tr w14:paraId="68C25D96">
              <w:tc>
                <w:tcPr>
                  <w:tcW w:w="1728" w:type="dxa"/>
                </w:tcPr>
                <w:p w14:paraId="15161C84">
                  <w:pPr>
                    <w:numPr>
                      <w:ilvl w:val="0"/>
                      <w:numId w:val="0"/>
                    </w:numPr>
                    <w:jc w:val="center"/>
                    <w:rPr>
                      <w:rFonts w:hint="eastAsia"/>
                      <w:vertAlign w:val="baseline"/>
                      <w:lang w:eastAsia="zh-CN"/>
                    </w:rPr>
                  </w:pPr>
                  <w:r>
                    <w:rPr>
                      <w:rFonts w:hint="eastAsia"/>
                      <w:vertAlign w:val="baseline"/>
                      <w:lang w:val="en-US" w:eastAsia="zh-CN"/>
                    </w:rPr>
                    <w:t>真实数据</w:t>
                  </w:r>
                </w:p>
              </w:tc>
              <w:tc>
                <w:tcPr>
                  <w:tcW w:w="1729" w:type="dxa"/>
                </w:tcPr>
                <w:p w14:paraId="62B6D08D">
                  <w:pPr>
                    <w:numPr>
                      <w:ilvl w:val="0"/>
                      <w:numId w:val="0"/>
                    </w:numPr>
                    <w:jc w:val="center"/>
                    <w:rPr>
                      <w:rFonts w:hint="eastAsia"/>
                      <w:vertAlign w:val="baseline"/>
                      <w:lang w:eastAsia="zh-CN"/>
                    </w:rPr>
                  </w:pPr>
                  <w:r>
                    <w:rPr>
                      <w:rFonts w:hint="eastAsia"/>
                      <w:vertAlign w:val="baseline"/>
                      <w:lang w:eastAsia="zh-CN"/>
                    </w:rPr>
                    <w:t>Köln-Weiden</w:t>
                  </w:r>
                </w:p>
                <w:p w14:paraId="65B9C9A9">
                  <w:pPr>
                    <w:numPr>
                      <w:ilvl w:val="0"/>
                      <w:numId w:val="0"/>
                    </w:numPr>
                    <w:jc w:val="center"/>
                    <w:rPr>
                      <w:rFonts w:hint="default"/>
                      <w:vertAlign w:val="baseline"/>
                      <w:lang w:val="en-US" w:eastAsia="zh-CN"/>
                    </w:rPr>
                  </w:pPr>
                  <w:r>
                    <w:rPr>
                      <w:rFonts w:hint="eastAsia"/>
                      <w:vertAlign w:val="baseline"/>
                      <w:lang w:val="en-US" w:eastAsia="zh-CN"/>
                    </w:rPr>
                    <w:t>数据集</w:t>
                  </w:r>
                </w:p>
              </w:tc>
              <w:tc>
                <w:tcPr>
                  <w:tcW w:w="1729" w:type="dxa"/>
                </w:tcPr>
                <w:p w14:paraId="6E78A1F5">
                  <w:pPr>
                    <w:numPr>
                      <w:ilvl w:val="0"/>
                      <w:numId w:val="0"/>
                    </w:numPr>
                    <w:jc w:val="center"/>
                    <w:rPr>
                      <w:rFonts w:hint="default"/>
                      <w:vertAlign w:val="baseline"/>
                      <w:lang w:val="en-US" w:eastAsia="zh-CN"/>
                    </w:rPr>
                  </w:pPr>
                  <w:r>
                    <w:rPr>
                      <w:rFonts w:hint="eastAsia"/>
                      <w:vertAlign w:val="baseline"/>
                      <w:lang w:eastAsia="zh-CN"/>
                    </w:rPr>
                    <w:t>Zenodo 6992694 (CC-BY-</w:t>
                  </w:r>
                  <w:r>
                    <w:rPr>
                      <w:rFonts w:hint="eastAsia"/>
                      <w:vertAlign w:val="baseline"/>
                      <w:lang w:val="en-US" w:eastAsia="zh-CN"/>
                    </w:rPr>
                    <w:t>4.0</w:t>
                  </w:r>
                  <w:r>
                    <w:rPr>
                      <w:rFonts w:hint="default"/>
                      <w:vertAlign w:val="baseline"/>
                      <w:lang w:val="en-US" w:eastAsia="zh-CN"/>
                    </w:rPr>
                    <w:t>)</w:t>
                  </w:r>
                </w:p>
              </w:tc>
              <w:tc>
                <w:tcPr>
                  <w:tcW w:w="1729" w:type="dxa"/>
                </w:tcPr>
                <w:p w14:paraId="4D18B156">
                  <w:pPr>
                    <w:numPr>
                      <w:ilvl w:val="0"/>
                      <w:numId w:val="0"/>
                    </w:numPr>
                    <w:jc w:val="center"/>
                    <w:rPr>
                      <w:rFonts w:hint="default"/>
                      <w:vertAlign w:val="baseline"/>
                      <w:lang w:val="en-US" w:eastAsia="zh-CN"/>
                    </w:rPr>
                  </w:pPr>
                  <w:r>
                    <w:rPr>
                      <w:rFonts w:hint="eastAsia"/>
                      <w:vertAlign w:val="baseline"/>
                      <w:lang w:eastAsia="zh-CN"/>
                    </w:rPr>
                    <w:t>厂-网-雨全</w:t>
                  </w:r>
                  <w:r>
                    <w:rPr>
                      <w:rFonts w:hint="eastAsia"/>
                      <w:vertAlign w:val="baseline"/>
                      <w:lang w:val="en-US" w:eastAsia="zh-CN"/>
                    </w:rPr>
                    <w:t>年15min时序</w:t>
                  </w:r>
                </w:p>
              </w:tc>
              <w:tc>
                <w:tcPr>
                  <w:tcW w:w="1729" w:type="dxa"/>
                </w:tcPr>
                <w:p w14:paraId="7D0D6C03">
                  <w:pPr>
                    <w:numPr>
                      <w:ilvl w:val="0"/>
                      <w:numId w:val="0"/>
                    </w:numPr>
                    <w:jc w:val="center"/>
                    <w:rPr>
                      <w:rFonts w:hint="default"/>
                      <w:vertAlign w:val="baseline"/>
                      <w:lang w:val="en-US" w:eastAsia="zh-CN"/>
                    </w:rPr>
                  </w:pPr>
                  <w:r>
                    <w:rPr>
                      <w:rFonts w:hint="eastAsia"/>
                      <w:vertAlign w:val="baseline"/>
                      <w:lang w:eastAsia="zh-CN"/>
                    </w:rPr>
                    <w:t>方法有效性验证</w:t>
                  </w:r>
                  <w:r>
                    <w:rPr>
                      <w:rFonts w:hint="eastAsia"/>
                      <w:vertAlign w:val="baseline"/>
                      <w:lang w:val="en-US" w:eastAsia="zh-CN"/>
                    </w:rPr>
                    <w:t>主数据集</w:t>
                  </w:r>
                </w:p>
              </w:tc>
            </w:tr>
            <w:tr w14:paraId="129E324F">
              <w:tc>
                <w:tcPr>
                  <w:tcW w:w="1728" w:type="dxa"/>
                </w:tcPr>
                <w:p w14:paraId="3A15C999">
                  <w:pPr>
                    <w:numPr>
                      <w:ilvl w:val="0"/>
                      <w:numId w:val="0"/>
                    </w:numPr>
                    <w:jc w:val="center"/>
                    <w:rPr>
                      <w:rFonts w:hint="eastAsia"/>
                      <w:vertAlign w:val="baseline"/>
                      <w:lang w:val="en-US" w:eastAsia="zh-CN"/>
                    </w:rPr>
                  </w:pPr>
                  <w:r>
                    <w:rPr>
                      <w:rFonts w:hint="eastAsia"/>
                      <w:vertAlign w:val="baseline"/>
                      <w:lang w:val="en-US" w:eastAsia="zh-CN"/>
                    </w:rPr>
                    <w:t>真实数据</w:t>
                  </w:r>
                </w:p>
              </w:tc>
              <w:tc>
                <w:tcPr>
                  <w:tcW w:w="1729" w:type="dxa"/>
                </w:tcPr>
                <w:p w14:paraId="54B630F1">
                  <w:pPr>
                    <w:numPr>
                      <w:ilvl w:val="0"/>
                      <w:numId w:val="0"/>
                    </w:numPr>
                    <w:jc w:val="center"/>
                    <w:rPr>
                      <w:rFonts w:hint="default"/>
                      <w:vertAlign w:val="baseline"/>
                      <w:lang w:val="en-US" w:eastAsia="zh-CN"/>
                    </w:rPr>
                  </w:pPr>
                  <w:r>
                    <w:rPr>
                      <w:rFonts w:hint="eastAsia"/>
                      <w:vertAlign w:val="baseline"/>
                      <w:lang w:eastAsia="zh-CN"/>
                    </w:rPr>
                    <w:t>BSM</w:t>
                  </w:r>
                  <w:r>
                    <w:rPr>
                      <w:rFonts w:hint="eastAsia"/>
                      <w:vertAlign w:val="baseline"/>
                      <w:lang w:val="en-US" w:eastAsia="zh-CN"/>
                    </w:rPr>
                    <w:t>2</w:t>
                  </w:r>
                  <w:r>
                    <w:rPr>
                      <w:rFonts w:hint="eastAsia"/>
                      <w:vertAlign w:val="baseline"/>
                      <w:lang w:eastAsia="zh-CN"/>
                    </w:rPr>
                    <w:t>基准进</w:t>
                  </w:r>
                  <w:r>
                    <w:rPr>
                      <w:rFonts w:hint="eastAsia"/>
                      <w:vertAlign w:val="baseline"/>
                      <w:lang w:val="en-US" w:eastAsia="zh-CN"/>
                    </w:rPr>
                    <w:t>水</w:t>
                  </w:r>
                </w:p>
              </w:tc>
              <w:tc>
                <w:tcPr>
                  <w:tcW w:w="1729" w:type="dxa"/>
                </w:tcPr>
                <w:p w14:paraId="68ABF812">
                  <w:pPr>
                    <w:pStyle w:val="11"/>
                    <w:keepNext w:val="0"/>
                    <w:keepLines w:val="0"/>
                    <w:widowControl/>
                    <w:suppressLineNumbers w:val="0"/>
                    <w:spacing w:before="0" w:beforeAutospacing="0" w:after="0" w:afterAutospacing="0"/>
                    <w:ind w:left="0" w:right="0"/>
                    <w:jc w:val="center"/>
                    <w:rPr>
                      <w:rFonts w:hint="default"/>
                      <w:vertAlign w:val="baseline"/>
                      <w:lang w:val="en-US" w:eastAsia="zh-CN"/>
                    </w:rPr>
                  </w:pPr>
                  <w:r>
                    <w:rPr>
                      <w:rFonts w:ascii="helvetica" w:hAnsi="helvetica" w:eastAsia="helvetica" w:cs="helvetica"/>
                      <w:kern w:val="0"/>
                      <w:sz w:val="18"/>
                      <w:szCs w:val="18"/>
                      <w:lang w:val="en-US" w:eastAsia="zh-CN" w:bidi="ar"/>
                    </w:rPr>
                    <w:fldChar w:fldCharType="begin"/>
                  </w:r>
                  <w:r>
                    <w:rPr>
                      <w:rFonts w:ascii="helvetica" w:hAnsi="helvetica" w:eastAsia="helvetica" w:cs="helvetica"/>
                      <w:kern w:val="0"/>
                      <w:sz w:val="18"/>
                      <w:szCs w:val="18"/>
                      <w:lang w:val="en-US" w:eastAsia="zh-CN" w:bidi="ar"/>
                    </w:rPr>
                    <w:instrText xml:space="preserve"> HYPERLINK "http://github.com/fau-evt/bsm2-" </w:instrText>
                  </w:r>
                  <w:r>
                    <w:rPr>
                      <w:rFonts w:ascii="helvetica" w:hAnsi="helvetica" w:eastAsia="helvetica" w:cs="helvetica"/>
                      <w:kern w:val="0"/>
                      <w:sz w:val="18"/>
                      <w:szCs w:val="18"/>
                      <w:lang w:val="en-US" w:eastAsia="zh-CN" w:bidi="ar"/>
                    </w:rPr>
                    <w:fldChar w:fldCharType="separate"/>
                  </w:r>
                  <w:r>
                    <w:rPr>
                      <w:rStyle w:val="17"/>
                    </w:rPr>
                    <w:t>http://github.com/fau-evt/bsm2-</w:t>
                  </w:r>
                  <w:r>
                    <w:rPr>
                      <w:rFonts w:ascii="helvetica" w:hAnsi="helvetica" w:eastAsia="helvetica" w:cs="helvetica"/>
                      <w:kern w:val="0"/>
                      <w:sz w:val="18"/>
                      <w:szCs w:val="18"/>
                      <w:lang w:val="en-US" w:eastAsia="zh-CN" w:bidi="ar"/>
                    </w:rPr>
                    <w:fldChar w:fldCharType="end"/>
                  </w:r>
                  <w:r>
                    <w:rPr>
                      <w:rFonts w:hint="default" w:ascii="helvetica" w:hAnsi="helvetica" w:eastAsia="helvetica" w:cs="helvetica"/>
                      <w:kern w:val="0"/>
                      <w:sz w:val="18"/>
                      <w:szCs w:val="18"/>
                      <w:lang w:val="en-US" w:eastAsia="zh-CN" w:bidi="ar"/>
                    </w:rPr>
                    <w:t>python(BSD)</w:t>
                  </w:r>
                </w:p>
              </w:tc>
              <w:tc>
                <w:tcPr>
                  <w:tcW w:w="1729" w:type="dxa"/>
                </w:tcPr>
                <w:p w14:paraId="106BF9D7">
                  <w:pPr>
                    <w:numPr>
                      <w:ilvl w:val="0"/>
                      <w:numId w:val="0"/>
                    </w:numPr>
                    <w:jc w:val="center"/>
                    <w:rPr>
                      <w:rFonts w:hint="default"/>
                      <w:vertAlign w:val="baseline"/>
                      <w:lang w:val="en-US" w:eastAsia="zh-CN"/>
                    </w:rPr>
                  </w:pPr>
                  <w:r>
                    <w:rPr>
                      <w:rFonts w:hint="eastAsia"/>
                      <w:vertAlign w:val="baseline"/>
                      <w:lang w:eastAsia="zh-CN"/>
                    </w:rPr>
                    <w:t>早天/雨天动</w:t>
                  </w:r>
                  <w:r>
                    <w:rPr>
                      <w:rFonts w:hint="eastAsia"/>
                      <w:vertAlign w:val="baseline"/>
                      <w:lang w:val="en-US" w:eastAsia="zh-CN"/>
                    </w:rPr>
                    <w:t>态进水</w:t>
                  </w:r>
                </w:p>
              </w:tc>
              <w:tc>
                <w:tcPr>
                  <w:tcW w:w="1729" w:type="dxa"/>
                </w:tcPr>
                <w:p w14:paraId="6F0C4F61">
                  <w:pPr>
                    <w:numPr>
                      <w:ilvl w:val="0"/>
                      <w:numId w:val="0"/>
                    </w:numPr>
                    <w:jc w:val="center"/>
                    <w:rPr>
                      <w:rFonts w:hint="default"/>
                      <w:vertAlign w:val="baseline"/>
                      <w:lang w:val="en-US" w:eastAsia="zh-CN"/>
                    </w:rPr>
                  </w:pPr>
                  <w:r>
                    <w:rPr>
                      <w:rFonts w:hint="eastAsia"/>
                      <w:vertAlign w:val="baseline"/>
                      <w:lang w:eastAsia="zh-CN"/>
                    </w:rPr>
                    <w:t>进水模式量级参</w:t>
                  </w:r>
                  <w:r>
                    <w:rPr>
                      <w:rFonts w:hint="eastAsia"/>
                      <w:vertAlign w:val="baseline"/>
                      <w:lang w:val="en-US" w:eastAsia="zh-CN"/>
                    </w:rPr>
                    <w:t>照</w:t>
                  </w:r>
                </w:p>
              </w:tc>
            </w:tr>
            <w:tr w14:paraId="430F0B31">
              <w:tc>
                <w:tcPr>
                  <w:tcW w:w="1728" w:type="dxa"/>
                </w:tcPr>
                <w:p w14:paraId="314859B6">
                  <w:pPr>
                    <w:numPr>
                      <w:ilvl w:val="0"/>
                      <w:numId w:val="0"/>
                    </w:numPr>
                    <w:jc w:val="center"/>
                    <w:rPr>
                      <w:rFonts w:hint="eastAsia"/>
                      <w:vertAlign w:val="baseline"/>
                      <w:lang w:val="en-US" w:eastAsia="zh-CN"/>
                    </w:rPr>
                  </w:pPr>
                  <w:r>
                    <w:rPr>
                      <w:rFonts w:hint="eastAsia"/>
                      <w:vertAlign w:val="baseline"/>
                      <w:lang w:val="en-US" w:eastAsia="zh-CN"/>
                    </w:rPr>
                    <w:t>真实数据</w:t>
                  </w:r>
                </w:p>
              </w:tc>
              <w:tc>
                <w:tcPr>
                  <w:tcW w:w="1729" w:type="dxa"/>
                </w:tcPr>
                <w:p w14:paraId="57F9E8F5">
                  <w:pPr>
                    <w:numPr>
                      <w:ilvl w:val="0"/>
                      <w:numId w:val="0"/>
                    </w:numPr>
                    <w:jc w:val="center"/>
                    <w:rPr>
                      <w:rFonts w:hint="default"/>
                      <w:vertAlign w:val="baseline"/>
                      <w:lang w:val="en-US" w:eastAsia="zh-CN"/>
                    </w:rPr>
                  </w:pPr>
                  <w:r>
                    <w:rPr>
                      <w:rFonts w:hint="eastAsia"/>
                      <w:vertAlign w:val="baseline"/>
                      <w:lang w:eastAsia="zh-CN"/>
                    </w:rPr>
                    <w:t>SWMM示例</w:t>
                  </w:r>
                  <w:r>
                    <w:rPr>
                      <w:rFonts w:hint="eastAsia"/>
                      <w:vertAlign w:val="baseline"/>
                      <w:lang w:val="en-US" w:eastAsia="zh-CN"/>
                    </w:rPr>
                    <w:t>管网</w:t>
                  </w:r>
                </w:p>
              </w:tc>
              <w:tc>
                <w:tcPr>
                  <w:tcW w:w="1729" w:type="dxa"/>
                </w:tcPr>
                <w:p w14:paraId="3D6D197E">
                  <w:pPr>
                    <w:pStyle w:val="11"/>
                    <w:keepNext w:val="0"/>
                    <w:keepLines w:val="0"/>
                    <w:widowControl/>
                    <w:suppressLineNumbers w:val="0"/>
                    <w:spacing w:before="0" w:beforeAutospacing="0" w:after="0" w:afterAutospacing="0"/>
                    <w:ind w:left="0" w:right="0"/>
                    <w:jc w:val="center"/>
                  </w:pPr>
                  <w:r>
                    <w:rPr>
                      <w:rFonts w:ascii="helvetica" w:hAnsi="helvetica" w:eastAsia="helvetica" w:cs="helvetica"/>
                      <w:kern w:val="0"/>
                      <w:sz w:val="18"/>
                      <w:szCs w:val="18"/>
                      <w:lang w:val="en-US" w:eastAsia="zh-CN" w:bidi="ar"/>
                    </w:rPr>
                    <w:fldChar w:fldCharType="begin"/>
                  </w:r>
                  <w:r>
                    <w:rPr>
                      <w:rFonts w:ascii="helvetica" w:hAnsi="helvetica" w:eastAsia="helvetica" w:cs="helvetica"/>
                      <w:kern w:val="0"/>
                      <w:sz w:val="18"/>
                      <w:szCs w:val="18"/>
                      <w:lang w:val="en-US" w:eastAsia="zh-CN" w:bidi="ar"/>
                    </w:rPr>
                    <w:instrText xml:space="preserve"> HYPERLINK "http://github.com/pyswmm/pyswmm" </w:instrText>
                  </w:r>
                  <w:r>
                    <w:rPr>
                      <w:rFonts w:ascii="helvetica" w:hAnsi="helvetica" w:eastAsia="helvetica" w:cs="helvetica"/>
                      <w:kern w:val="0"/>
                      <w:sz w:val="18"/>
                      <w:szCs w:val="18"/>
                      <w:lang w:val="en-US" w:eastAsia="zh-CN" w:bidi="ar"/>
                    </w:rPr>
                    <w:fldChar w:fldCharType="separate"/>
                  </w:r>
                  <w:r>
                    <w:rPr>
                      <w:rStyle w:val="17"/>
                    </w:rPr>
                    <w:t>http://github.com/pyswmm/pyswmm</w:t>
                  </w:r>
                  <w:r>
                    <w:rPr>
                      <w:rFonts w:ascii="helvetica" w:hAnsi="helvetica" w:eastAsia="helvetica" w:cs="helvetica"/>
                      <w:kern w:val="0"/>
                      <w:sz w:val="18"/>
                      <w:szCs w:val="18"/>
                      <w:lang w:val="en-US" w:eastAsia="zh-CN" w:bidi="ar"/>
                    </w:rPr>
                    <w:fldChar w:fldCharType="end"/>
                  </w:r>
                </w:p>
                <w:p w14:paraId="6824F385">
                  <w:pPr>
                    <w:numPr>
                      <w:ilvl w:val="0"/>
                      <w:numId w:val="0"/>
                    </w:numPr>
                    <w:jc w:val="center"/>
                    <w:rPr>
                      <w:rFonts w:hint="default"/>
                      <w:vertAlign w:val="baseline"/>
                      <w:lang w:val="en-US" w:eastAsia="zh-CN"/>
                    </w:rPr>
                  </w:pPr>
                  <w:r>
                    <w:rPr>
                      <w:rFonts w:hint="default"/>
                      <w:vertAlign w:val="baseline"/>
                      <w:lang w:val="en-US" w:eastAsia="zh-CN"/>
                    </w:rPr>
                    <w:t>(MIT)</w:t>
                  </w:r>
                </w:p>
              </w:tc>
              <w:tc>
                <w:tcPr>
                  <w:tcW w:w="1729" w:type="dxa"/>
                </w:tcPr>
                <w:p w14:paraId="45A899C9">
                  <w:pPr>
                    <w:numPr>
                      <w:ilvl w:val="0"/>
                      <w:numId w:val="0"/>
                    </w:numPr>
                    <w:jc w:val="center"/>
                    <w:rPr>
                      <w:rFonts w:hint="eastAsia"/>
                      <w:vertAlign w:val="baseline"/>
                      <w:lang w:eastAsia="zh-CN"/>
                    </w:rPr>
                  </w:pPr>
                  <w:r>
                    <w:rPr>
                      <w:rFonts w:hint="eastAsia"/>
                      <w:vertAlign w:val="baseline"/>
                      <w:lang w:eastAsia="zh-CN"/>
                    </w:rPr>
                    <w:t>含泵/堰/污染物的.inp</w:t>
                  </w:r>
                </w:p>
              </w:tc>
              <w:tc>
                <w:tcPr>
                  <w:tcW w:w="1729" w:type="dxa"/>
                </w:tcPr>
                <w:p w14:paraId="2E57F7C0">
                  <w:pPr>
                    <w:numPr>
                      <w:ilvl w:val="0"/>
                      <w:numId w:val="0"/>
                    </w:numPr>
                    <w:jc w:val="center"/>
                    <w:rPr>
                      <w:rFonts w:hint="default"/>
                      <w:vertAlign w:val="baseline"/>
                      <w:lang w:val="en-US" w:eastAsia="zh-CN"/>
                    </w:rPr>
                  </w:pPr>
                  <w:r>
                    <w:rPr>
                      <w:rFonts w:hint="eastAsia"/>
                      <w:vertAlign w:val="baseline"/>
                      <w:lang w:eastAsia="zh-CN"/>
                    </w:rPr>
                    <w:t>SWMM 建模范式</w:t>
                  </w:r>
                  <w:r>
                    <w:rPr>
                      <w:rFonts w:hint="eastAsia"/>
                      <w:vertAlign w:val="baseline"/>
                      <w:lang w:val="en-US" w:eastAsia="zh-CN"/>
                    </w:rPr>
                    <w:t>参考</w:t>
                  </w:r>
                </w:p>
              </w:tc>
            </w:tr>
            <w:tr w14:paraId="5E8078E2">
              <w:tc>
                <w:tcPr>
                  <w:tcW w:w="1728" w:type="dxa"/>
                </w:tcPr>
                <w:p w14:paraId="762CC59F">
                  <w:pPr>
                    <w:numPr>
                      <w:ilvl w:val="0"/>
                      <w:numId w:val="0"/>
                    </w:numPr>
                    <w:jc w:val="center"/>
                    <w:rPr>
                      <w:rFonts w:hint="eastAsia"/>
                      <w:vertAlign w:val="baseline"/>
                      <w:lang w:val="en-US" w:eastAsia="zh-CN"/>
                    </w:rPr>
                  </w:pPr>
                  <w:r>
                    <w:rPr>
                      <w:rFonts w:hint="eastAsia"/>
                      <w:vertAlign w:val="baseline"/>
                      <w:lang w:val="en-US" w:eastAsia="zh-CN"/>
                    </w:rPr>
                    <w:t>真实数据</w:t>
                  </w:r>
                </w:p>
              </w:tc>
              <w:tc>
                <w:tcPr>
                  <w:tcW w:w="1729" w:type="dxa"/>
                </w:tcPr>
                <w:p w14:paraId="35522263">
                  <w:pPr>
                    <w:numPr>
                      <w:ilvl w:val="0"/>
                      <w:numId w:val="0"/>
                    </w:numPr>
                    <w:jc w:val="center"/>
                    <w:rPr>
                      <w:rFonts w:hint="default"/>
                      <w:vertAlign w:val="baseline"/>
                      <w:lang w:val="en-US" w:eastAsia="zh-CN"/>
                    </w:rPr>
                  </w:pPr>
                  <w:r>
                    <w:rPr>
                      <w:rFonts w:hint="eastAsia"/>
                      <w:vertAlign w:val="baseline"/>
                      <w:lang w:eastAsia="zh-CN"/>
                    </w:rPr>
                    <w:t>UCI 污水厂日</w:t>
                  </w:r>
                  <w:r>
                    <w:rPr>
                      <w:rFonts w:hint="eastAsia"/>
                      <w:vertAlign w:val="baseline"/>
                      <w:lang w:val="en-US" w:eastAsia="zh-CN"/>
                    </w:rPr>
                    <w:t>运行</w:t>
                  </w:r>
                </w:p>
              </w:tc>
              <w:tc>
                <w:tcPr>
                  <w:tcW w:w="1729" w:type="dxa"/>
                </w:tcPr>
                <w:p w14:paraId="21331A6C">
                  <w:pPr>
                    <w:numPr>
                      <w:ilvl w:val="0"/>
                      <w:numId w:val="0"/>
                    </w:numPr>
                    <w:jc w:val="center"/>
                    <w:rPr>
                      <w:rFonts w:hint="eastAsia"/>
                      <w:vertAlign w:val="baseline"/>
                      <w:lang w:eastAsia="zh-CN"/>
                    </w:rPr>
                  </w:pPr>
                  <w:r>
                    <w:rPr>
                      <w:rFonts w:hint="eastAsia"/>
                      <w:vertAlign w:val="baseline"/>
                      <w:lang w:eastAsia="zh-CN"/>
                    </w:rPr>
                    <w:t>UCI ML Repository</w:t>
                  </w:r>
                </w:p>
              </w:tc>
              <w:tc>
                <w:tcPr>
                  <w:tcW w:w="1729" w:type="dxa"/>
                </w:tcPr>
                <w:p w14:paraId="1CBA3CE8">
                  <w:pPr>
                    <w:numPr>
                      <w:ilvl w:val="0"/>
                      <w:numId w:val="0"/>
                    </w:numPr>
                    <w:jc w:val="center"/>
                    <w:rPr>
                      <w:rFonts w:hint="eastAsia"/>
                      <w:vertAlign w:val="baseline"/>
                      <w:lang w:eastAsia="zh-CN"/>
                    </w:rPr>
                  </w:pPr>
                  <w:r>
                    <w:rPr>
                      <w:rFonts w:hint="eastAsia"/>
                      <w:vertAlign w:val="baseline"/>
                      <w:lang w:eastAsia="zh-CN"/>
                    </w:rPr>
                    <w:t>527天38项日运行指标</w:t>
                  </w:r>
                </w:p>
              </w:tc>
              <w:tc>
                <w:tcPr>
                  <w:tcW w:w="1729" w:type="dxa"/>
                </w:tcPr>
                <w:p w14:paraId="1907331B">
                  <w:pPr>
                    <w:numPr>
                      <w:ilvl w:val="0"/>
                      <w:numId w:val="0"/>
                    </w:numPr>
                    <w:jc w:val="center"/>
                    <w:rPr>
                      <w:rFonts w:hint="default"/>
                      <w:vertAlign w:val="baseline"/>
                      <w:lang w:val="en-US" w:eastAsia="zh-CN"/>
                    </w:rPr>
                  </w:pPr>
                  <w:r>
                    <w:rPr>
                      <w:rFonts w:hint="eastAsia"/>
                      <w:vertAlign w:val="baseline"/>
                      <w:lang w:eastAsia="zh-CN"/>
                    </w:rPr>
                    <w:t>进水-出水关系对</w:t>
                  </w:r>
                  <w:r>
                    <w:rPr>
                      <w:rFonts w:hint="eastAsia"/>
                      <w:vertAlign w:val="baseline"/>
                      <w:lang w:val="en-US" w:eastAsia="zh-CN"/>
                    </w:rPr>
                    <w:t>照</w:t>
                  </w:r>
                </w:p>
              </w:tc>
            </w:tr>
            <w:tr w14:paraId="56E67169">
              <w:tc>
                <w:tcPr>
                  <w:tcW w:w="1728" w:type="dxa"/>
                </w:tcPr>
                <w:p w14:paraId="14985FE3">
                  <w:pPr>
                    <w:numPr>
                      <w:ilvl w:val="0"/>
                      <w:numId w:val="0"/>
                    </w:numPr>
                    <w:jc w:val="center"/>
                    <w:rPr>
                      <w:rFonts w:hint="default"/>
                      <w:vertAlign w:val="baseline"/>
                      <w:lang w:val="en-US" w:eastAsia="zh-CN"/>
                    </w:rPr>
                  </w:pPr>
                  <w:r>
                    <w:rPr>
                      <w:rFonts w:hint="eastAsia"/>
                      <w:vertAlign w:val="baseline"/>
                      <w:lang w:val="en-US" w:eastAsia="zh-CN"/>
                    </w:rPr>
                    <w:t>模拟数据</w:t>
                  </w:r>
                </w:p>
              </w:tc>
              <w:tc>
                <w:tcPr>
                  <w:tcW w:w="1729" w:type="dxa"/>
                </w:tcPr>
                <w:p w14:paraId="727EDD5C">
                  <w:pPr>
                    <w:numPr>
                      <w:ilvl w:val="0"/>
                      <w:numId w:val="0"/>
                    </w:numPr>
                    <w:jc w:val="center"/>
                    <w:rPr>
                      <w:rFonts w:hint="default"/>
                      <w:vertAlign w:val="baseline"/>
                      <w:lang w:val="en-US" w:eastAsia="zh-CN"/>
                    </w:rPr>
                  </w:pPr>
                  <w:r>
                    <w:rPr>
                      <w:rFonts w:hint="eastAsia"/>
                      <w:vertAlign w:val="baseline"/>
                      <w:lang w:eastAsia="zh-CN"/>
                    </w:rPr>
                    <w:t>管网节点液位</w:t>
                  </w:r>
                  <w:r>
                    <w:rPr>
                      <w:rFonts w:hint="eastAsia"/>
                      <w:vertAlign w:val="baseline"/>
                      <w:lang w:val="en-US" w:eastAsia="zh-CN"/>
                    </w:rPr>
                    <w:t>/流量</w:t>
                  </w:r>
                </w:p>
              </w:tc>
              <w:tc>
                <w:tcPr>
                  <w:tcW w:w="1729" w:type="dxa"/>
                </w:tcPr>
                <w:p w14:paraId="68AF6743">
                  <w:pPr>
                    <w:numPr>
                      <w:ilvl w:val="0"/>
                      <w:numId w:val="0"/>
                    </w:numPr>
                    <w:jc w:val="center"/>
                    <w:rPr>
                      <w:rFonts w:hint="default"/>
                      <w:vertAlign w:val="baseline"/>
                      <w:lang w:val="en-US" w:eastAsia="zh-CN"/>
                    </w:rPr>
                  </w:pPr>
                  <w:r>
                    <w:rPr>
                      <w:rFonts w:hint="eastAsia"/>
                      <w:vertAlign w:val="baseline"/>
                      <w:lang w:eastAsia="zh-CN"/>
                    </w:rPr>
                    <w:t>src/simulation/（参数化生</w:t>
                  </w:r>
                  <w:r>
                    <w:rPr>
                      <w:rFonts w:hint="eastAsia"/>
                      <w:vertAlign w:val="baseline"/>
                      <w:lang w:val="en-US" w:eastAsia="zh-CN"/>
                    </w:rPr>
                    <w:t>成）</w:t>
                  </w:r>
                </w:p>
              </w:tc>
              <w:tc>
                <w:tcPr>
                  <w:tcW w:w="1729" w:type="dxa"/>
                </w:tcPr>
                <w:p w14:paraId="7F67A657">
                  <w:pPr>
                    <w:numPr>
                      <w:ilvl w:val="0"/>
                      <w:numId w:val="0"/>
                    </w:numPr>
                    <w:jc w:val="center"/>
                    <w:rPr>
                      <w:rFonts w:hint="default"/>
                      <w:vertAlign w:val="baseline"/>
                      <w:lang w:val="en-US" w:eastAsia="zh-CN"/>
                    </w:rPr>
                  </w:pPr>
                  <w:r>
                    <w:rPr>
                      <w:rFonts w:hint="eastAsia"/>
                      <w:vertAlign w:val="baseline"/>
                      <w:lang w:val="en-US" w:eastAsia="zh-CN"/>
                    </w:rPr>
                    <w:t>模拟时序</w:t>
                  </w:r>
                </w:p>
              </w:tc>
              <w:tc>
                <w:tcPr>
                  <w:tcW w:w="1729" w:type="dxa"/>
                </w:tcPr>
                <w:p w14:paraId="7D9322A0">
                  <w:pPr>
                    <w:numPr>
                      <w:ilvl w:val="0"/>
                      <w:numId w:val="0"/>
                    </w:numPr>
                    <w:jc w:val="center"/>
                    <w:rPr>
                      <w:rFonts w:hint="eastAsia"/>
                      <w:vertAlign w:val="baseline"/>
                      <w:lang w:eastAsia="zh-CN"/>
                    </w:rPr>
                  </w:pPr>
                  <w:r>
                    <w:rPr>
                      <w:rFonts w:hint="eastAsia"/>
                      <w:vertAlign w:val="baseline"/>
                      <w:lang w:eastAsia="zh-CN"/>
                    </w:rPr>
                    <w:t>泰和场景训练与</w:t>
                  </w:r>
                </w:p>
              </w:tc>
            </w:tr>
            <w:tr w14:paraId="14E5C3E5">
              <w:tc>
                <w:tcPr>
                  <w:tcW w:w="1728" w:type="dxa"/>
                </w:tcPr>
                <w:p w14:paraId="19BC8A9C">
                  <w:pPr>
                    <w:numPr>
                      <w:ilvl w:val="0"/>
                      <w:numId w:val="0"/>
                    </w:numPr>
                    <w:jc w:val="center"/>
                    <w:rPr>
                      <w:rFonts w:hint="eastAsia"/>
                      <w:vertAlign w:val="baseline"/>
                      <w:lang w:val="en-US" w:eastAsia="zh-CN"/>
                    </w:rPr>
                  </w:pPr>
                  <w:r>
                    <w:rPr>
                      <w:rFonts w:hint="eastAsia"/>
                      <w:vertAlign w:val="baseline"/>
                      <w:lang w:val="en-US" w:eastAsia="zh-CN"/>
                    </w:rPr>
                    <w:t>模拟数据</w:t>
                  </w:r>
                </w:p>
              </w:tc>
              <w:tc>
                <w:tcPr>
                  <w:tcW w:w="1729" w:type="dxa"/>
                </w:tcPr>
                <w:p w14:paraId="0FB54A0D">
                  <w:pPr>
                    <w:numPr>
                      <w:ilvl w:val="0"/>
                      <w:numId w:val="0"/>
                    </w:numPr>
                    <w:jc w:val="center"/>
                    <w:rPr>
                      <w:rFonts w:hint="eastAsia"/>
                      <w:vertAlign w:val="baseline"/>
                      <w:lang w:eastAsia="zh-CN"/>
                    </w:rPr>
                  </w:pPr>
                  <w:r>
                    <w:rPr>
                      <w:rFonts w:hint="eastAsia"/>
                      <w:vertAlign w:val="baseline"/>
                      <w:lang w:eastAsia="zh-CN"/>
                    </w:rPr>
                    <w:t>泵站运行时序</w:t>
                  </w:r>
                </w:p>
              </w:tc>
              <w:tc>
                <w:tcPr>
                  <w:tcW w:w="1729" w:type="dxa"/>
                </w:tcPr>
                <w:p w14:paraId="2B5FC0DA">
                  <w:pPr>
                    <w:numPr>
                      <w:ilvl w:val="0"/>
                      <w:numId w:val="0"/>
                    </w:numPr>
                    <w:jc w:val="center"/>
                    <w:rPr>
                      <w:rFonts w:hint="eastAsia"/>
                      <w:vertAlign w:val="baseline"/>
                      <w:lang w:eastAsia="zh-CN"/>
                    </w:rPr>
                  </w:pPr>
                  <w:r>
                    <w:rPr>
                      <w:rFonts w:hint="eastAsia"/>
                      <w:vertAlign w:val="baseline"/>
                      <w:lang w:eastAsia="zh-CN"/>
                    </w:rPr>
                    <w:t>src/simulation/（参数化生</w:t>
                  </w:r>
                  <w:r>
                    <w:rPr>
                      <w:rFonts w:hint="eastAsia"/>
                      <w:vertAlign w:val="baseline"/>
                      <w:lang w:val="en-US" w:eastAsia="zh-CN"/>
                    </w:rPr>
                    <w:t>成）</w:t>
                  </w:r>
                </w:p>
              </w:tc>
              <w:tc>
                <w:tcPr>
                  <w:tcW w:w="1729" w:type="dxa"/>
                </w:tcPr>
                <w:p w14:paraId="6FBE4031">
                  <w:pPr>
                    <w:numPr>
                      <w:ilvl w:val="0"/>
                      <w:numId w:val="0"/>
                    </w:numPr>
                    <w:jc w:val="center"/>
                    <w:rPr>
                      <w:rFonts w:hint="eastAsia"/>
                      <w:vertAlign w:val="baseline"/>
                      <w:lang w:eastAsia="zh-CN"/>
                    </w:rPr>
                  </w:pPr>
                  <w:r>
                    <w:rPr>
                      <w:rFonts w:hint="eastAsia"/>
                      <w:vertAlign w:val="baseline"/>
                      <w:lang w:val="en-US" w:eastAsia="zh-CN"/>
                    </w:rPr>
                    <w:t>模拟时序</w:t>
                  </w:r>
                </w:p>
              </w:tc>
              <w:tc>
                <w:tcPr>
                  <w:tcW w:w="1729" w:type="dxa"/>
                </w:tcPr>
                <w:p w14:paraId="6DBC5358">
                  <w:pPr>
                    <w:numPr>
                      <w:ilvl w:val="0"/>
                      <w:numId w:val="0"/>
                    </w:numPr>
                    <w:jc w:val="center"/>
                    <w:rPr>
                      <w:rFonts w:hint="eastAsia"/>
                      <w:vertAlign w:val="baseline"/>
                      <w:lang w:eastAsia="zh-CN"/>
                    </w:rPr>
                  </w:pPr>
                  <w:r>
                    <w:rPr>
                      <w:rFonts w:hint="eastAsia"/>
                      <w:vertAlign w:val="baseline"/>
                      <w:lang w:eastAsia="zh-CN"/>
                    </w:rPr>
                    <w:t>泰和场景训练与</w:t>
                  </w:r>
                </w:p>
              </w:tc>
            </w:tr>
            <w:tr w14:paraId="125D7CF7">
              <w:tc>
                <w:tcPr>
                  <w:tcW w:w="1728" w:type="dxa"/>
                </w:tcPr>
                <w:p w14:paraId="4AC68C6E">
                  <w:pPr>
                    <w:numPr>
                      <w:ilvl w:val="0"/>
                      <w:numId w:val="0"/>
                    </w:numPr>
                    <w:jc w:val="center"/>
                    <w:rPr>
                      <w:rFonts w:hint="eastAsia"/>
                      <w:vertAlign w:val="baseline"/>
                      <w:lang w:val="en-US" w:eastAsia="zh-CN"/>
                    </w:rPr>
                  </w:pPr>
                  <w:r>
                    <w:rPr>
                      <w:rFonts w:hint="eastAsia"/>
                      <w:vertAlign w:val="baseline"/>
                      <w:lang w:val="en-US" w:eastAsia="zh-CN"/>
                    </w:rPr>
                    <w:t>模拟数据</w:t>
                  </w:r>
                </w:p>
              </w:tc>
              <w:tc>
                <w:tcPr>
                  <w:tcW w:w="1729" w:type="dxa"/>
                </w:tcPr>
                <w:p w14:paraId="5FDFB606">
                  <w:pPr>
                    <w:numPr>
                      <w:ilvl w:val="0"/>
                      <w:numId w:val="0"/>
                    </w:numPr>
                    <w:jc w:val="center"/>
                    <w:rPr>
                      <w:rFonts w:hint="default"/>
                      <w:vertAlign w:val="baseline"/>
                      <w:lang w:val="en-US" w:eastAsia="zh-CN"/>
                    </w:rPr>
                  </w:pPr>
                  <w:r>
                    <w:rPr>
                      <w:rFonts w:hint="eastAsia"/>
                      <w:vertAlign w:val="baseline"/>
                      <w:lang w:eastAsia="zh-CN"/>
                    </w:rPr>
                    <w:t>厂前进水水量</w:t>
                  </w:r>
                  <w:r>
                    <w:rPr>
                      <w:rFonts w:hint="eastAsia"/>
                      <w:vertAlign w:val="baseline"/>
                      <w:lang w:val="en-US" w:eastAsia="zh-CN"/>
                    </w:rPr>
                    <w:t>水质</w:t>
                  </w:r>
                </w:p>
              </w:tc>
              <w:tc>
                <w:tcPr>
                  <w:tcW w:w="1729" w:type="dxa"/>
                </w:tcPr>
                <w:p w14:paraId="5E740B58">
                  <w:pPr>
                    <w:numPr>
                      <w:ilvl w:val="0"/>
                      <w:numId w:val="0"/>
                    </w:numPr>
                    <w:jc w:val="center"/>
                    <w:rPr>
                      <w:rFonts w:hint="eastAsia"/>
                      <w:vertAlign w:val="baseline"/>
                      <w:lang w:eastAsia="zh-CN"/>
                    </w:rPr>
                  </w:pPr>
                  <w:r>
                    <w:rPr>
                      <w:rFonts w:hint="eastAsia"/>
                      <w:vertAlign w:val="baseline"/>
                      <w:lang w:eastAsia="zh-CN"/>
                    </w:rPr>
                    <w:t>src/simulation/（参数化生</w:t>
                  </w:r>
                  <w:r>
                    <w:rPr>
                      <w:rFonts w:hint="eastAsia"/>
                      <w:vertAlign w:val="baseline"/>
                      <w:lang w:val="en-US" w:eastAsia="zh-CN"/>
                    </w:rPr>
                    <w:t>成）</w:t>
                  </w:r>
                </w:p>
              </w:tc>
              <w:tc>
                <w:tcPr>
                  <w:tcW w:w="1729" w:type="dxa"/>
                </w:tcPr>
                <w:p w14:paraId="027870D1">
                  <w:pPr>
                    <w:numPr>
                      <w:ilvl w:val="0"/>
                      <w:numId w:val="0"/>
                    </w:numPr>
                    <w:jc w:val="center"/>
                    <w:rPr>
                      <w:rFonts w:hint="eastAsia"/>
                      <w:vertAlign w:val="baseline"/>
                      <w:lang w:eastAsia="zh-CN"/>
                    </w:rPr>
                  </w:pPr>
                  <w:r>
                    <w:rPr>
                      <w:rFonts w:hint="eastAsia"/>
                      <w:vertAlign w:val="baseline"/>
                      <w:lang w:val="en-US" w:eastAsia="zh-CN"/>
                    </w:rPr>
                    <w:t>模拟时序</w:t>
                  </w:r>
                </w:p>
              </w:tc>
              <w:tc>
                <w:tcPr>
                  <w:tcW w:w="1729" w:type="dxa"/>
                </w:tcPr>
                <w:p w14:paraId="44995CFA">
                  <w:pPr>
                    <w:numPr>
                      <w:ilvl w:val="0"/>
                      <w:numId w:val="0"/>
                    </w:numPr>
                    <w:jc w:val="center"/>
                    <w:rPr>
                      <w:rFonts w:hint="eastAsia"/>
                      <w:vertAlign w:val="baseline"/>
                      <w:lang w:eastAsia="zh-CN"/>
                    </w:rPr>
                  </w:pPr>
                  <w:r>
                    <w:rPr>
                      <w:rFonts w:hint="eastAsia"/>
                      <w:vertAlign w:val="baseline"/>
                      <w:lang w:eastAsia="zh-CN"/>
                    </w:rPr>
                    <w:t>泰和场景训练与</w:t>
                  </w:r>
                </w:p>
              </w:tc>
            </w:tr>
            <w:tr w14:paraId="02C33578">
              <w:tc>
                <w:tcPr>
                  <w:tcW w:w="1728" w:type="dxa"/>
                </w:tcPr>
                <w:p w14:paraId="3C29E55A">
                  <w:pPr>
                    <w:numPr>
                      <w:ilvl w:val="0"/>
                      <w:numId w:val="0"/>
                    </w:numPr>
                    <w:jc w:val="center"/>
                    <w:rPr>
                      <w:rFonts w:hint="eastAsia"/>
                      <w:vertAlign w:val="baseline"/>
                      <w:lang w:val="en-US" w:eastAsia="zh-CN"/>
                    </w:rPr>
                  </w:pPr>
                  <w:r>
                    <w:rPr>
                      <w:rFonts w:hint="eastAsia"/>
                      <w:vertAlign w:val="baseline"/>
                      <w:lang w:val="en-US" w:eastAsia="zh-CN"/>
                    </w:rPr>
                    <w:t>模拟数据</w:t>
                  </w:r>
                </w:p>
              </w:tc>
              <w:tc>
                <w:tcPr>
                  <w:tcW w:w="1729" w:type="dxa"/>
                </w:tcPr>
                <w:p w14:paraId="5E85A62E">
                  <w:pPr>
                    <w:numPr>
                      <w:ilvl w:val="0"/>
                      <w:numId w:val="0"/>
                    </w:numPr>
                    <w:jc w:val="center"/>
                    <w:rPr>
                      <w:rFonts w:hint="default"/>
                      <w:vertAlign w:val="baseline"/>
                      <w:lang w:val="en-US" w:eastAsia="zh-CN"/>
                    </w:rPr>
                  </w:pPr>
                  <w:r>
                    <w:rPr>
                      <w:rFonts w:hint="eastAsia"/>
                      <w:vertAlign w:val="baseline"/>
                      <w:lang w:val="en-US" w:eastAsia="zh-CN"/>
                    </w:rPr>
                    <w:t>设计暴雨过程</w:t>
                  </w:r>
                </w:p>
              </w:tc>
              <w:tc>
                <w:tcPr>
                  <w:tcW w:w="1729" w:type="dxa"/>
                </w:tcPr>
                <w:p w14:paraId="255E5543">
                  <w:pPr>
                    <w:numPr>
                      <w:ilvl w:val="0"/>
                      <w:numId w:val="0"/>
                    </w:numPr>
                    <w:jc w:val="center"/>
                    <w:rPr>
                      <w:rFonts w:hint="eastAsia"/>
                      <w:vertAlign w:val="baseline"/>
                      <w:lang w:eastAsia="zh-CN"/>
                    </w:rPr>
                  </w:pPr>
                  <w:r>
                    <w:rPr>
                      <w:rFonts w:hint="eastAsia"/>
                      <w:vertAlign w:val="baseline"/>
                      <w:lang w:eastAsia="zh-CN"/>
                    </w:rPr>
                    <w:t>src/simulation/design_storm.py</w:t>
                  </w:r>
                </w:p>
              </w:tc>
              <w:tc>
                <w:tcPr>
                  <w:tcW w:w="1729" w:type="dxa"/>
                </w:tcPr>
                <w:p w14:paraId="462E130F">
                  <w:pPr>
                    <w:numPr>
                      <w:ilvl w:val="0"/>
                      <w:numId w:val="0"/>
                    </w:numPr>
                    <w:jc w:val="center"/>
                    <w:rPr>
                      <w:rFonts w:hint="default"/>
                      <w:vertAlign w:val="baseline"/>
                      <w:lang w:val="en-US" w:eastAsia="zh-CN"/>
                    </w:rPr>
                  </w:pPr>
                  <w:r>
                    <w:rPr>
                      <w:rFonts w:hint="eastAsia"/>
                      <w:vertAlign w:val="baseline"/>
                      <w:lang w:val="en-US" w:eastAsia="zh-CN"/>
                    </w:rPr>
                    <w:t>上海暴雨公式生成</w:t>
                  </w:r>
                </w:p>
              </w:tc>
              <w:tc>
                <w:tcPr>
                  <w:tcW w:w="1729" w:type="dxa"/>
                </w:tcPr>
                <w:p w14:paraId="44576426">
                  <w:pPr>
                    <w:numPr>
                      <w:ilvl w:val="0"/>
                      <w:numId w:val="0"/>
                    </w:numPr>
                    <w:jc w:val="center"/>
                    <w:rPr>
                      <w:rFonts w:hint="default"/>
                      <w:vertAlign w:val="baseline"/>
                      <w:lang w:val="en-US" w:eastAsia="zh-CN"/>
                    </w:rPr>
                  </w:pPr>
                  <w:r>
                    <w:rPr>
                      <w:rFonts w:hint="eastAsia"/>
                      <w:vertAlign w:val="baseline"/>
                      <w:lang w:eastAsia="zh-CN"/>
                    </w:rPr>
                    <w:t>极端场景压力测</w:t>
                  </w:r>
                  <w:r>
                    <w:rPr>
                      <w:rFonts w:hint="eastAsia"/>
                      <w:vertAlign w:val="baseline"/>
                      <w:lang w:val="en-US" w:eastAsia="zh-CN"/>
                    </w:rPr>
                    <w:t>试</w:t>
                  </w:r>
                </w:p>
              </w:tc>
            </w:tr>
          </w:tbl>
          <w:p w14:paraId="70A58FBE">
            <w:pPr>
              <w:numPr>
                <w:ilvl w:val="0"/>
                <w:numId w:val="0"/>
              </w:numPr>
              <w:ind w:firstLine="420" w:firstLineChars="200"/>
              <w:jc w:val="center"/>
              <w:rPr>
                <w:rFonts w:hint="default"/>
                <w:lang w:val="en-US" w:eastAsia="zh-CN"/>
              </w:rPr>
            </w:pPr>
            <w:r>
              <w:rPr>
                <w:rFonts w:hint="eastAsia"/>
                <w:lang w:eastAsia="zh-CN"/>
              </w:rPr>
              <w:t>表</w:t>
            </w:r>
            <w:r>
              <w:rPr>
                <w:rFonts w:hint="eastAsia"/>
                <w:lang w:val="en-US" w:eastAsia="zh-CN"/>
              </w:rPr>
              <w:t>2-1数据分类总览</w:t>
            </w:r>
          </w:p>
          <w:p w14:paraId="1E130167">
            <w:pPr>
              <w:numPr>
                <w:ilvl w:val="0"/>
                <w:numId w:val="0"/>
              </w:numPr>
              <w:jc w:val="both"/>
              <w:rPr>
                <w:rFonts w:hint="default" w:eastAsia="宋体"/>
                <w:b/>
                <w:bCs/>
                <w:lang w:val="en-US" w:eastAsia="zh-CN"/>
              </w:rPr>
            </w:pPr>
            <w:r>
              <w:rPr>
                <w:rFonts w:hint="eastAsia"/>
                <w:b/>
                <w:bCs/>
                <w:lang w:val="en-US" w:eastAsia="zh-CN"/>
              </w:rPr>
              <w:t>1.1组委会官方资料</w:t>
            </w:r>
          </w:p>
          <w:p w14:paraId="66CC0309">
            <w:pPr>
              <w:numPr>
                <w:ilvl w:val="0"/>
                <w:numId w:val="0"/>
              </w:numPr>
              <w:ind w:firstLine="420" w:firstLineChars="200"/>
              <w:jc w:val="both"/>
              <w:rPr>
                <w:rFonts w:hint="eastAsia"/>
              </w:rPr>
            </w:pPr>
            <w:r>
              <w:rPr>
                <w:rFonts w:hint="eastAsia"/>
              </w:rPr>
              <w:t>组委会提供26 座泵站的配泵能力、服务范围与系统图，用于约束模拟管网的拓扑结构、汇流规模与调控对象清单。该层数据为静态骨架，不含时序数据，不能用于模型训练或验证。</w:t>
            </w:r>
          </w:p>
          <w:p w14:paraId="66483C62">
            <w:pPr>
              <w:numPr>
                <w:ilvl w:val="0"/>
                <w:numId w:val="0"/>
              </w:numPr>
              <w:ind w:firstLine="420" w:firstLineChars="200"/>
              <w:jc w:val="both"/>
              <w:rPr>
                <w:rFonts w:hint="eastAsia"/>
                <w:lang w:eastAsia="zh-CN"/>
              </w:rPr>
            </w:pPr>
            <w:r>
              <w:rPr>
                <w:rFonts w:hint="eastAsia"/>
              </w:rPr>
              <w:t>依据</w:t>
            </w:r>
            <w:r>
              <w:rPr>
                <w:rFonts w:hint="eastAsia"/>
                <w:lang w:val="en-US" w:eastAsia="zh-CN"/>
              </w:rPr>
              <w:t>相关</w:t>
            </w:r>
            <w:r>
              <w:rPr>
                <w:rFonts w:hint="eastAsia"/>
              </w:rPr>
              <w:t>资料，泰和污水厂服务范围覆盖苏州河沿线排水系统，上游共26座干线及支线泵站，经彭越浦总站等干线汇流人厂，泵站合计设计能力约40.5</w:t>
            </w:r>
            <w:r>
              <w:rPr>
                <w:rFonts w:hint="eastAsia"/>
                <w:lang w:val="en-US" w:eastAsia="zh-CN"/>
              </w:rPr>
              <w:t xml:space="preserve"> </w:t>
            </w:r>
            <w:r>
              <w:rPr>
                <w:rFonts w:hint="eastAsia"/>
                <w:lang w:eastAsia="zh-CN"/>
              </w:rPr>
              <w:t>m³/s</w:t>
            </w:r>
            <w:r>
              <w:rPr>
                <w:rFonts w:hint="eastAsia"/>
              </w:rPr>
              <w:t>，各泵站服务范围以道路/河道界。该数据确保了研究对象与要求的一致性，所有模拟场景均在</w:t>
            </w:r>
            <w:r>
              <w:rPr>
                <w:rFonts w:hint="eastAsia"/>
                <w:lang w:val="en-US" w:eastAsia="zh-CN"/>
              </w:rPr>
              <w:t>该</w:t>
            </w:r>
            <w:r>
              <w:rPr>
                <w:rFonts w:hint="eastAsia"/>
              </w:rPr>
              <w:t>骨架的约束下构建。各泵站配泵能力如图2所示</w:t>
            </w:r>
            <w:r>
              <w:rPr>
                <w:rFonts w:hint="eastAsia"/>
                <w:lang w:eastAsia="zh-CN"/>
              </w:rPr>
              <w:t>：</w:t>
            </w:r>
          </w:p>
          <w:p w14:paraId="2D4C0EF7">
            <w:pPr>
              <w:numPr>
                <w:ilvl w:val="0"/>
                <w:numId w:val="0"/>
              </w:numPr>
              <w:ind w:firstLine="420" w:firstLineChars="200"/>
              <w:jc w:val="center"/>
              <w:rPr>
                <w:rFonts w:hint="eastAsia"/>
                <w:lang w:eastAsia="zh-CN"/>
              </w:rPr>
            </w:pPr>
            <w:r>
              <w:drawing>
                <wp:inline distT="0" distB="0" distL="114300" distR="114300">
                  <wp:extent cx="5029200" cy="20574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0"/>
                          <a:stretch>
                            <a:fillRect/>
                          </a:stretch>
                        </pic:blipFill>
                        <pic:spPr>
                          <a:xfrm>
                            <a:off x="0" y="0"/>
                            <a:ext cx="5029200" cy="2057400"/>
                          </a:xfrm>
                          <a:prstGeom prst="rect">
                            <a:avLst/>
                          </a:prstGeom>
                        </pic:spPr>
                      </pic:pic>
                    </a:graphicData>
                  </a:graphic>
                </wp:inline>
              </w:drawing>
            </w:r>
          </w:p>
          <w:p w14:paraId="25E34094">
            <w:pPr>
              <w:numPr>
                <w:ilvl w:val="0"/>
                <w:numId w:val="0"/>
              </w:numPr>
              <w:ind w:firstLine="420" w:firstLineChars="200"/>
              <w:jc w:val="center"/>
              <w:rPr>
                <w:rFonts w:hint="eastAsia"/>
                <w:lang w:eastAsia="zh-CN"/>
              </w:rPr>
            </w:pPr>
            <w:r>
              <w:rPr>
                <w:rFonts w:hint="eastAsia"/>
                <w:lang w:eastAsia="zh-CN"/>
              </w:rPr>
              <w:t>图2</w:t>
            </w:r>
            <w:r>
              <w:rPr>
                <w:rFonts w:hint="eastAsia"/>
                <w:lang w:val="en-US" w:eastAsia="zh-CN"/>
              </w:rPr>
              <w:t>-1</w:t>
            </w:r>
            <w:r>
              <w:rPr>
                <w:rFonts w:hint="eastAsia"/>
                <w:lang w:eastAsia="zh-CN"/>
              </w:rPr>
              <w:t xml:space="preserve"> Date1：泰和污水厂上游26座泵站配泵能力（合计约40.5 m³/s）</w:t>
            </w:r>
          </w:p>
          <w:p w14:paraId="5A23D55A">
            <w:pPr>
              <w:numPr>
                <w:ilvl w:val="0"/>
                <w:numId w:val="0"/>
              </w:numPr>
              <w:jc w:val="both"/>
              <w:rPr>
                <w:rFonts w:hint="default" w:eastAsia="宋体"/>
                <w:b/>
                <w:bCs/>
                <w:lang w:val="en-US" w:eastAsia="zh-CN"/>
              </w:rPr>
            </w:pPr>
            <w:r>
              <w:rPr>
                <w:rFonts w:hint="eastAsia"/>
                <w:b/>
                <w:bCs/>
                <w:lang w:val="en-US" w:eastAsia="zh-CN"/>
              </w:rPr>
              <w:t>1.2上海官方实测外部驱动数据</w:t>
            </w:r>
          </w:p>
          <w:p w14:paraId="1D276B4D">
            <w:pPr>
              <w:numPr>
                <w:ilvl w:val="0"/>
                <w:numId w:val="0"/>
              </w:numPr>
              <w:ind w:firstLine="420" w:firstLineChars="200"/>
              <w:jc w:val="both"/>
              <w:rPr>
                <w:rFonts w:hint="eastAsia"/>
                <w:lang w:eastAsia="zh-CN"/>
              </w:rPr>
            </w:pPr>
            <w:r>
              <w:rPr>
                <w:rFonts w:hint="eastAsia"/>
                <w:lang w:eastAsia="zh-CN"/>
              </w:rPr>
              <w:t>该层数据为模拟场景提供真实的外部驱动力，主要包括三类：</w:t>
            </w:r>
          </w:p>
          <w:p w14:paraId="7B7FAED0">
            <w:pPr>
              <w:numPr>
                <w:ilvl w:val="0"/>
                <w:numId w:val="7"/>
              </w:numPr>
              <w:ind w:left="0" w:leftChars="0" w:firstLine="420" w:firstLineChars="0"/>
              <w:jc w:val="both"/>
              <w:rPr>
                <w:rFonts w:hint="eastAsia"/>
                <w:lang w:eastAsia="zh-CN"/>
              </w:rPr>
            </w:pPr>
            <w:r>
              <w:rPr>
                <w:rFonts w:hint="eastAsia"/>
                <w:lang w:eastAsia="zh-CN"/>
              </w:rPr>
              <w:t>上海市水务局水情信息数据集（data.sh.gov.cn）：全市52个水文站 10~15 分钟级雨量、河道水位与潮位，时间范围 2021-01 至 2025-09，约1150 万行，含吴淞口、黄浦公园等苏州河/黄浦江沿线站点。经数据融合层清洗对齐为10min 栅格序列（共24.9万行），作模拟场景的真实降雨驱动与未来实测接人的降雨输人。</w:t>
            </w:r>
          </w:p>
          <w:p w14:paraId="093A8D22">
            <w:pPr>
              <w:numPr>
                <w:ilvl w:val="0"/>
                <w:numId w:val="7"/>
              </w:numPr>
              <w:ind w:left="0" w:leftChars="0" w:firstLine="420" w:firstLineChars="0"/>
              <w:jc w:val="both"/>
              <w:rPr>
                <w:rFonts w:hint="eastAsia"/>
                <w:lang w:eastAsia="zh-CN"/>
              </w:rPr>
            </w:pPr>
            <w:r>
              <w:rPr>
                <w:rFonts w:hint="eastAsia"/>
                <w:lang w:eastAsia="zh-CN"/>
              </w:rPr>
              <w:t>NOAA ISD / Open-Meteo（ERA5）数据：上海虹桥/宝山逐小时气象观测与再分析降水（2020-2025），用于与水情信息互校，确保降雨数据的可靠性。</w:t>
            </w:r>
          </w:p>
          <w:p w14:paraId="7A50501E">
            <w:pPr>
              <w:numPr>
                <w:ilvl w:val="0"/>
                <w:numId w:val="7"/>
              </w:numPr>
              <w:ind w:left="0" w:leftChars="0" w:firstLine="420" w:firstLineChars="0"/>
              <w:jc w:val="both"/>
              <w:rPr>
                <w:rFonts w:hint="eastAsia"/>
                <w:lang w:eastAsia="zh-CN"/>
              </w:rPr>
            </w:pPr>
            <w:r>
              <w:rPr>
                <w:rFonts w:hint="eastAsia"/>
                <w:lang w:eastAsia="zh-CN"/>
              </w:rPr>
              <w:t>CNEMC 国家地表水监测数据：上海17断面实时水质快照（含苏州河），作为受纳水体水质参照（快照性质，非历史序列）。</w:t>
            </w:r>
          </w:p>
          <w:p w14:paraId="5B720EA1">
            <w:pPr>
              <w:numPr>
                <w:ilvl w:val="0"/>
                <w:numId w:val="0"/>
              </w:numPr>
              <w:ind w:firstLine="420" w:firstLineChars="200"/>
              <w:jc w:val="both"/>
              <w:rPr>
                <w:rFonts w:hint="eastAsia"/>
                <w:lang w:eastAsia="zh-CN"/>
              </w:rPr>
            </w:pPr>
            <w:r>
              <w:rPr>
                <w:rFonts w:hint="eastAsia"/>
                <w:lang w:eastAsia="zh-CN"/>
              </w:rPr>
              <w:t>该层数据的核心价值在于提供真实的降雨驱动，使模拟场景的外部输入具有真实性，避免了人工设计降雨的理想化偏差。上海全市日雨量全景与2024汛期10分钟级降雨序列如图2-2所示。</w:t>
            </w:r>
          </w:p>
          <w:p w14:paraId="0701E38E">
            <w:pPr>
              <w:numPr>
                <w:ilvl w:val="0"/>
                <w:numId w:val="0"/>
              </w:numPr>
              <w:ind w:firstLine="420" w:firstLineChars="200"/>
              <w:jc w:val="center"/>
            </w:pPr>
            <w:r>
              <w:drawing>
                <wp:inline distT="0" distB="0" distL="114300" distR="114300">
                  <wp:extent cx="4323715" cy="2357755"/>
                  <wp:effectExtent l="0" t="0" r="19685" b="444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11"/>
                          <a:stretch>
                            <a:fillRect/>
                          </a:stretch>
                        </pic:blipFill>
                        <pic:spPr>
                          <a:xfrm>
                            <a:off x="0" y="0"/>
                            <a:ext cx="4323715" cy="2357755"/>
                          </a:xfrm>
                          <a:prstGeom prst="rect">
                            <a:avLst/>
                          </a:prstGeom>
                        </pic:spPr>
                      </pic:pic>
                    </a:graphicData>
                  </a:graphic>
                </wp:inline>
              </w:drawing>
            </w:r>
          </w:p>
          <w:p w14:paraId="5FE9257E">
            <w:pPr>
              <w:numPr>
                <w:ilvl w:val="0"/>
                <w:numId w:val="0"/>
              </w:numPr>
              <w:ind w:firstLine="420" w:firstLineChars="200"/>
              <w:jc w:val="center"/>
              <w:rPr>
                <w:rFonts w:hint="eastAsia"/>
                <w:lang w:eastAsia="zh-CN"/>
              </w:rPr>
            </w:pPr>
            <w:r>
              <w:rPr>
                <w:rFonts w:hint="eastAsia"/>
                <w:lang w:eastAsia="zh-CN"/>
              </w:rPr>
              <w:t>图</w:t>
            </w:r>
            <w:r>
              <w:rPr>
                <w:rFonts w:hint="eastAsia"/>
                <w:lang w:val="en-US" w:eastAsia="zh-CN"/>
              </w:rPr>
              <w:t>2-2</w:t>
            </w:r>
            <w:r>
              <w:rPr>
                <w:rFonts w:hint="eastAsia"/>
                <w:lang w:eastAsia="zh-CN"/>
              </w:rPr>
              <w:t>上海水务局水情信息日雨量全景（上）与2024汛期10分钟级序列（下）</w:t>
            </w:r>
          </w:p>
          <w:p w14:paraId="521E9249">
            <w:pPr>
              <w:numPr>
                <w:ilvl w:val="0"/>
                <w:numId w:val="0"/>
              </w:numPr>
              <w:jc w:val="both"/>
              <w:rPr>
                <w:rFonts w:hint="default" w:eastAsia="宋体"/>
                <w:b/>
                <w:bCs/>
                <w:lang w:val="en-US" w:eastAsia="zh-CN"/>
              </w:rPr>
            </w:pPr>
            <w:r>
              <w:rPr>
                <w:rFonts w:hint="eastAsia"/>
                <w:b/>
                <w:bCs/>
                <w:lang w:val="en-US" w:eastAsia="zh-CN"/>
              </w:rPr>
              <w:t>1.3国际公开真实代理真值数据集</w:t>
            </w:r>
          </w:p>
          <w:p w14:paraId="152F451A">
            <w:pPr>
              <w:numPr>
                <w:ilvl w:val="0"/>
                <w:numId w:val="0"/>
              </w:numPr>
              <w:ind w:firstLine="420" w:firstLineChars="200"/>
              <w:jc w:val="both"/>
              <w:rPr>
                <w:rFonts w:hint="eastAsia"/>
                <w:lang w:eastAsia="zh-CN"/>
              </w:rPr>
            </w:pPr>
            <w:r>
              <w:rPr>
                <w:rFonts w:hint="eastAsia"/>
                <w:lang w:eastAsia="zh-CN"/>
              </w:rPr>
              <w:t>方法有效性必须在真实数据上验证，否则陷入"模拟数据自证"陷阱。本研究收录17类公开数据集，核心数据集如表2所示。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2054"/>
              <w:gridCol w:w="1459"/>
              <w:gridCol w:w="2339"/>
              <w:gridCol w:w="1286"/>
            </w:tblGrid>
            <w:tr w14:paraId="6301DB47">
              <w:tc>
                <w:tcPr>
                  <w:tcW w:w="1509" w:type="dxa"/>
                </w:tcPr>
                <w:p w14:paraId="7BA9C1BA">
                  <w:pPr>
                    <w:numPr>
                      <w:ilvl w:val="0"/>
                      <w:numId w:val="0"/>
                    </w:numPr>
                    <w:jc w:val="center"/>
                    <w:rPr>
                      <w:rFonts w:hint="eastAsia"/>
                      <w:vertAlign w:val="baseline"/>
                      <w:lang w:eastAsia="zh-CN"/>
                    </w:rPr>
                  </w:pPr>
                  <w:r>
                    <w:rPr>
                      <w:rFonts w:hint="eastAsia"/>
                      <w:vertAlign w:val="baseline"/>
                      <w:lang w:eastAsia="zh-CN"/>
                    </w:rPr>
                    <w:t>数据集</w:t>
                  </w:r>
                </w:p>
              </w:tc>
              <w:tc>
                <w:tcPr>
                  <w:tcW w:w="2054" w:type="dxa"/>
                </w:tcPr>
                <w:p w14:paraId="1C29B53D">
                  <w:pPr>
                    <w:numPr>
                      <w:ilvl w:val="0"/>
                      <w:numId w:val="0"/>
                    </w:numPr>
                    <w:jc w:val="center"/>
                    <w:rPr>
                      <w:rFonts w:hint="default"/>
                      <w:vertAlign w:val="baseline"/>
                      <w:lang w:val="en-US" w:eastAsia="zh-CN"/>
                    </w:rPr>
                  </w:pPr>
                  <w:r>
                    <w:rPr>
                      <w:rFonts w:hint="eastAsia"/>
                      <w:vertAlign w:val="baseline"/>
                      <w:lang w:val="en-US" w:eastAsia="zh-CN"/>
                    </w:rPr>
                    <w:t>来源与许可</w:t>
                  </w:r>
                </w:p>
              </w:tc>
              <w:tc>
                <w:tcPr>
                  <w:tcW w:w="1459" w:type="dxa"/>
                </w:tcPr>
                <w:p w14:paraId="3B58393A">
                  <w:pPr>
                    <w:numPr>
                      <w:ilvl w:val="0"/>
                      <w:numId w:val="0"/>
                    </w:numPr>
                    <w:jc w:val="center"/>
                    <w:rPr>
                      <w:rFonts w:hint="eastAsia"/>
                      <w:vertAlign w:val="baseline"/>
                      <w:lang w:eastAsia="zh-CN"/>
                    </w:rPr>
                  </w:pPr>
                  <w:r>
                    <w:rPr>
                      <w:rFonts w:hint="eastAsia"/>
                      <w:vertAlign w:val="baseline"/>
                      <w:lang w:eastAsia="zh-CN"/>
                    </w:rPr>
                    <w:t>核心内容</w:t>
                  </w:r>
                </w:p>
              </w:tc>
              <w:tc>
                <w:tcPr>
                  <w:tcW w:w="2339" w:type="dxa"/>
                </w:tcPr>
                <w:p w14:paraId="147FF6E3">
                  <w:pPr>
                    <w:numPr>
                      <w:ilvl w:val="0"/>
                      <w:numId w:val="0"/>
                    </w:numPr>
                    <w:jc w:val="center"/>
                    <w:rPr>
                      <w:rFonts w:hint="eastAsia"/>
                      <w:vertAlign w:val="baseline"/>
                      <w:lang w:eastAsia="zh-CN"/>
                    </w:rPr>
                  </w:pPr>
                  <w:r>
                    <w:rPr>
                      <w:rFonts w:hint="eastAsia"/>
                      <w:vertAlign w:val="baseline"/>
                      <w:lang w:eastAsia="zh-CN"/>
                    </w:rPr>
                    <w:t>已人库路径</w:t>
                  </w:r>
                </w:p>
              </w:tc>
              <w:tc>
                <w:tcPr>
                  <w:tcW w:w="1286" w:type="dxa"/>
                </w:tcPr>
                <w:p w14:paraId="4B5C84AD">
                  <w:pPr>
                    <w:numPr>
                      <w:ilvl w:val="0"/>
                      <w:numId w:val="0"/>
                    </w:numPr>
                    <w:jc w:val="center"/>
                    <w:rPr>
                      <w:rFonts w:hint="eastAsia"/>
                      <w:vertAlign w:val="baseline"/>
                      <w:lang w:eastAsia="zh-CN"/>
                    </w:rPr>
                  </w:pPr>
                  <w:r>
                    <w:rPr>
                      <w:rFonts w:hint="eastAsia"/>
                      <w:vertAlign w:val="baseline"/>
                      <w:lang w:eastAsia="zh-CN"/>
                    </w:rPr>
                    <w:t>核心作用</w:t>
                  </w:r>
                </w:p>
              </w:tc>
            </w:tr>
            <w:tr w14:paraId="488685AA">
              <w:tc>
                <w:tcPr>
                  <w:tcW w:w="1509" w:type="dxa"/>
                </w:tcPr>
                <w:p w14:paraId="3916E1D5">
                  <w:pPr>
                    <w:numPr>
                      <w:ilvl w:val="0"/>
                      <w:numId w:val="0"/>
                    </w:numPr>
                    <w:jc w:val="center"/>
                    <w:rPr>
                      <w:rFonts w:hint="eastAsia"/>
                      <w:vertAlign w:val="baseline"/>
                      <w:lang w:eastAsia="zh-CN"/>
                    </w:rPr>
                  </w:pPr>
                  <w:r>
                    <w:rPr>
                      <w:rFonts w:hint="eastAsia"/>
                      <w:vertAlign w:val="baseline"/>
                      <w:lang w:eastAsia="zh-CN"/>
                    </w:rPr>
                    <w:t>Köln-Weiden</w:t>
                  </w:r>
                </w:p>
              </w:tc>
              <w:tc>
                <w:tcPr>
                  <w:tcW w:w="2054" w:type="dxa"/>
                </w:tcPr>
                <w:p w14:paraId="496ECB02">
                  <w:pPr>
                    <w:numPr>
                      <w:ilvl w:val="0"/>
                      <w:numId w:val="0"/>
                    </w:numPr>
                    <w:jc w:val="center"/>
                    <w:rPr>
                      <w:rFonts w:hint="default"/>
                      <w:vertAlign w:val="baseline"/>
                      <w:lang w:val="en-US" w:eastAsia="zh-CN"/>
                    </w:rPr>
                  </w:pPr>
                  <w:r>
                    <w:rPr>
                      <w:rFonts w:hint="eastAsia"/>
                      <w:vertAlign w:val="baseline"/>
                      <w:lang w:eastAsia="zh-CN"/>
                    </w:rPr>
                    <w:t>Zenodo</w:t>
                  </w:r>
                  <w:r>
                    <w:rPr>
                      <w:rFonts w:hint="eastAsia"/>
                      <w:vertAlign w:val="baseline"/>
                      <w:lang w:val="en-US" w:eastAsia="zh-CN"/>
                    </w:rPr>
                    <w:t xml:space="preserve"> </w:t>
                  </w:r>
                  <w:r>
                    <w:rPr>
                      <w:rFonts w:hint="eastAsia"/>
                      <w:vertAlign w:val="baseline"/>
                      <w:lang w:eastAsia="zh-CN"/>
                    </w:rPr>
                    <w:t>6992694</w:t>
                  </w:r>
                  <w:r>
                    <w:rPr>
                      <w:rFonts w:hint="eastAsia"/>
                      <w:vertAlign w:val="baseline"/>
                      <w:lang w:val="en-US" w:eastAsia="zh-CN"/>
                    </w:rPr>
                    <w:t xml:space="preserve"> CC</w:t>
                  </w:r>
                  <w:r>
                    <w:rPr>
                      <w:rFonts w:hint="default"/>
                      <w:vertAlign w:val="baseline"/>
                      <w:lang w:val="en-US" w:eastAsia="zh-CN"/>
                    </w:rPr>
                    <w:t>-BY-4.0</w:t>
                  </w:r>
                </w:p>
              </w:tc>
              <w:tc>
                <w:tcPr>
                  <w:tcW w:w="1459" w:type="dxa"/>
                </w:tcPr>
                <w:p w14:paraId="6C8DC0A0">
                  <w:pPr>
                    <w:numPr>
                      <w:ilvl w:val="0"/>
                      <w:numId w:val="0"/>
                    </w:numPr>
                    <w:jc w:val="center"/>
                    <w:rPr>
                      <w:rFonts w:hint="eastAsia"/>
                      <w:vertAlign w:val="baseline"/>
                      <w:lang w:eastAsia="zh-CN"/>
                    </w:rPr>
                  </w:pPr>
                  <w:r>
                    <w:rPr>
                      <w:rFonts w:hint="eastAsia"/>
                      <w:vertAlign w:val="baseline"/>
                      <w:lang w:eastAsia="zh-CN"/>
                    </w:rPr>
                    <w:t>厂前迸水流量+上游 3处管网液位+调蓄液位+降雨</w:t>
                  </w:r>
                </w:p>
                <w:p w14:paraId="620E2679">
                  <w:pPr>
                    <w:numPr>
                      <w:ilvl w:val="0"/>
                      <w:numId w:val="0"/>
                    </w:numPr>
                    <w:jc w:val="center"/>
                    <w:rPr>
                      <w:rFonts w:hint="default"/>
                      <w:vertAlign w:val="baseline"/>
                      <w:lang w:val="en-US" w:eastAsia="zh-CN"/>
                    </w:rPr>
                  </w:pPr>
                  <w:r>
                    <w:rPr>
                      <w:rFonts w:hint="eastAsia"/>
                      <w:vertAlign w:val="baseline"/>
                      <w:lang w:val="en-US" w:eastAsia="zh-CN"/>
                    </w:rPr>
                    <w:t>15min，2017年</w:t>
                  </w:r>
                </w:p>
              </w:tc>
              <w:tc>
                <w:tcPr>
                  <w:tcW w:w="2339" w:type="dxa"/>
                </w:tcPr>
                <w:p w14:paraId="0E8FE820">
                  <w:pPr>
                    <w:numPr>
                      <w:ilvl w:val="0"/>
                      <w:numId w:val="0"/>
                    </w:numPr>
                    <w:jc w:val="center"/>
                    <w:rPr>
                      <w:rFonts w:hint="eastAsia"/>
                      <w:vertAlign w:val="baseline"/>
                      <w:lang w:eastAsia="zh-CN"/>
                    </w:rPr>
                  </w:pPr>
                  <w:r>
                    <w:rPr>
                      <w:rFonts w:hint="eastAsia"/>
                      <w:vertAlign w:val="baseline"/>
                      <w:lang w:eastAsia="zh-CN"/>
                    </w:rPr>
                    <w:t>data/external/</w:t>
                  </w:r>
                </w:p>
                <w:p w14:paraId="011C2056">
                  <w:pPr>
                    <w:numPr>
                      <w:ilvl w:val="0"/>
                      <w:numId w:val="0"/>
                    </w:numPr>
                    <w:jc w:val="center"/>
                    <w:rPr>
                      <w:rFonts w:hint="default"/>
                      <w:vertAlign w:val="baseline"/>
                      <w:lang w:val="en-US" w:eastAsia="zh-CN"/>
                    </w:rPr>
                  </w:pPr>
                  <w:r>
                    <w:rPr>
                      <w:rFonts w:hint="eastAsia"/>
                      <w:vertAlign w:val="baseline"/>
                      <w:lang w:eastAsia="zh-CN"/>
                    </w:rPr>
                    <w:t>zenodo</w:t>
                  </w:r>
                  <w:r>
                    <w:rPr>
                      <w:rFonts w:hint="default"/>
                      <w:vertAlign w:val="baseline"/>
                      <w:lang w:val="en-US" w:eastAsia="zh-CN"/>
                    </w:rPr>
                    <w:t>_</w:t>
                  </w:r>
                  <w:r>
                    <w:rPr>
                      <w:rFonts w:hint="eastAsia"/>
                      <w:vertAlign w:val="baseline"/>
                      <w:lang w:eastAsia="zh-CN"/>
                    </w:rPr>
                    <w:t>6992694</w:t>
                  </w:r>
                  <w:r>
                    <w:rPr>
                      <w:rFonts w:hint="default"/>
                      <w:vertAlign w:val="baseline"/>
                      <w:lang w:val="en-US" w:eastAsia="zh-CN"/>
                    </w:rPr>
                    <w:t>_</w:t>
                  </w:r>
                  <w:r>
                    <w:rPr>
                      <w:rFonts w:hint="eastAsia"/>
                      <w:vertAlign w:val="baseline"/>
                      <w:lang w:eastAsia="zh-CN"/>
                    </w:rPr>
                    <w:t>koeln</w:t>
                  </w:r>
                  <w:r>
                    <w:rPr>
                      <w:rFonts w:hint="default"/>
                      <w:vertAlign w:val="baseline"/>
                      <w:lang w:val="en-US" w:eastAsia="zh-CN"/>
                    </w:rPr>
                    <w:t>_</w:t>
                  </w:r>
                </w:p>
                <w:p w14:paraId="508D60C7">
                  <w:pPr>
                    <w:numPr>
                      <w:ilvl w:val="0"/>
                      <w:numId w:val="0"/>
                    </w:numPr>
                    <w:jc w:val="center"/>
                    <w:rPr>
                      <w:rFonts w:hint="default"/>
                      <w:vertAlign w:val="baseline"/>
                      <w:lang w:val="en-US" w:eastAsia="zh-CN"/>
                    </w:rPr>
                  </w:pPr>
                  <w:r>
                    <w:rPr>
                      <w:rFonts w:hint="default"/>
                      <w:vertAlign w:val="baseline"/>
                      <w:lang w:val="en-US" w:eastAsia="zh-CN"/>
                    </w:rPr>
                    <w:t>wtp_network_rain/</w:t>
                  </w:r>
                </w:p>
              </w:tc>
              <w:tc>
                <w:tcPr>
                  <w:tcW w:w="1286" w:type="dxa"/>
                </w:tcPr>
                <w:p w14:paraId="4F0F7087">
                  <w:pPr>
                    <w:numPr>
                      <w:ilvl w:val="0"/>
                      <w:numId w:val="0"/>
                    </w:numPr>
                    <w:jc w:val="center"/>
                    <w:rPr>
                      <w:rFonts w:hint="default"/>
                      <w:vertAlign w:val="baseline"/>
                      <w:lang w:val="en-US" w:eastAsia="zh-CN"/>
                    </w:rPr>
                  </w:pPr>
                  <w:r>
                    <w:rPr>
                      <w:rFonts w:hint="eastAsia"/>
                      <w:vertAlign w:val="baseline"/>
                      <w:lang w:val="en-US" w:eastAsia="zh-CN"/>
                    </w:rPr>
                    <w:t>方法验证主数据集（与指定结构同构）</w:t>
                  </w:r>
                </w:p>
              </w:tc>
            </w:tr>
            <w:tr w14:paraId="1502AE28">
              <w:tc>
                <w:tcPr>
                  <w:tcW w:w="1509" w:type="dxa"/>
                </w:tcPr>
                <w:p w14:paraId="312490A8">
                  <w:pPr>
                    <w:numPr>
                      <w:ilvl w:val="0"/>
                      <w:numId w:val="0"/>
                    </w:numPr>
                    <w:jc w:val="center"/>
                    <w:rPr>
                      <w:rFonts w:hint="default"/>
                      <w:vertAlign w:val="baseline"/>
                      <w:lang w:val="en-US" w:eastAsia="zh-CN"/>
                    </w:rPr>
                  </w:pPr>
                  <w:r>
                    <w:rPr>
                      <w:rFonts w:hint="eastAsia"/>
                      <w:vertAlign w:val="baseline"/>
                      <w:lang w:eastAsia="zh-CN"/>
                    </w:rPr>
                    <w:t>BSM2</w:t>
                  </w:r>
                  <w:r>
                    <w:rPr>
                      <w:rFonts w:hint="eastAsia"/>
                      <w:vertAlign w:val="baseline"/>
                      <w:lang w:val="en-US" w:eastAsia="zh-CN"/>
                    </w:rPr>
                    <w:t>基准进水</w:t>
                  </w:r>
                </w:p>
              </w:tc>
              <w:tc>
                <w:tcPr>
                  <w:tcW w:w="2054" w:type="dxa"/>
                </w:tcPr>
                <w:p w14:paraId="6A507A05">
                  <w:pPr>
                    <w:numPr>
                      <w:ilvl w:val="0"/>
                      <w:numId w:val="0"/>
                    </w:numPr>
                    <w:jc w:val="center"/>
                    <w:rPr>
                      <w:rFonts w:hint="eastAsia"/>
                      <w:vertAlign w:val="baseline"/>
                      <w:lang w:eastAsia="zh-CN"/>
                    </w:rPr>
                  </w:pPr>
                  <w:r>
                    <w:rPr>
                      <w:rFonts w:hint="eastAsia"/>
                      <w:vertAlign w:val="baseline"/>
                      <w:lang w:eastAsia="zh-CN"/>
                    </w:rPr>
                    <w:t>github.com/fau-evt/</w:t>
                  </w:r>
                </w:p>
                <w:p w14:paraId="216EE498">
                  <w:pPr>
                    <w:numPr>
                      <w:ilvl w:val="0"/>
                      <w:numId w:val="0"/>
                    </w:numPr>
                    <w:jc w:val="center"/>
                    <w:rPr>
                      <w:rFonts w:hint="eastAsia"/>
                      <w:vertAlign w:val="baseline"/>
                      <w:lang w:eastAsia="zh-CN"/>
                    </w:rPr>
                  </w:pPr>
                  <w:r>
                    <w:rPr>
                      <w:rFonts w:hint="eastAsia"/>
                      <w:vertAlign w:val="baseline"/>
                      <w:lang w:eastAsia="zh-CN"/>
                    </w:rPr>
                    <w:t>bsm2-python</w:t>
                  </w:r>
                </w:p>
                <w:p w14:paraId="1AE84F58">
                  <w:pPr>
                    <w:numPr>
                      <w:ilvl w:val="0"/>
                      <w:numId w:val="0"/>
                    </w:numPr>
                    <w:jc w:val="center"/>
                    <w:rPr>
                      <w:rFonts w:hint="default"/>
                      <w:vertAlign w:val="baseline"/>
                      <w:lang w:val="en-US" w:eastAsia="zh-CN"/>
                    </w:rPr>
                  </w:pPr>
                  <w:r>
                    <w:rPr>
                      <w:rFonts w:hint="eastAsia"/>
                      <w:vertAlign w:val="baseline"/>
                      <w:lang w:val="en-US" w:eastAsia="zh-CN"/>
                    </w:rPr>
                    <w:t>BSD许可</w:t>
                  </w:r>
                </w:p>
              </w:tc>
              <w:tc>
                <w:tcPr>
                  <w:tcW w:w="1459" w:type="dxa"/>
                </w:tcPr>
                <w:p w14:paraId="1B9616B6">
                  <w:pPr>
                    <w:numPr>
                      <w:ilvl w:val="0"/>
                      <w:numId w:val="0"/>
                    </w:numPr>
                    <w:jc w:val="center"/>
                    <w:rPr>
                      <w:rFonts w:hint="eastAsia"/>
                      <w:vertAlign w:val="baseline"/>
                      <w:lang w:eastAsia="zh-CN"/>
                    </w:rPr>
                  </w:pPr>
                  <w:r>
                    <w:rPr>
                      <w:rFonts w:hint="eastAsia"/>
                      <w:vertAlign w:val="baseline"/>
                      <w:lang w:eastAsia="zh-CN"/>
                    </w:rPr>
                    <w:t>早天14天15min、雨天含降雨事件609 天动态进水（流量+ASM组分）</w:t>
                  </w:r>
                </w:p>
              </w:tc>
              <w:tc>
                <w:tcPr>
                  <w:tcW w:w="2339" w:type="dxa"/>
                </w:tcPr>
                <w:p w14:paraId="4DADD6CF">
                  <w:pPr>
                    <w:numPr>
                      <w:ilvl w:val="0"/>
                      <w:numId w:val="0"/>
                    </w:numPr>
                    <w:jc w:val="center"/>
                    <w:rPr>
                      <w:rFonts w:hint="eastAsia"/>
                      <w:vertAlign w:val="baseline"/>
                      <w:lang w:val="en-US" w:eastAsia="zh-CN"/>
                    </w:rPr>
                  </w:pPr>
                  <w:r>
                    <w:rPr>
                      <w:rFonts w:hint="eastAsia"/>
                      <w:vertAlign w:val="baseline"/>
                      <w:lang w:val="en-US" w:eastAsia="zh-CN"/>
                    </w:rPr>
                    <w:t>data/external/</w:t>
                  </w:r>
                </w:p>
                <w:p w14:paraId="0828F013">
                  <w:pPr>
                    <w:numPr>
                      <w:ilvl w:val="0"/>
                      <w:numId w:val="0"/>
                    </w:numPr>
                    <w:jc w:val="center"/>
                    <w:rPr>
                      <w:rFonts w:hint="eastAsia"/>
                      <w:vertAlign w:val="baseline"/>
                      <w:lang w:val="en-US" w:eastAsia="zh-CN"/>
                    </w:rPr>
                  </w:pPr>
                  <w:r>
                    <w:rPr>
                      <w:rFonts w:hint="eastAsia"/>
                      <w:vertAlign w:val="baseline"/>
                      <w:lang w:val="en-US" w:eastAsia="zh-CN"/>
                    </w:rPr>
                    <w:t>bsm2_influent/</w:t>
                  </w:r>
                </w:p>
              </w:tc>
              <w:tc>
                <w:tcPr>
                  <w:tcW w:w="1286" w:type="dxa"/>
                </w:tcPr>
                <w:p w14:paraId="7168CF5E">
                  <w:pPr>
                    <w:numPr>
                      <w:ilvl w:val="0"/>
                      <w:numId w:val="0"/>
                    </w:numPr>
                    <w:jc w:val="center"/>
                    <w:rPr>
                      <w:rFonts w:hint="default"/>
                      <w:vertAlign w:val="baseline"/>
                      <w:lang w:val="en-US" w:eastAsia="zh-CN"/>
                    </w:rPr>
                  </w:pPr>
                  <w:r>
                    <w:rPr>
                      <w:rFonts w:hint="eastAsia"/>
                      <w:vertAlign w:val="baseline"/>
                      <w:lang w:eastAsia="zh-CN"/>
                    </w:rPr>
                    <w:t>厂前进水流</w:t>
                  </w:r>
                  <w:r>
                    <w:rPr>
                      <w:rFonts w:hint="eastAsia"/>
                      <w:vertAlign w:val="baseline"/>
                      <w:lang w:val="en-US" w:eastAsia="zh-CN"/>
                    </w:rPr>
                    <w:t>量+水质国际基准与量级参照</w:t>
                  </w:r>
                </w:p>
              </w:tc>
            </w:tr>
            <w:tr w14:paraId="05509639">
              <w:tc>
                <w:tcPr>
                  <w:tcW w:w="1509" w:type="dxa"/>
                </w:tcPr>
                <w:p w14:paraId="1255F300">
                  <w:pPr>
                    <w:numPr>
                      <w:ilvl w:val="0"/>
                      <w:numId w:val="0"/>
                    </w:numPr>
                    <w:jc w:val="center"/>
                    <w:rPr>
                      <w:rFonts w:hint="default"/>
                      <w:vertAlign w:val="baseline"/>
                      <w:lang w:val="en-US" w:eastAsia="zh-CN"/>
                    </w:rPr>
                  </w:pPr>
                  <w:r>
                    <w:rPr>
                      <w:rFonts w:hint="eastAsia"/>
                      <w:vertAlign w:val="baseline"/>
                      <w:lang w:eastAsia="zh-CN"/>
                    </w:rPr>
                    <w:t>SWMM</w:t>
                  </w:r>
                  <w:r>
                    <w:rPr>
                      <w:rFonts w:hint="eastAsia"/>
                      <w:vertAlign w:val="baseline"/>
                      <w:lang w:val="en-US" w:eastAsia="zh-CN"/>
                    </w:rPr>
                    <w:t>示例网管</w:t>
                  </w:r>
                </w:p>
              </w:tc>
              <w:tc>
                <w:tcPr>
                  <w:tcW w:w="2054" w:type="dxa"/>
                </w:tcPr>
                <w:p w14:paraId="353845AC">
                  <w:pPr>
                    <w:numPr>
                      <w:ilvl w:val="0"/>
                      <w:numId w:val="0"/>
                    </w:numPr>
                    <w:jc w:val="center"/>
                    <w:rPr>
                      <w:rFonts w:hint="eastAsia"/>
                      <w:vertAlign w:val="baseline"/>
                      <w:lang w:val="en-US" w:eastAsia="zh-CN"/>
                    </w:rPr>
                  </w:pPr>
                  <w:r>
                    <w:rPr>
                      <w:rFonts w:hint="eastAsia"/>
                      <w:vertAlign w:val="baseline"/>
                      <w:lang w:val="en-US" w:eastAsia="zh-CN"/>
                    </w:rPr>
                    <w:t>github.com/pyswmm/</w:t>
                  </w:r>
                </w:p>
                <w:p w14:paraId="74960482">
                  <w:pPr>
                    <w:numPr>
                      <w:ilvl w:val="0"/>
                      <w:numId w:val="0"/>
                    </w:numPr>
                    <w:jc w:val="center"/>
                    <w:rPr>
                      <w:rFonts w:hint="eastAsia"/>
                      <w:vertAlign w:val="baseline"/>
                      <w:lang w:val="en-US" w:eastAsia="zh-CN"/>
                    </w:rPr>
                  </w:pPr>
                  <w:r>
                    <w:rPr>
                      <w:rFonts w:hint="eastAsia"/>
                      <w:vertAlign w:val="baseline"/>
                      <w:lang w:val="en-US" w:eastAsia="zh-CN"/>
                    </w:rPr>
                    <w:t>Pys wmm</w:t>
                  </w:r>
                </w:p>
                <w:p w14:paraId="56CF430D">
                  <w:pPr>
                    <w:numPr>
                      <w:ilvl w:val="0"/>
                      <w:numId w:val="0"/>
                    </w:numPr>
                    <w:jc w:val="center"/>
                    <w:rPr>
                      <w:rFonts w:hint="default"/>
                      <w:vertAlign w:val="baseline"/>
                      <w:lang w:val="en-US" w:eastAsia="zh-CN"/>
                    </w:rPr>
                  </w:pPr>
                  <w:r>
                    <w:rPr>
                      <w:rFonts w:hint="eastAsia"/>
                      <w:vertAlign w:val="baseline"/>
                      <w:lang w:val="en-US" w:eastAsia="zh-CN"/>
                    </w:rPr>
                    <w:t>MIT许可</w:t>
                  </w:r>
                </w:p>
              </w:tc>
              <w:tc>
                <w:tcPr>
                  <w:tcW w:w="1459" w:type="dxa"/>
                </w:tcPr>
                <w:p w14:paraId="151076AF">
                  <w:pPr>
                    <w:numPr>
                      <w:ilvl w:val="0"/>
                      <w:numId w:val="0"/>
                    </w:numPr>
                    <w:jc w:val="center"/>
                    <w:rPr>
                      <w:rFonts w:hint="default"/>
                      <w:vertAlign w:val="baseline"/>
                      <w:lang w:val="en-US" w:eastAsia="zh-CN"/>
                    </w:rPr>
                  </w:pPr>
                  <w:r>
                    <w:rPr>
                      <w:rFonts w:hint="eastAsia"/>
                      <w:vertAlign w:val="baseline"/>
                      <w:lang w:eastAsia="zh-CN"/>
                    </w:rPr>
                    <w:t>含泵/堰/污染物</w:t>
                  </w:r>
                  <w:r>
                    <w:rPr>
                      <w:rFonts w:hint="eastAsia"/>
                      <w:vertAlign w:val="baseline"/>
                      <w:lang w:val="en-US" w:eastAsia="zh-CN"/>
                    </w:rPr>
                    <w:t xml:space="preserve">的SWMM </w:t>
                  </w:r>
                  <w:r>
                    <w:rPr>
                      <w:rFonts w:hint="default"/>
                      <w:vertAlign w:val="baseline"/>
                      <w:lang w:val="en-US" w:eastAsia="zh-CN"/>
                    </w:rPr>
                    <w:t>.</w:t>
                  </w:r>
                  <w:r>
                    <w:rPr>
                      <w:rFonts w:hint="eastAsia"/>
                      <w:vertAlign w:val="baseline"/>
                      <w:lang w:val="en-US" w:eastAsia="zh-CN"/>
                    </w:rPr>
                    <w:t>inp示例</w:t>
                  </w:r>
                </w:p>
              </w:tc>
              <w:tc>
                <w:tcPr>
                  <w:tcW w:w="2339" w:type="dxa"/>
                </w:tcPr>
                <w:p w14:paraId="21F1CE50">
                  <w:pPr>
                    <w:numPr>
                      <w:ilvl w:val="0"/>
                      <w:numId w:val="0"/>
                    </w:numPr>
                    <w:jc w:val="center"/>
                    <w:rPr>
                      <w:rFonts w:hint="eastAsia"/>
                      <w:vertAlign w:val="baseline"/>
                      <w:lang w:val="en-US" w:eastAsia="zh-CN"/>
                    </w:rPr>
                  </w:pPr>
                  <w:r>
                    <w:rPr>
                      <w:rFonts w:hint="eastAsia"/>
                      <w:vertAlign w:val="baseline"/>
                      <w:lang w:val="en-US" w:eastAsia="zh-CN"/>
                    </w:rPr>
                    <w:t>data/external/</w:t>
                  </w:r>
                </w:p>
                <w:p w14:paraId="50B41331">
                  <w:pPr>
                    <w:numPr>
                      <w:ilvl w:val="0"/>
                      <w:numId w:val="0"/>
                    </w:numPr>
                    <w:jc w:val="center"/>
                    <w:rPr>
                      <w:rFonts w:hint="default"/>
                      <w:vertAlign w:val="baseline"/>
                      <w:lang w:val="en-US" w:eastAsia="zh-CN"/>
                    </w:rPr>
                  </w:pPr>
                  <w:r>
                    <w:rPr>
                      <w:rFonts w:hint="eastAsia"/>
                      <w:vertAlign w:val="baseline"/>
                      <w:lang w:val="en-US" w:eastAsia="zh-CN"/>
                    </w:rPr>
                    <w:t>swmm</w:t>
                  </w:r>
                  <w:r>
                    <w:rPr>
                      <w:rFonts w:hint="default"/>
                      <w:vertAlign w:val="baseline"/>
                      <w:lang w:val="en-US" w:eastAsia="zh-CN"/>
                    </w:rPr>
                    <w:t>_</w:t>
                  </w:r>
                  <w:r>
                    <w:rPr>
                      <w:rFonts w:hint="eastAsia"/>
                      <w:vertAlign w:val="baseline"/>
                      <w:lang w:val="en-US" w:eastAsia="zh-CN"/>
                    </w:rPr>
                    <w:t>examples</w:t>
                  </w:r>
                  <w:r>
                    <w:rPr>
                      <w:rFonts w:hint="default"/>
                      <w:vertAlign w:val="baseline"/>
                      <w:lang w:val="en-US" w:eastAsia="zh-CN"/>
                    </w:rPr>
                    <w:t>/</w:t>
                  </w:r>
                </w:p>
              </w:tc>
              <w:tc>
                <w:tcPr>
                  <w:tcW w:w="1286" w:type="dxa"/>
                </w:tcPr>
                <w:p w14:paraId="0ABF9E8A">
                  <w:pPr>
                    <w:numPr>
                      <w:ilvl w:val="0"/>
                      <w:numId w:val="0"/>
                    </w:numPr>
                    <w:jc w:val="center"/>
                    <w:rPr>
                      <w:rFonts w:hint="eastAsia"/>
                      <w:vertAlign w:val="baseline"/>
                      <w:lang w:eastAsia="zh-CN"/>
                    </w:rPr>
                  </w:pPr>
                  <w:r>
                    <w:rPr>
                      <w:rFonts w:hint="eastAsia"/>
                      <w:vertAlign w:val="baseline"/>
                      <w:lang w:eastAsia="zh-CN"/>
                    </w:rPr>
                    <w:t>SWMM 建模范式参考pyswmm驱动参考</w:t>
                  </w:r>
                </w:p>
              </w:tc>
            </w:tr>
            <w:tr w14:paraId="03B2335A">
              <w:tc>
                <w:tcPr>
                  <w:tcW w:w="1509" w:type="dxa"/>
                </w:tcPr>
                <w:p w14:paraId="2209DF1F">
                  <w:pPr>
                    <w:numPr>
                      <w:ilvl w:val="0"/>
                      <w:numId w:val="0"/>
                    </w:numPr>
                    <w:jc w:val="center"/>
                    <w:rPr>
                      <w:rFonts w:hint="default"/>
                      <w:vertAlign w:val="baseline"/>
                      <w:lang w:val="en-US" w:eastAsia="zh-CN"/>
                    </w:rPr>
                  </w:pPr>
                  <w:r>
                    <w:rPr>
                      <w:rFonts w:hint="eastAsia"/>
                      <w:vertAlign w:val="baseline"/>
                      <w:lang w:eastAsia="zh-CN"/>
                    </w:rPr>
                    <w:t>UCI污水</w:t>
                  </w:r>
                  <w:r>
                    <w:rPr>
                      <w:rFonts w:hint="eastAsia"/>
                      <w:vertAlign w:val="baseline"/>
                      <w:lang w:val="en-US" w:eastAsia="zh-CN"/>
                    </w:rPr>
                    <w:t>厂日运行</w:t>
                  </w:r>
                </w:p>
              </w:tc>
              <w:tc>
                <w:tcPr>
                  <w:tcW w:w="2054" w:type="dxa"/>
                </w:tcPr>
                <w:p w14:paraId="1D1CB4AD">
                  <w:pPr>
                    <w:numPr>
                      <w:ilvl w:val="0"/>
                      <w:numId w:val="0"/>
                    </w:numPr>
                    <w:jc w:val="center"/>
                    <w:rPr>
                      <w:rFonts w:hint="eastAsia"/>
                      <w:vertAlign w:val="baseline"/>
                      <w:lang w:eastAsia="zh-CN"/>
                    </w:rPr>
                  </w:pPr>
                  <w:r>
                    <w:rPr>
                      <w:rFonts w:hint="eastAsia"/>
                      <w:vertAlign w:val="baseline"/>
                      <w:lang w:eastAsia="zh-CN"/>
                    </w:rPr>
                    <w:t>UCI ML Repository</w:t>
                  </w:r>
                </w:p>
                <w:p w14:paraId="3F771837">
                  <w:pPr>
                    <w:numPr>
                      <w:ilvl w:val="0"/>
                      <w:numId w:val="0"/>
                    </w:numPr>
                    <w:jc w:val="center"/>
                    <w:rPr>
                      <w:rFonts w:hint="eastAsia"/>
                      <w:vertAlign w:val="baseline"/>
                      <w:lang w:val="en-US" w:eastAsia="zh-CN"/>
                    </w:rPr>
                  </w:pPr>
                  <w:r>
                    <w:rPr>
                      <w:rFonts w:hint="eastAsia"/>
                      <w:vertAlign w:val="baseline"/>
                      <w:lang w:val="en-US" w:eastAsia="zh-CN"/>
                    </w:rPr>
                    <w:t>公开</w:t>
                  </w:r>
                </w:p>
              </w:tc>
              <w:tc>
                <w:tcPr>
                  <w:tcW w:w="1459" w:type="dxa"/>
                </w:tcPr>
                <w:p w14:paraId="4C612B68">
                  <w:pPr>
                    <w:numPr>
                      <w:ilvl w:val="0"/>
                      <w:numId w:val="0"/>
                    </w:numPr>
                    <w:jc w:val="center"/>
                    <w:rPr>
                      <w:rFonts w:hint="default"/>
                      <w:vertAlign w:val="baseline"/>
                      <w:lang w:val="en-US" w:eastAsia="zh-CN"/>
                    </w:rPr>
                  </w:pPr>
                  <w:r>
                    <w:rPr>
                      <w:rFonts w:hint="eastAsia"/>
                      <w:vertAlign w:val="baseline"/>
                      <w:lang w:eastAsia="zh-CN"/>
                    </w:rPr>
                    <w:t>527天逐日进水/出水38 项指标+故障</w:t>
                  </w:r>
                  <w:r>
                    <w:rPr>
                      <w:rFonts w:hint="eastAsia"/>
                      <w:vertAlign w:val="baseline"/>
                      <w:lang w:val="en-US" w:eastAsia="zh-CN"/>
                    </w:rPr>
                    <w:t>标注</w:t>
                  </w:r>
                </w:p>
              </w:tc>
              <w:tc>
                <w:tcPr>
                  <w:tcW w:w="2339" w:type="dxa"/>
                </w:tcPr>
                <w:p w14:paraId="484C0E91">
                  <w:pPr>
                    <w:numPr>
                      <w:ilvl w:val="0"/>
                      <w:numId w:val="0"/>
                    </w:numPr>
                    <w:jc w:val="center"/>
                    <w:rPr>
                      <w:rFonts w:hint="eastAsia"/>
                      <w:vertAlign w:val="baseline"/>
                      <w:lang w:val="en-US" w:eastAsia="zh-CN"/>
                    </w:rPr>
                  </w:pPr>
                  <w:r>
                    <w:rPr>
                      <w:rFonts w:hint="eastAsia"/>
                      <w:vertAlign w:val="baseline"/>
                      <w:lang w:val="en-US" w:eastAsia="zh-CN"/>
                    </w:rPr>
                    <w:t>data/external/</w:t>
                  </w:r>
                </w:p>
                <w:p w14:paraId="0B6F3A24">
                  <w:pPr>
                    <w:numPr>
                      <w:ilvl w:val="0"/>
                      <w:numId w:val="0"/>
                    </w:numPr>
                    <w:jc w:val="center"/>
                    <w:rPr>
                      <w:rFonts w:hint="eastAsia"/>
                      <w:vertAlign w:val="baseline"/>
                      <w:lang w:val="en-US" w:eastAsia="zh-CN"/>
                    </w:rPr>
                  </w:pPr>
                  <w:r>
                    <w:rPr>
                      <w:rFonts w:hint="eastAsia"/>
                      <w:vertAlign w:val="baseline"/>
                      <w:lang w:val="en-US" w:eastAsia="zh-CN"/>
                    </w:rPr>
                    <w:t>uci_water_treatment/</w:t>
                  </w:r>
                </w:p>
              </w:tc>
              <w:tc>
                <w:tcPr>
                  <w:tcW w:w="1286" w:type="dxa"/>
                </w:tcPr>
                <w:p w14:paraId="568414DC">
                  <w:pPr>
                    <w:numPr>
                      <w:ilvl w:val="0"/>
                      <w:numId w:val="0"/>
                    </w:numPr>
                    <w:jc w:val="center"/>
                    <w:rPr>
                      <w:rFonts w:hint="default"/>
                      <w:vertAlign w:val="baseline"/>
                      <w:lang w:val="en-US" w:eastAsia="zh-CN"/>
                    </w:rPr>
                  </w:pPr>
                  <w:r>
                    <w:rPr>
                      <w:rFonts w:hint="eastAsia"/>
                      <w:vertAlign w:val="baseline"/>
                      <w:lang w:val="en-US" w:eastAsia="zh-CN"/>
                    </w:rPr>
                    <w:t>进水-出水关系与异常检测对照</w:t>
                  </w:r>
                </w:p>
              </w:tc>
            </w:tr>
            <w:tr w14:paraId="74A12EF7">
              <w:tc>
                <w:tcPr>
                  <w:tcW w:w="1509" w:type="dxa"/>
                  <w:vAlign w:val="center"/>
                </w:tcPr>
                <w:p w14:paraId="073076AE">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NOAA GHCN-Daily</w:t>
                  </w:r>
                </w:p>
              </w:tc>
              <w:tc>
                <w:tcPr>
                  <w:tcW w:w="2054" w:type="dxa"/>
                  <w:vAlign w:val="center"/>
                </w:tcPr>
                <w:p w14:paraId="65B63531">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NOAA NCEI</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公共领域</w:t>
                  </w:r>
                </w:p>
              </w:tc>
              <w:tc>
                <w:tcPr>
                  <w:tcW w:w="1459" w:type="dxa"/>
                  <w:vAlign w:val="center"/>
                </w:tcPr>
                <w:p w14:paraId="11776F69">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上海站逐日降水/气温</w:t>
                  </w:r>
                </w:p>
              </w:tc>
              <w:tc>
                <w:tcPr>
                  <w:tcW w:w="2339" w:type="dxa"/>
                  <w:vAlign w:val="center"/>
                </w:tcPr>
                <w:p w14:paraId="00523E02">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data/external/</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noaa_ghcnd_shanghai/</w:t>
                  </w:r>
                </w:p>
              </w:tc>
              <w:tc>
                <w:tcPr>
                  <w:tcW w:w="1286" w:type="dxa"/>
                  <w:vAlign w:val="center"/>
                </w:tcPr>
                <w:p w14:paraId="2B34F666">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降雨驱动正规来源</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模拟器参数标定</w:t>
                  </w:r>
                </w:p>
              </w:tc>
            </w:tr>
            <w:tr w14:paraId="302459F9">
              <w:tc>
                <w:tcPr>
                  <w:tcW w:w="1509" w:type="dxa"/>
                  <w:vAlign w:val="center"/>
                </w:tcPr>
                <w:p w14:paraId="5A26A83D">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Open-Meteo ERA5</w:t>
                  </w:r>
                </w:p>
              </w:tc>
              <w:tc>
                <w:tcPr>
                  <w:tcW w:w="2054" w:type="dxa"/>
                  <w:vAlign w:val="center"/>
                </w:tcPr>
                <w:p w14:paraId="03B16443">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Open-Meteo API</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CC-BY-4.0</w:t>
                  </w:r>
                </w:p>
              </w:tc>
              <w:tc>
                <w:tcPr>
                  <w:tcW w:w="1459" w:type="dxa"/>
                  <w:vAlign w:val="center"/>
                </w:tcPr>
                <w:p w14:paraId="33B8ED64">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上海逐小时降水/气温/湿度</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2020–2025</w:t>
                  </w:r>
                </w:p>
              </w:tc>
              <w:tc>
                <w:tcPr>
                  <w:tcW w:w="2339" w:type="dxa"/>
                  <w:vAlign w:val="center"/>
                </w:tcPr>
                <w:p w14:paraId="579C6C12">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data/external/</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openmeteo_shanghai_</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hourly/</w:t>
                  </w:r>
                </w:p>
              </w:tc>
              <w:tc>
                <w:tcPr>
                  <w:tcW w:w="1286" w:type="dxa"/>
                  <w:vAlign w:val="center"/>
                </w:tcPr>
                <w:p w14:paraId="013E1DB5">
                  <w:pPr>
                    <w:spacing w:after="0" w:line="240" w:lineRule="auto"/>
                    <w:jc w:val="center"/>
                    <w:rPr>
                      <w:rFonts w:hint="eastAsia"/>
                      <w:vertAlign w:val="baseline"/>
                      <w:lang w:eastAsia="zh-CN"/>
                    </w:rPr>
                  </w:pPr>
                  <w:r>
                    <w:rPr>
                      <w:rFonts w:hint="eastAsia" w:ascii="Times New Roman" w:hAnsi="Times New Roman" w:eastAsia="宋体"/>
                      <w:b w:val="0"/>
                      <w:i w:val="0"/>
                      <w:sz w:val="21"/>
                      <w:u w:val="none"/>
                    </w:rPr>
                    <w:t>无缺口连续降雨序列</w:t>
                  </w:r>
                  <w:r>
                    <w:rPr>
                      <w:rFonts w:hint="eastAsia" w:ascii="Times New Roman" w:hAnsi="Times New Roman" w:eastAsia="宋体"/>
                      <w:b w:val="0"/>
                      <w:i w:val="0"/>
                      <w:sz w:val="21"/>
                      <w:u w:val="none"/>
                    </w:rPr>
                    <w:br w:type="textWrapping"/>
                  </w:r>
                  <w:r>
                    <w:rPr>
                      <w:rFonts w:hint="eastAsia" w:ascii="Times New Roman" w:hAnsi="Times New Roman" w:eastAsia="宋体"/>
                      <w:b w:val="0"/>
                      <w:i w:val="0"/>
                      <w:sz w:val="21"/>
                      <w:u w:val="none"/>
                    </w:rPr>
                    <w:t>与ISD实测互校</w:t>
                  </w:r>
                </w:p>
              </w:tc>
            </w:tr>
          </w:tbl>
          <w:p w14:paraId="157475F8">
            <w:pPr>
              <w:numPr>
                <w:ilvl w:val="0"/>
                <w:numId w:val="0"/>
              </w:numPr>
              <w:ind w:firstLine="420" w:firstLineChars="200"/>
              <w:jc w:val="center"/>
              <w:rPr>
                <w:rFonts w:hint="eastAsia"/>
                <w:lang w:eastAsia="zh-CN"/>
              </w:rPr>
            </w:pPr>
            <w:r>
              <w:rPr>
                <w:rFonts w:hint="eastAsia"/>
                <w:lang w:eastAsia="zh-CN"/>
              </w:rPr>
              <w:t>表2</w:t>
            </w:r>
            <w:r>
              <w:rPr>
                <w:rFonts w:hint="eastAsia"/>
                <w:lang w:val="en-US" w:eastAsia="zh-CN"/>
              </w:rPr>
              <w:t>-2</w:t>
            </w:r>
            <w:r>
              <w:rPr>
                <w:rFonts w:hint="eastAsia"/>
                <w:lang w:eastAsia="zh-CN"/>
              </w:rPr>
              <w:t xml:space="preserve"> 核心公开真实数据集说明</w:t>
            </w:r>
          </w:p>
          <w:p w14:paraId="5A528CFC">
            <w:pPr>
              <w:numPr>
                <w:ilvl w:val="0"/>
                <w:numId w:val="0"/>
              </w:numPr>
              <w:ind w:firstLine="420" w:firstLineChars="200"/>
              <w:jc w:val="both"/>
              <w:rPr>
                <w:rFonts w:hint="eastAsia"/>
                <w:lang w:eastAsia="zh-CN"/>
              </w:rPr>
            </w:pPr>
            <w:r>
              <w:rPr>
                <w:rFonts w:hint="eastAsia"/>
                <w:lang w:eastAsia="zh-CN"/>
              </w:rPr>
              <w:t>其中，Koln-Weiden 数据集与本研究的“厂一网一雨一体化结构高度同构，包含厂前进水流量、上游管网液位、调蓄池液位与降雨监测，是验证方法有效性的核心代理真值数据集。</w:t>
            </w:r>
          </w:p>
          <w:p w14:paraId="4AE6E96A">
            <w:pPr>
              <w:numPr>
                <w:ilvl w:val="0"/>
                <w:numId w:val="0"/>
              </w:numPr>
              <w:ind w:firstLine="420" w:firstLineChars="200"/>
              <w:jc w:val="both"/>
              <w:rPr>
                <w:rFonts w:hint="eastAsia"/>
                <w:lang w:eastAsia="zh-CN"/>
              </w:rPr>
            </w:pPr>
            <w:r>
              <w:rPr>
                <w:rFonts w:hint="eastAsia"/>
                <w:lang w:eastAsia="zh-CN"/>
              </w:rPr>
              <w:t>完整数据目录（含15类外部数据集的来源、许可、引用方式逐项登记）见data/DATA_CATALOG.md。其中Graz（Zenodo 15783832）、Barcelona s::can（Zenodo 8043771）、UK管网遥测（Zenodo 20699635）、Milan水质（Zenodo 7116995）、Athens化验（Zenodo 18431689）等数据集已在目录中登记但因体量大或需前端登录暂未下载，按需获取。</w:t>
            </w:r>
          </w:p>
          <w:p w14:paraId="49EFF30F">
            <w:pPr>
              <w:numPr>
                <w:ilvl w:val="0"/>
                <w:numId w:val="0"/>
              </w:numPr>
              <w:rPr>
                <w:rFonts w:hint="default" w:eastAsia="宋体"/>
                <w:b/>
                <w:bCs/>
                <w:sz w:val="24"/>
                <w:szCs w:val="24"/>
                <w:lang w:val="en-US" w:eastAsia="zh-CN"/>
              </w:rPr>
            </w:pPr>
            <w:r>
              <w:rPr>
                <w:rFonts w:hint="eastAsia" w:eastAsia="宋体"/>
                <w:b/>
                <w:bCs/>
                <w:sz w:val="24"/>
                <w:szCs w:val="24"/>
                <w:lang w:val="en-US" w:eastAsia="zh-CN"/>
              </w:rPr>
              <w:t>2、数据预处理与特征工程</w:t>
            </w:r>
          </w:p>
          <w:p w14:paraId="1B70664C">
            <w:pPr>
              <w:numPr>
                <w:ilvl w:val="0"/>
                <w:numId w:val="0"/>
              </w:numPr>
              <w:jc w:val="both"/>
              <w:rPr>
                <w:rFonts w:hint="default"/>
                <w:lang w:val="en-US" w:eastAsia="zh-CN"/>
              </w:rPr>
            </w:pPr>
            <w:r>
              <w:rPr>
                <w:rFonts w:hint="eastAsia"/>
                <w:b/>
                <w:bCs/>
                <w:lang w:val="en-US" w:eastAsia="zh-CN"/>
              </w:rPr>
              <w:t>2.1数据清洗与时间对齐</w:t>
            </w:r>
          </w:p>
          <w:p w14:paraId="04B9E844">
            <w:pPr>
              <w:numPr>
                <w:ilvl w:val="0"/>
                <w:numId w:val="0"/>
              </w:numPr>
              <w:ind w:firstLine="420" w:firstLineChars="200"/>
              <w:jc w:val="both"/>
              <w:rPr>
                <w:rFonts w:hint="eastAsia"/>
                <w:lang w:eastAsia="zh-CN"/>
              </w:rPr>
            </w:pPr>
            <w:r>
              <w:rPr>
                <w:rFonts w:hint="eastAsia"/>
                <w:lang w:eastAsia="zh-CN"/>
              </w:rPr>
              <w:t>原始数据存在时间步长不统一、缺失值、异常值等问题，需进行系统的预处理：</w:t>
            </w:r>
          </w:p>
          <w:p w14:paraId="71D493D2">
            <w:pPr>
              <w:numPr>
                <w:ilvl w:val="0"/>
                <w:numId w:val="8"/>
              </w:numPr>
              <w:ind w:left="0" w:leftChars="0" w:firstLine="420" w:firstLineChars="0"/>
              <w:jc w:val="both"/>
              <w:rPr>
                <w:rFonts w:hint="eastAsia"/>
                <w:lang w:eastAsia="zh-CN"/>
              </w:rPr>
            </w:pPr>
            <w:r>
              <w:rPr>
                <w:rFonts w:hint="eastAsia"/>
                <w:lang w:eastAsia="zh-CN"/>
              </w:rPr>
              <w:t>时间对齐：将所有监测数据统一重采样至目标时间粒度（5min或10min），采用线性插值处理小时间尺度的缺失；所有时间戳统一为本地时区，确保多源数据时间基准一致。</w:t>
            </w:r>
          </w:p>
          <w:p w14:paraId="5E85CE3F">
            <w:pPr>
              <w:numPr>
                <w:ilvl w:val="0"/>
                <w:numId w:val="8"/>
              </w:numPr>
              <w:ind w:left="0" w:leftChars="0" w:firstLine="420" w:firstLineChars="0"/>
              <w:jc w:val="both"/>
              <w:rPr>
                <w:rFonts w:hint="eastAsia"/>
                <w:lang w:eastAsia="zh-CN"/>
              </w:rPr>
            </w:pPr>
            <w:r>
              <w:rPr>
                <w:rFonts w:hint="eastAsia"/>
                <w:lang w:eastAsia="zh-CN"/>
              </w:rPr>
              <w:t>缺失值处理：对于短期缺失（&lt;3小时）采用线性插值；对于长期缺失采用前后同期均值填充并标记缺失标识；完全缺失的监测点予以剔除，避免引入过多噪声。</w:t>
            </w:r>
          </w:p>
          <w:p w14:paraId="103FF333">
            <w:pPr>
              <w:numPr>
                <w:ilvl w:val="0"/>
                <w:numId w:val="8"/>
              </w:numPr>
              <w:ind w:left="0" w:leftChars="0" w:firstLine="420" w:firstLineChars="0"/>
              <w:jc w:val="both"/>
              <w:rPr>
                <w:rFonts w:hint="eastAsia"/>
                <w:lang w:eastAsia="zh-CN"/>
              </w:rPr>
            </w:pPr>
            <w:r>
              <w:rPr>
                <w:rFonts w:hint="eastAsia"/>
                <w:lang w:eastAsia="zh-CN"/>
              </w:rPr>
              <w:t>异常值检测：采用3σ原则与滑动窗口中位数结合的方法识别异常值，对仪表故障导致的零值、极值进行修正，确保数据质量满足建模要求。</w:t>
            </w:r>
          </w:p>
          <w:p w14:paraId="57DCD312">
            <w:pPr>
              <w:numPr>
                <w:ilvl w:val="0"/>
                <w:numId w:val="8"/>
              </w:numPr>
              <w:ind w:left="0" w:leftChars="0" w:firstLine="420" w:firstLineChars="0"/>
              <w:jc w:val="both"/>
              <w:rPr>
                <w:rFonts w:hint="eastAsia"/>
                <w:lang w:eastAsia="zh-CN"/>
              </w:rPr>
            </w:pPr>
            <w:r>
              <w:rPr>
                <w:rFonts w:hint="eastAsia"/>
                <w:lang w:eastAsia="zh-CN"/>
              </w:rPr>
              <w:t>数据集划分：严格按时间顺序75%/25%划分训练集与测试集，杜绝随机打乱导致的未来信息泄漏，保证评估结果的真实性。</w:t>
            </w:r>
          </w:p>
          <w:p w14:paraId="2388D9C3">
            <w:pPr>
              <w:numPr>
                <w:ilvl w:val="0"/>
                <w:numId w:val="0"/>
              </w:numPr>
              <w:jc w:val="both"/>
              <w:rPr>
                <w:rFonts w:hint="default"/>
                <w:lang w:val="en-US" w:eastAsia="zh-CN"/>
              </w:rPr>
            </w:pPr>
            <w:r>
              <w:rPr>
                <w:rFonts w:hint="eastAsia"/>
                <w:b/>
                <w:bCs/>
                <w:lang w:val="en-US" w:eastAsia="zh-CN"/>
              </w:rPr>
              <w:t>2.2特征工程构建</w:t>
            </w:r>
          </w:p>
          <w:p w14:paraId="4CA42062">
            <w:pPr>
              <w:numPr>
                <w:ilvl w:val="0"/>
                <w:numId w:val="0"/>
              </w:numPr>
              <w:ind w:firstLine="420" w:firstLineChars="200"/>
              <w:jc w:val="both"/>
              <w:rPr>
                <w:rFonts w:hint="eastAsia"/>
                <w:lang w:eastAsia="zh-CN"/>
              </w:rPr>
            </w:pPr>
            <w:r>
              <w:rPr>
                <w:rFonts w:hint="eastAsia"/>
                <w:lang w:eastAsia="zh-CN"/>
              </w:rPr>
              <w:t>对目标量（厂前进水流量/COD）与外生量（降雨、上游节点液位等）统一构造多维度特征，主要包括：</w:t>
            </w:r>
          </w:p>
          <w:p w14:paraId="413ED2B2">
            <w:pPr>
              <w:numPr>
                <w:ilvl w:val="0"/>
                <w:numId w:val="9"/>
              </w:numPr>
              <w:ind w:left="0" w:leftChars="0" w:firstLine="420" w:firstLineChars="0"/>
              <w:jc w:val="both"/>
              <w:rPr>
                <w:rFonts w:hint="eastAsia"/>
                <w:lang w:eastAsia="zh-CN"/>
              </w:rPr>
            </w:pPr>
            <w:r>
              <w:rPr>
                <w:rFonts w:hint="eastAsia"/>
                <w:lang w:eastAsia="zh-CN"/>
              </w:rPr>
              <w:t>多滞后特征：构造滞后步数为{1,2,3,4,6,8,12,24}的滞后特征，捕捉不同时间尺度的历史依赖关系，是时序预测的基础特征。</w:t>
            </w:r>
          </w:p>
          <w:p w14:paraId="1DF12D1D">
            <w:pPr>
              <w:numPr>
                <w:ilvl w:val="0"/>
                <w:numId w:val="9"/>
              </w:numPr>
              <w:ind w:left="0" w:leftChars="0" w:firstLine="420" w:firstLineChars="0"/>
              <w:jc w:val="both"/>
              <w:rPr>
                <w:rFonts w:hint="eastAsia"/>
                <w:lang w:eastAsia="zh-CN"/>
              </w:rPr>
            </w:pPr>
            <w:r>
              <w:rPr>
                <w:rFonts w:hint="eastAsia"/>
                <w:lang w:eastAsia="zh-CN"/>
              </w:rPr>
              <w:t>一阶差分特征：计算相邻时刻的差值，捕捉变量的涨落趋势与变化速率，有助于模型识别上升/下降的动态过程。</w:t>
            </w:r>
          </w:p>
          <w:p w14:paraId="2E26C017">
            <w:pPr>
              <w:numPr>
                <w:ilvl w:val="0"/>
                <w:numId w:val="9"/>
              </w:numPr>
              <w:ind w:left="0" w:leftChars="0" w:firstLine="420" w:firstLineChars="0"/>
              <w:jc w:val="both"/>
              <w:rPr>
                <w:rFonts w:hint="eastAsia"/>
                <w:lang w:eastAsia="zh-CN"/>
              </w:rPr>
            </w:pPr>
            <w:r>
              <w:rPr>
                <w:rFonts w:hint="eastAsia"/>
                <w:lang w:eastAsia="zh-CN"/>
              </w:rPr>
              <w:t>滑动统计特征：计算6步滑动窗口内的均值、最大值、最小值、方差等统计量，平滑短期噪声的同时提取局部波动特征。</w:t>
            </w:r>
          </w:p>
          <w:p w14:paraId="0860EC3F">
            <w:pPr>
              <w:numPr>
                <w:ilvl w:val="0"/>
                <w:numId w:val="9"/>
              </w:numPr>
              <w:ind w:left="0" w:leftChars="0" w:firstLine="420" w:firstLineChars="0"/>
              <w:jc w:val="both"/>
              <w:rPr>
                <w:rFonts w:hint="eastAsia"/>
                <w:lang w:eastAsia="zh-CN"/>
              </w:rPr>
            </w:pPr>
            <w:r>
              <w:rPr>
                <w:rFonts w:hint="eastAsia"/>
                <w:lang w:eastAsia="zh-CN"/>
              </w:rPr>
              <w:t>时间特征：小时（含分钟小数）与星期编码，表征旱天日变化周期与周内差异；节假日标识，捕捉特殊日期的用水模式变化。</w:t>
            </w:r>
          </w:p>
          <w:p w14:paraId="6679626D">
            <w:pPr>
              <w:numPr>
                <w:ilvl w:val="0"/>
                <w:numId w:val="9"/>
              </w:numPr>
              <w:ind w:left="0" w:leftChars="0" w:firstLine="420" w:firstLineChars="0"/>
              <w:jc w:val="both"/>
              <w:rPr>
                <w:rFonts w:hint="eastAsia"/>
                <w:lang w:eastAsia="zh-CN"/>
              </w:rPr>
            </w:pPr>
            <w:r>
              <w:rPr>
                <w:rFonts w:hint="eastAsia"/>
                <w:lang w:eastAsia="zh-CN"/>
              </w:rPr>
              <w:t>降雨特征：当前雨量、过去1h/3h/6h累计雨量、降雨强度等级等，表征降雨对入流入渗的驱动作用。</w:t>
            </w:r>
          </w:p>
          <w:p w14:paraId="6429F145">
            <w:pPr>
              <w:numPr>
                <w:ilvl w:val="0"/>
                <w:numId w:val="0"/>
              </w:numPr>
              <w:ind w:firstLine="420" w:firstLineChars="200"/>
              <w:jc w:val="both"/>
              <w:rPr>
                <w:rFonts w:hint="eastAsia"/>
                <w:lang w:eastAsia="zh-CN"/>
              </w:rPr>
            </w:pPr>
            <w:r>
              <w:rPr>
                <w:rFonts w:hint="eastAsia"/>
                <w:lang w:eastAsia="zh-CN"/>
              </w:rPr>
              <w:t>预测目标为未来h步的进水量/水质，h对应1/2/3小时。特征工程的设计充分考虑了厂站网一体化的物理背景，所有特征均具有明确的物理意义，避免无意义的特征堆砌。</w:t>
            </w:r>
          </w:p>
          <w:p w14:paraId="1F74F80E">
            <w:pPr>
              <w:numPr>
                <w:ilvl w:val="0"/>
                <w:numId w:val="0"/>
              </w:numPr>
              <w:jc w:val="left"/>
              <w:rPr>
                <w:rFonts w:hint="default" w:eastAsia="宋体"/>
                <w:b/>
                <w:bCs/>
                <w:sz w:val="28"/>
                <w:szCs w:val="28"/>
                <w:lang w:val="en-US" w:eastAsia="zh-CN"/>
              </w:rPr>
            </w:pPr>
            <w:r>
              <w:rPr>
                <w:rFonts w:hint="eastAsia" w:eastAsia="宋体"/>
                <w:b/>
                <w:bCs/>
                <w:sz w:val="28"/>
                <w:szCs w:val="28"/>
                <w:lang w:val="en-US" w:eastAsia="zh-CN"/>
              </w:rPr>
              <w:t>三、厂站网一体化建模与模拟数据</w:t>
            </w:r>
          </w:p>
          <w:p w14:paraId="322BFEB7">
            <w:pPr>
              <w:numPr>
                <w:ilvl w:val="0"/>
                <w:numId w:val="0"/>
              </w:numPr>
              <w:rPr>
                <w:rFonts w:hint="eastAsia" w:eastAsia="宋体"/>
                <w:b/>
                <w:bCs/>
                <w:sz w:val="24"/>
                <w:szCs w:val="24"/>
                <w:lang w:val="en-US" w:eastAsia="zh-CN"/>
              </w:rPr>
            </w:pPr>
            <w:r>
              <w:rPr>
                <w:rFonts w:hint="eastAsia" w:eastAsia="宋体"/>
                <w:b/>
                <w:bCs/>
                <w:sz w:val="24"/>
                <w:szCs w:val="24"/>
                <w:lang w:val="en-US" w:eastAsia="zh-CN"/>
              </w:rPr>
              <w:t>1、厂站网一体化建模</w:t>
            </w:r>
          </w:p>
          <w:p w14:paraId="10ED5E74">
            <w:pPr>
              <w:numPr>
                <w:ilvl w:val="0"/>
                <w:numId w:val="0"/>
              </w:numPr>
              <w:jc w:val="both"/>
              <w:rPr>
                <w:rFonts w:hint="eastAsia"/>
                <w:lang w:val="en-US" w:eastAsia="zh-CN"/>
              </w:rPr>
            </w:pPr>
            <w:r>
              <w:rPr>
                <w:rFonts w:hint="eastAsia"/>
                <w:b/>
                <w:bCs/>
                <w:lang w:val="en-US" w:eastAsia="zh-CN"/>
              </w:rPr>
              <w:t>1.1特征工程构建</w:t>
            </w:r>
          </w:p>
          <w:p w14:paraId="5344162D">
            <w:pPr>
              <w:numPr>
                <w:ilvl w:val="0"/>
                <w:numId w:val="0"/>
              </w:numPr>
              <w:ind w:firstLine="420"/>
              <w:jc w:val="both"/>
              <w:rPr>
                <w:rFonts w:hint="eastAsia"/>
                <w:lang w:val="en-US" w:eastAsia="zh-CN"/>
              </w:rPr>
            </w:pPr>
            <w:r>
              <w:rPr>
                <w:rFonts w:hint="eastAsia"/>
                <w:lang w:val="en-US" w:eastAsia="zh-CN"/>
              </w:rPr>
              <w:t>基于Date1真实泵站布局，将泰和系统概化为沿程干线+支线接入的树状拓扑：43个节点、42条管段（管径800~2400 mm）、6级泵站串联汇流。</w:t>
            </w:r>
          </w:p>
          <w:p w14:paraId="5FDEE583">
            <w:pPr>
              <w:numPr>
                <w:ilvl w:val="0"/>
                <w:numId w:val="0"/>
              </w:numPr>
              <w:jc w:val="both"/>
              <w:rPr>
                <w:rFonts w:hint="default"/>
                <w:lang w:val="en-US" w:eastAsia="zh-CN"/>
              </w:rPr>
            </w:pPr>
            <w:r>
              <w:rPr>
                <w:rFonts w:hint="eastAsia"/>
                <w:b/>
                <w:bCs/>
                <w:lang w:val="en-US" w:eastAsia="zh-CN"/>
              </w:rPr>
              <w:t>1.2核心物理机制</w:t>
            </w:r>
          </w:p>
          <w:p w14:paraId="6DFA2930">
            <w:pPr>
              <w:numPr>
                <w:ilvl w:val="0"/>
                <w:numId w:val="0"/>
              </w:numPr>
              <w:ind w:firstLine="420"/>
              <w:jc w:val="both"/>
              <w:rPr>
                <w:rFonts w:hint="eastAsia" w:ascii="宋体" w:hAnsi="宋体" w:eastAsia="宋体" w:cs="宋体"/>
                <w:lang w:val="en-US" w:eastAsia="zh-CN"/>
              </w:rPr>
            </w:pPr>
            <w:r>
              <w:rPr>
                <w:rFonts w:hint="eastAsia"/>
                <w:lang w:val="en-US" w:eastAsia="zh-CN"/>
              </w:rPr>
              <w:t>模拟器时序生成包含五类核心物理机制：</w:t>
            </w:r>
            <w:r>
              <w:rPr>
                <w:rFonts w:hint="default" w:ascii="Calibri" w:hAnsi="Calibri" w:cs="Calibri"/>
                <w:lang w:val="en-US" w:eastAsia="zh-CN"/>
              </w:rPr>
              <w:t>①</w:t>
            </w:r>
            <w:r>
              <w:rPr>
                <w:rFonts w:hint="eastAsia"/>
                <w:lang w:val="en-US" w:eastAsia="zh-CN"/>
              </w:rPr>
              <w:t>旱天基流：双峰日变化（9:00/20:00峰，3:30谷），日均10万m³/d，周末降8%。</w:t>
            </w:r>
            <w:r>
              <w:rPr>
                <w:rFonts w:hint="default" w:ascii="Calibri" w:hAnsi="Calibri" w:cs="Calibri"/>
                <w:lang w:val="en-US" w:eastAsia="zh-CN"/>
              </w:rPr>
              <w:t>②降雨入流入渗（RDII）：径流系数0.35，降雨经单位线卷积转化为入流过程，叠加缓释入渗项</w:t>
            </w:r>
            <w:r>
              <w:rPr>
                <w:rFonts w:hint="eastAsia" w:ascii="Calibri" w:hAnsi="Calibri" w:cs="Calibri"/>
                <w:lang w:val="en-US" w:eastAsia="zh-CN"/>
              </w:rPr>
              <w:t>。</w:t>
            </w:r>
            <w:r>
              <w:rPr>
                <w:rFonts w:hint="default" w:ascii="Calibri" w:hAnsi="Calibri" w:cs="Calibri"/>
                <w:lang w:val="en-US" w:eastAsia="zh-CN"/>
              </w:rPr>
              <w:t>③输送延迟：按管段长度与0.8 m/s设计流速计算传播时间，上游信号领先厂前0.5~3小时</w:t>
            </w:r>
            <w:r>
              <w:rPr>
                <w:rFonts w:hint="eastAsia" w:ascii="Calibri" w:hAnsi="Calibri" w:cs="Calibri"/>
                <w:lang w:val="en-US" w:eastAsia="zh-CN"/>
              </w:rPr>
              <w:t>。</w:t>
            </w:r>
            <w:r>
              <w:rPr>
                <w:rFonts w:hint="eastAsia" w:ascii="Calibri" w:hAnsi="Calibri" w:eastAsia="宋体" w:cs="Calibri"/>
                <w:lang w:val="en-US" w:eastAsia="zh-CN"/>
              </w:rPr>
              <w:t>④泵站启停：前池液位触发式启停逻辑，产生阶梯状输送流量与液位锯齿。⑤水质过程：COD/氨氮等按"旱天浓度日变化×雨天稀释×初期冲刷脉冲"合成，叠加低概率毒性冲击事件。</w:t>
            </w:r>
          </w:p>
          <w:p w14:paraId="25E126B5">
            <w:pPr>
              <w:numPr>
                <w:ilvl w:val="0"/>
                <w:numId w:val="0"/>
              </w:numPr>
              <w:jc w:val="both"/>
              <w:rPr>
                <w:rFonts w:hint="default"/>
                <w:lang w:val="en-US" w:eastAsia="zh-CN"/>
              </w:rPr>
            </w:pPr>
            <w:r>
              <w:rPr>
                <w:rFonts w:hint="eastAsia"/>
                <w:b/>
                <w:bCs/>
                <w:lang w:val="en-US" w:eastAsia="zh-CN"/>
              </w:rPr>
              <w:t>1.3上海实测降雨耦合场景</w:t>
            </w:r>
          </w:p>
          <w:p w14:paraId="2AFC4D40">
            <w:pPr>
              <w:numPr>
                <w:ilvl w:val="0"/>
                <w:numId w:val="0"/>
              </w:numPr>
              <w:ind w:firstLine="420" w:firstLineChars="200"/>
              <w:jc w:val="both"/>
              <w:rPr>
                <w:rFonts w:hint="default"/>
                <w:lang w:val="en-US" w:eastAsia="zh-CN"/>
              </w:rPr>
            </w:pPr>
            <w:r>
              <w:rPr>
                <w:rFonts w:hint="default"/>
                <w:lang w:val="en-US" w:eastAsia="zh-CN"/>
              </w:rPr>
              <w:t>以2024年汛期（6–8月，共92天）上海全市平均雨量（10min重采样至5min）驱动模拟，场景雨时占比20.9%，进水流量范围2388 ~ 15087 m³/h，覆盖旱天平稳、梅雨连阴与台风强降雨多种工况。</w:t>
            </w:r>
          </w:p>
          <w:p w14:paraId="364877E3">
            <w:pPr>
              <w:numPr>
                <w:ilvl w:val="0"/>
                <w:numId w:val="0"/>
              </w:numPr>
              <w:ind w:firstLine="420" w:firstLineChars="200"/>
              <w:jc w:val="both"/>
              <w:rPr>
                <w:rFonts w:hint="default"/>
                <w:lang w:val="en-US" w:eastAsia="zh-CN"/>
              </w:rPr>
            </w:pPr>
            <w:r>
              <w:rPr>
                <w:rFonts w:hint="default"/>
                <w:lang w:val="en-US" w:eastAsia="zh-CN"/>
              </w:rPr>
              <w:t>选择2024年汛期作为典型场景的原因在于：该时段包含了梅雨期连续降雨、台风雨强降雨等多种典型雨天工况，能够全面检验模型在不同降雨模式下的预测性能。实测降雨驱动确保了模拟场景的外部输入具有真实性，避免了人工设计降雨的理想化偏差。典型梅雨期两周的雨强、进水流量与COD变化过程如图3-</w:t>
            </w:r>
            <w:r>
              <w:rPr>
                <w:rFonts w:hint="eastAsia"/>
                <w:lang w:val="en-US" w:eastAsia="zh-CN"/>
              </w:rPr>
              <w:t>1</w:t>
            </w:r>
            <w:r>
              <w:rPr>
                <w:rFonts w:hint="default"/>
                <w:lang w:val="en-US" w:eastAsia="zh-CN"/>
              </w:rPr>
              <w:t>所示。</w:t>
            </w:r>
          </w:p>
          <w:p w14:paraId="370C8247">
            <w:pPr>
              <w:numPr>
                <w:ilvl w:val="0"/>
                <w:numId w:val="0"/>
              </w:numPr>
              <w:ind w:firstLine="420" w:firstLineChars="200"/>
              <w:jc w:val="both"/>
              <w:rPr>
                <w:rFonts w:hint="default"/>
                <w:lang w:val="en-US" w:eastAsia="zh-CN"/>
              </w:rPr>
            </w:pPr>
            <w:r>
              <w:drawing>
                <wp:inline distT="0" distB="0" distL="114300" distR="114300">
                  <wp:extent cx="5303520" cy="3374390"/>
                  <wp:effectExtent l="0" t="0" r="5080" b="381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12"/>
                          <a:stretch>
                            <a:fillRect/>
                          </a:stretch>
                        </pic:blipFill>
                        <pic:spPr>
                          <a:xfrm>
                            <a:off x="0" y="0"/>
                            <a:ext cx="5303520" cy="3374967"/>
                          </a:xfrm>
                          <a:prstGeom prst="rect">
                            <a:avLst/>
                          </a:prstGeom>
                        </pic:spPr>
                      </pic:pic>
                    </a:graphicData>
                  </a:graphic>
                </wp:inline>
              </w:drawing>
            </w:r>
          </w:p>
          <w:p w14:paraId="2D7AFFA6">
            <w:pPr>
              <w:numPr>
                <w:ilvl w:val="0"/>
                <w:numId w:val="0"/>
              </w:numPr>
              <w:ind w:firstLine="420"/>
              <w:jc w:val="both"/>
              <w:rPr>
                <w:rFonts w:hint="eastAsia"/>
                <w:lang w:val="en-US" w:eastAsia="zh-CN"/>
              </w:rPr>
            </w:pPr>
            <w:r>
              <w:rPr>
                <w:rFonts w:hint="eastAsia"/>
              </w:rPr>
              <w:t>图</w:t>
            </w:r>
            <w:r>
              <w:rPr>
                <w:rFonts w:hint="eastAsia"/>
                <w:lang w:val="en-US" w:eastAsia="zh-CN"/>
              </w:rPr>
              <w:t>3-1</w:t>
            </w:r>
            <w:r>
              <w:rPr>
                <w:rFonts w:hint="eastAsia"/>
              </w:rPr>
              <w:t>实测降雨驱动的泰和模拟场景（2024-06梅雨期两周：雨强 → 进水流量 → COD）</w:t>
            </w:r>
          </w:p>
          <w:p w14:paraId="26392B25">
            <w:pPr>
              <w:numPr>
                <w:ilvl w:val="0"/>
                <w:numId w:val="0"/>
              </w:numPr>
              <w:rPr>
                <w:rFonts w:hint="eastAsia"/>
                <w:lang w:val="en-US" w:eastAsia="zh-CN"/>
              </w:rPr>
            </w:pPr>
            <w:r>
              <w:rPr>
                <w:rFonts w:hint="eastAsia" w:eastAsia="宋体"/>
                <w:b/>
                <w:bCs/>
                <w:sz w:val="24"/>
                <w:szCs w:val="24"/>
                <w:lang w:val="en-US" w:eastAsia="zh-CN"/>
              </w:rPr>
              <w:t>2、数据模拟</w:t>
            </w:r>
          </w:p>
          <w:p w14:paraId="4FC6E77E">
            <w:pPr>
              <w:numPr>
                <w:ilvl w:val="0"/>
                <w:numId w:val="0"/>
              </w:numPr>
              <w:ind w:firstLine="420"/>
              <w:jc w:val="both"/>
              <w:rPr>
                <w:rFonts w:hint="eastAsia"/>
                <w:lang w:val="en-US" w:eastAsia="zh-CN"/>
              </w:rPr>
            </w:pPr>
            <w:r>
              <w:rPr>
                <w:rFonts w:hint="eastAsia"/>
                <w:lang w:val="en-US" w:eastAsia="zh-CN"/>
              </w:rPr>
              <w:t>缺少指定水厂的时序运行数据（SCADA、在线监测等），但是模型训练与场景验证需要厂前进水流量、水质、管网节点液位、泵站运行等时序数据。使用本团队以指定泵站骨架为基础，参数化生成所需时序。接下来将阐述哪些是模拟数据，模拟生成方式与参数取值，全部参数集中在src/simulation/config.py。</w:t>
            </w:r>
          </w:p>
          <w:p w14:paraId="1AB39020">
            <w:pPr>
              <w:numPr>
                <w:ilvl w:val="0"/>
                <w:numId w:val="0"/>
              </w:numPr>
              <w:jc w:val="both"/>
              <w:rPr>
                <w:rFonts w:hint="eastAsia"/>
                <w:lang w:val="en-US" w:eastAsia="zh-CN"/>
              </w:rPr>
            </w:pPr>
            <w:r>
              <w:rPr>
                <w:rFonts w:hint="eastAsia"/>
                <w:lang w:val="en-US" w:eastAsia="zh-CN"/>
              </w:rPr>
              <w:t>3.1管网拓扑</w:t>
            </w:r>
          </w:p>
          <w:p w14:paraId="3278A951">
            <w:pPr>
              <w:numPr>
                <w:ilvl w:val="0"/>
                <w:numId w:val="0"/>
              </w:numPr>
              <w:ind w:firstLine="420" w:firstLineChars="200"/>
              <w:jc w:val="both"/>
              <w:rPr>
                <w:rFonts w:hint="eastAsia" w:ascii="宋体" w:hAnsi="宋体" w:eastAsia="宋体" w:cs="宋体"/>
                <w:lang w:val="en-US" w:eastAsia="zh-CN"/>
              </w:rPr>
            </w:pPr>
            <w:r>
              <w:rPr>
                <w:rFonts w:hint="eastAsia"/>
                <w:lang w:val="en-US" w:eastAsia="zh-CN"/>
              </w:rPr>
              <w:t>以指定系统图为依据，基于真实泵站布局概化，将泰和系统概化为沿程干线+支线接入的树状拓扑：</w:t>
            </w:r>
            <w:r>
              <w:rPr>
                <w:rFonts w:hint="eastAsia"/>
              </w:rPr>
              <w:t>共43个节点（干线/支线/泵站前池）、42条管段（管径800~2400 mm）、6级泵站串联汇流，节点按距厂距离布置，汇水面积按各泵站服务范围面积分配</w:t>
            </w:r>
            <w:r>
              <w:rPr>
                <w:rFonts w:hint="eastAsia"/>
                <w:lang w:val="en-US" w:eastAsia="zh-CN"/>
              </w:rPr>
              <w:t>。概化原则主要为</w:t>
            </w:r>
            <w:r>
              <w:rPr>
                <w:rFonts w:hint="default" w:ascii="Calibri" w:hAnsi="Calibri" w:cs="Calibri"/>
                <w:lang w:val="en-US" w:eastAsia="zh-CN"/>
              </w:rPr>
              <w:t>①</w:t>
            </w:r>
            <w:r>
              <w:rPr>
                <w:rFonts w:hint="eastAsia"/>
              </w:rPr>
              <w:t>保留主要干线与关键泵站，忽略次要支线以降低复杂度</w:t>
            </w:r>
            <w:r>
              <w:rPr>
                <w:rFonts w:hint="eastAsia"/>
                <w:lang w:eastAsia="zh-CN"/>
              </w:rPr>
              <w:t>。</w:t>
            </w:r>
            <w:r>
              <w:rPr>
                <w:rFonts w:hint="default" w:ascii="Calibri" w:hAnsi="Calibri" w:cs="Calibri"/>
                <w:lang w:eastAsia="zh-CN"/>
              </w:rPr>
              <w:t>②</w:t>
            </w:r>
            <w:r>
              <w:rPr>
                <w:rFonts w:hint="eastAsia"/>
              </w:rPr>
              <w:t>管段长度与管径按实际工程经验合理取值</w:t>
            </w:r>
            <w:r>
              <w:rPr>
                <w:rFonts w:hint="eastAsia"/>
                <w:lang w:eastAsia="zh-CN"/>
              </w:rPr>
              <w:t>。</w:t>
            </w:r>
            <w:r>
              <w:rPr>
                <w:rFonts w:hint="default" w:ascii="Calibri" w:hAnsi="Calibri" w:cs="Calibri"/>
                <w:lang w:eastAsia="zh-CN"/>
              </w:rPr>
              <w:t>③</w:t>
            </w:r>
            <w:r>
              <w:rPr>
                <w:rFonts w:hint="eastAsia"/>
              </w:rPr>
              <w:t>汇水面积按服务范围比例分配，确保总规模与设计能力匹配。概化后的管网骨架既保留了真实系统的主要结构特征，又满足了模拟计算的效率要求</w:t>
            </w:r>
            <w:r>
              <w:rPr>
                <w:rFonts w:hint="eastAsia"/>
                <w:lang w:eastAsia="zh-CN"/>
              </w:rPr>
              <w:t>。</w:t>
            </w:r>
            <w:r>
              <w:rPr>
                <w:rFonts w:hint="eastAsia"/>
              </w:rPr>
              <w:t>管网拓扑结构如图</w:t>
            </w:r>
            <w:r>
              <w:rPr>
                <w:rFonts w:hint="eastAsia"/>
                <w:lang w:val="en-US" w:eastAsia="zh-CN"/>
              </w:rPr>
              <w:t>2-3</w:t>
            </w:r>
            <w:r>
              <w:rPr>
                <w:rFonts w:hint="eastAsia"/>
              </w:rPr>
              <w:t>所示</w:t>
            </w:r>
            <w:r>
              <w:rPr>
                <w:rFonts w:hint="eastAsia"/>
                <w:lang w:eastAsia="zh-CN"/>
              </w:rPr>
              <w:t>：</w:t>
            </w:r>
          </w:p>
          <w:p w14:paraId="55B084F8">
            <w:pPr>
              <w:numPr>
                <w:ilvl w:val="0"/>
                <w:numId w:val="0"/>
              </w:numPr>
              <w:jc w:val="center"/>
            </w:pPr>
            <w:r>
              <w:drawing>
                <wp:inline distT="0" distB="0" distL="114300" distR="114300">
                  <wp:extent cx="4311650" cy="1764665"/>
                  <wp:effectExtent l="0" t="0" r="6350" b="1333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13"/>
                          <a:stretch>
                            <a:fillRect/>
                          </a:stretch>
                        </pic:blipFill>
                        <pic:spPr>
                          <a:xfrm>
                            <a:off x="0" y="0"/>
                            <a:ext cx="4311650" cy="1764665"/>
                          </a:xfrm>
                          <a:prstGeom prst="rect">
                            <a:avLst/>
                          </a:prstGeom>
                        </pic:spPr>
                      </pic:pic>
                    </a:graphicData>
                  </a:graphic>
                </wp:inline>
              </w:drawing>
            </w:r>
          </w:p>
          <w:p w14:paraId="31DDF5D4">
            <w:pPr>
              <w:numPr>
                <w:ilvl w:val="0"/>
                <w:numId w:val="0"/>
              </w:numPr>
              <w:jc w:val="center"/>
              <w:rPr>
                <w:rFonts w:hint="eastAsia"/>
                <w:lang w:val="en-US" w:eastAsia="zh-CN"/>
              </w:rPr>
            </w:pPr>
            <w:r>
              <w:rPr>
                <w:rFonts w:hint="eastAsia"/>
              </w:rPr>
              <w:t>图</w:t>
            </w:r>
            <w:r>
              <w:rPr>
                <w:rFonts w:hint="eastAsia"/>
                <w:lang w:val="en-US" w:eastAsia="zh-CN"/>
              </w:rPr>
              <w:t>2-3</w:t>
            </w:r>
            <w:r>
              <w:rPr>
                <w:rFonts w:hint="eastAsia"/>
              </w:rPr>
              <w:t>模拟管网骨架：43节点 / 42管段 / 6泵站（按距厂距离概化布置）</w:t>
            </w:r>
          </w:p>
          <w:p w14:paraId="38FD9959">
            <w:pPr>
              <w:numPr>
                <w:ilvl w:val="0"/>
                <w:numId w:val="0"/>
              </w:numPr>
              <w:jc w:val="both"/>
              <w:rPr>
                <w:rFonts w:hint="eastAsia"/>
                <w:lang w:val="en-US" w:eastAsia="zh-CN"/>
              </w:rPr>
            </w:pPr>
            <w:r>
              <w:rPr>
                <w:rFonts w:hint="eastAsia"/>
                <w:lang w:val="en-US" w:eastAsia="zh-CN"/>
              </w:rPr>
              <w:t>3.2旱天基流</w:t>
            </w:r>
          </w:p>
          <w:p w14:paraId="3EE54D7F">
            <w:pPr>
              <w:numPr>
                <w:ilvl w:val="0"/>
                <w:numId w:val="0"/>
              </w:numPr>
              <w:ind w:firstLine="420" w:firstLineChars="200"/>
              <w:jc w:val="both"/>
              <w:rPr>
                <w:rFonts w:hint="default"/>
                <w:lang w:val="en-US" w:eastAsia="zh-CN"/>
              </w:rPr>
            </w:pPr>
            <w:r>
              <w:rPr>
                <w:rFonts w:hint="eastAsia"/>
                <w:lang w:val="en-US" w:eastAsia="zh-CN"/>
              </w:rPr>
              <w:t>按服务人口当量生成双峰日变化与周内差异，叠加</w:t>
            </w:r>
            <w:r>
              <w:rPr>
                <w:rFonts w:hint="default"/>
                <w:lang w:val="en-US" w:eastAsia="zh-CN"/>
              </w:rPr>
              <w:t>小尺度噪声</w:t>
            </w:r>
            <w:r>
              <w:rPr>
                <w:rFonts w:hint="eastAsia"/>
                <w:lang w:val="en-US" w:eastAsia="zh-CN"/>
              </w:rPr>
              <w:t>，其中日内曲线为高斯函数叠加。</w:t>
            </w:r>
            <w:r>
              <w:rPr>
                <w:rFonts w:hint="default"/>
                <w:lang w:val="en-US" w:eastAsia="zh-CN"/>
              </w:rPr>
              <w:t>旱天流量模式遵循典型的城市居民用水规律，早高峰出现在7:00-9:00，晚高峰出现在18:00-21:00，夜间流量最低。旱天日变化形态与BSM2动态进水基准一致。</w:t>
            </w:r>
          </w:p>
          <w:p w14:paraId="15874B08">
            <w:pPr>
              <w:numPr>
                <w:ilvl w:val="0"/>
                <w:numId w:val="0"/>
              </w:numPr>
              <w:jc w:val="both"/>
              <w:rPr>
                <w:rFonts w:hint="eastAsia"/>
                <w:lang w:val="en-US" w:eastAsia="zh-CN"/>
              </w:rPr>
            </w:pPr>
            <w:r>
              <w:rPr>
                <w:rFonts w:hint="eastAsia"/>
                <w:lang w:val="en-US" w:eastAsia="zh-CN"/>
              </w:rPr>
              <w:t>3.3管道水力约束</w:t>
            </w:r>
          </w:p>
          <w:p w14:paraId="01A09542">
            <w:pPr>
              <w:numPr>
                <w:ilvl w:val="0"/>
                <w:numId w:val="0"/>
              </w:numPr>
              <w:ind w:firstLine="420" w:firstLineChars="200"/>
              <w:jc w:val="both"/>
              <w:rPr>
                <w:rFonts w:hint="default"/>
                <w:lang w:val="en-US" w:eastAsia="zh-CN"/>
              </w:rPr>
            </w:pPr>
            <w:r>
              <w:rPr>
                <w:rFonts w:hint="default"/>
                <w:lang w:val="en-US" w:eastAsia="zh-CN"/>
              </w:rPr>
              <w:t>采用曼宁公式计算管道最大允许流量，作为模型输出的物理校验边界，截断违背水力极限的异常预测值，公式为：</w:t>
            </w:r>
          </w:p>
          <w:p w14:paraId="7E9B00F0">
            <w:pPr>
              <w:widowControl w:val="0"/>
              <w:numPr>
                <w:ilvl w:val="0"/>
                <w:numId w:val="0"/>
              </w:numPr>
              <w:jc w:val="both"/>
              <w:rPr>
                <w:rFonts w:hint="default"/>
                <w:b/>
                <w:bCs/>
                <w:lang w:val="en-US"/>
              </w:rPr>
            </w:pPr>
            <m:oMathPara>
              <m:oMath>
                <m:sSub>
                  <m:sSubPr>
                    <m:ctrlPr>
                      <w:rPr>
                        <w:rFonts w:ascii="DejaVu Math TeX Gyre" w:hAnsi="DejaVu Math TeX Gyre"/>
                        <w:bCs/>
                        <w:i/>
                      </w:rPr>
                    </m:ctrlPr>
                  </m:sSubPr>
                  <m:e>
                    <m:r>
                      <m:rPr/>
                      <w:rPr>
                        <w:rFonts w:hint="eastAsia" w:ascii="DejaVu Math TeX Gyre" w:hAnsi="DejaVu Math TeX Gyre"/>
                        <w:lang w:val="en-US" w:eastAsia="zh-CN"/>
                      </w:rPr>
                      <m:t>Q</m:t>
                    </m:r>
                    <m:ctrlPr>
                      <w:rPr>
                        <w:rFonts w:ascii="DejaVu Math TeX Gyre" w:hAnsi="DejaVu Math TeX Gyre"/>
                        <w:bCs/>
                        <w:i/>
                      </w:rPr>
                    </m:ctrlPr>
                  </m:e>
                  <m:sub>
                    <m:r>
                      <m:rPr/>
                      <w:rPr>
                        <w:rFonts w:hint="default" w:ascii="DejaVu Math TeX Gyre" w:hAnsi="DejaVu Math TeX Gyre"/>
                        <w:lang w:val="en-US"/>
                      </w:rPr>
                      <m:t>max</m:t>
                    </m:r>
                    <m:ctrlPr>
                      <w:rPr>
                        <w:rFonts w:ascii="DejaVu Math TeX Gyre" w:hAnsi="DejaVu Math TeX Gyre"/>
                        <w:bCs/>
                        <w:i/>
                      </w:rPr>
                    </m:ctrlPr>
                  </m:sub>
                </m:sSub>
                <m:r>
                  <m:rPr/>
                  <w:rPr>
                    <w:rFonts w:hint="default" w:ascii="DejaVu Math TeX Gyre" w:hAnsi="DejaVu Math TeX Gyre" w:cs="DejaVu Math TeX Gyre"/>
                  </w:rPr>
                  <m:t>=</m:t>
                </m:r>
                <m:f>
                  <m:fPr>
                    <m:ctrlPr>
                      <w:rPr>
                        <w:rFonts w:hint="default" w:ascii="DejaVu Math TeX Gyre" w:hAnsi="DejaVu Math TeX Gyre" w:cs="DejaVu Math TeX Gyre"/>
                        <w:bCs/>
                        <w:i/>
                      </w:rPr>
                    </m:ctrlPr>
                  </m:fPr>
                  <m:num>
                    <m:r>
                      <m:rPr/>
                      <w:rPr>
                        <w:rFonts w:hint="default" w:ascii="DejaVu Math TeX Gyre" w:hAnsi="DejaVu Math TeX Gyre" w:cs="DejaVu Math TeX Gyre"/>
                        <w:lang w:val="en-US"/>
                      </w:rPr>
                      <m:t>1</m:t>
                    </m:r>
                    <m:ctrlPr>
                      <w:rPr>
                        <w:rFonts w:hint="default" w:ascii="DejaVu Math TeX Gyre" w:hAnsi="DejaVu Math TeX Gyre" w:cs="DejaVu Math TeX Gyre"/>
                        <w:bCs/>
                        <w:i/>
                      </w:rPr>
                    </m:ctrlPr>
                  </m:num>
                  <m:den>
                    <m:r>
                      <m:rPr/>
                      <w:rPr>
                        <w:rFonts w:hint="default" w:ascii="DejaVu Math TeX Gyre" w:hAnsi="DejaVu Math TeX Gyre" w:cs="DejaVu Math TeX Gyre"/>
                        <w:lang w:val="en-US"/>
                      </w:rPr>
                      <m:t>n</m:t>
                    </m:r>
                    <m:ctrlPr>
                      <w:rPr>
                        <w:rFonts w:hint="default" w:ascii="DejaVu Math TeX Gyre" w:hAnsi="DejaVu Math TeX Gyre" w:cs="DejaVu Math TeX Gyre"/>
                        <w:bCs/>
                        <w:i/>
                      </w:rPr>
                    </m:ctrlPr>
                  </m:den>
                </m:f>
                <m:r>
                  <m:rPr/>
                  <w:rPr>
                    <w:rFonts w:hint="default" w:ascii="DejaVu Math TeX Gyre" w:hAnsi="DejaVu Math TeX Gyre" w:cs="DejaVu Math TeX Gyre"/>
                    <w:lang w:val="en-US"/>
                  </w:rPr>
                  <m:t>A</m:t>
                </m:r>
                <m:sSup>
                  <m:sSupPr>
                    <m:ctrlPr>
                      <w:rPr>
                        <w:rFonts w:hint="default" w:ascii="DejaVu Math TeX Gyre" w:hAnsi="DejaVu Math TeX Gyre" w:cs="DejaVu Math TeX Gyre"/>
                        <w:bCs/>
                        <w:i/>
                        <w:lang w:val="en-US"/>
                      </w:rPr>
                    </m:ctrlPr>
                  </m:sSupPr>
                  <m:e>
                    <m:r>
                      <m:rPr/>
                      <w:rPr>
                        <w:rFonts w:hint="default" w:ascii="DejaVu Math TeX Gyre" w:hAnsi="DejaVu Math TeX Gyre" w:cs="DejaVu Math TeX Gyre"/>
                        <w:lang w:val="en-US"/>
                      </w:rPr>
                      <m:t>R</m:t>
                    </m:r>
                    <m:ctrlPr>
                      <w:rPr>
                        <w:rFonts w:hint="default" w:ascii="DejaVu Math TeX Gyre" w:hAnsi="DejaVu Math TeX Gyre" w:cs="DejaVu Math TeX Gyre"/>
                        <w:bCs/>
                        <w:i/>
                        <w:lang w:val="en-US"/>
                      </w:rPr>
                    </m:ctrlPr>
                  </m:e>
                  <m:sup>
                    <m:f>
                      <m:fPr>
                        <m:ctrlPr>
                          <w:rPr>
                            <w:rFonts w:hint="default" w:ascii="DejaVu Math TeX Gyre" w:hAnsi="DejaVu Math TeX Gyre" w:cs="DejaVu Math TeX Gyre"/>
                            <w:bCs/>
                            <w:i/>
                            <w:lang w:val="en-US"/>
                          </w:rPr>
                        </m:ctrlPr>
                      </m:fPr>
                      <m:num>
                        <m:r>
                          <m:rPr/>
                          <w:rPr>
                            <w:rFonts w:hint="default" w:ascii="DejaVu Math TeX Gyre" w:hAnsi="DejaVu Math TeX Gyre" w:cs="DejaVu Math TeX Gyre"/>
                            <w:lang w:val="en-US"/>
                          </w:rPr>
                          <m:t>2</m:t>
                        </m:r>
                        <m:ctrlPr>
                          <w:rPr>
                            <w:rFonts w:hint="default" w:ascii="DejaVu Math TeX Gyre" w:hAnsi="DejaVu Math TeX Gyre" w:cs="DejaVu Math TeX Gyre"/>
                            <w:bCs/>
                            <w:i/>
                            <w:lang w:val="en-US"/>
                          </w:rPr>
                        </m:ctrlPr>
                      </m:num>
                      <m:den>
                        <m:r>
                          <m:rPr/>
                          <w:rPr>
                            <w:rFonts w:hint="default" w:ascii="DejaVu Math TeX Gyre" w:hAnsi="DejaVu Math TeX Gyre" w:cs="DejaVu Math TeX Gyre"/>
                            <w:lang w:val="en-US"/>
                          </w:rPr>
                          <m:t>3</m:t>
                        </m:r>
                        <m:ctrlPr>
                          <w:rPr>
                            <w:rFonts w:hint="default" w:ascii="DejaVu Math TeX Gyre" w:hAnsi="DejaVu Math TeX Gyre" w:cs="DejaVu Math TeX Gyre"/>
                            <w:bCs/>
                            <w:i/>
                            <w:lang w:val="en-US"/>
                          </w:rPr>
                        </m:ctrlPr>
                      </m:den>
                    </m:f>
                    <m:ctrlPr>
                      <w:rPr>
                        <w:rFonts w:hint="default" w:ascii="DejaVu Math TeX Gyre" w:hAnsi="DejaVu Math TeX Gyre" w:cs="DejaVu Math TeX Gyre"/>
                        <w:bCs/>
                        <w:i/>
                        <w:lang w:val="en-US"/>
                      </w:rPr>
                    </m:ctrlPr>
                  </m:sup>
                </m:sSup>
                <m:sSup>
                  <m:sSupPr>
                    <m:ctrlPr>
                      <w:rPr>
                        <w:rFonts w:hint="default" w:ascii="DejaVu Math TeX Gyre" w:hAnsi="DejaVu Math TeX Gyre" w:cs="DejaVu Math TeX Gyre"/>
                        <w:bCs/>
                        <w:i/>
                        <w:lang w:val="en-US"/>
                      </w:rPr>
                    </m:ctrlPr>
                  </m:sSupPr>
                  <m:e>
                    <m:r>
                      <m:rPr/>
                      <w:rPr>
                        <w:rFonts w:hint="default" w:ascii="DejaVu Math TeX Gyre" w:hAnsi="DejaVu Math TeX Gyre" w:cs="DejaVu Math TeX Gyre"/>
                        <w:lang w:val="en-US"/>
                      </w:rPr>
                      <m:t>S</m:t>
                    </m:r>
                    <m:ctrlPr>
                      <w:rPr>
                        <w:rFonts w:hint="default" w:ascii="DejaVu Math TeX Gyre" w:hAnsi="DejaVu Math TeX Gyre" w:cs="DejaVu Math TeX Gyre"/>
                        <w:bCs/>
                        <w:i/>
                        <w:lang w:val="en-US"/>
                      </w:rPr>
                    </m:ctrlPr>
                  </m:e>
                  <m:sup>
                    <m:f>
                      <m:fPr>
                        <m:ctrlPr>
                          <w:rPr>
                            <w:rFonts w:hint="default" w:ascii="DejaVu Math TeX Gyre" w:hAnsi="DejaVu Math TeX Gyre" w:cs="DejaVu Math TeX Gyre"/>
                            <w:bCs/>
                            <w:i/>
                            <w:lang w:val="en-US"/>
                          </w:rPr>
                        </m:ctrlPr>
                      </m:fPr>
                      <m:num>
                        <m:r>
                          <m:rPr/>
                          <w:rPr>
                            <w:rFonts w:hint="default" w:ascii="DejaVu Math TeX Gyre" w:hAnsi="DejaVu Math TeX Gyre" w:cs="DejaVu Math TeX Gyre"/>
                            <w:lang w:val="en-US"/>
                          </w:rPr>
                          <m:t>1</m:t>
                        </m:r>
                        <m:ctrlPr>
                          <w:rPr>
                            <w:rFonts w:hint="default" w:ascii="DejaVu Math TeX Gyre" w:hAnsi="DejaVu Math TeX Gyre" w:cs="DejaVu Math TeX Gyre"/>
                            <w:bCs/>
                            <w:i/>
                            <w:lang w:val="en-US"/>
                          </w:rPr>
                        </m:ctrlPr>
                      </m:num>
                      <m:den>
                        <m:r>
                          <m:rPr/>
                          <w:rPr>
                            <w:rFonts w:hint="default" w:ascii="DejaVu Math TeX Gyre" w:hAnsi="DejaVu Math TeX Gyre" w:cs="DejaVu Math TeX Gyre"/>
                            <w:lang w:val="en-US"/>
                          </w:rPr>
                          <m:t>2</m:t>
                        </m:r>
                        <m:ctrlPr>
                          <w:rPr>
                            <w:rFonts w:hint="default" w:ascii="DejaVu Math TeX Gyre" w:hAnsi="DejaVu Math TeX Gyre" w:cs="DejaVu Math TeX Gyre"/>
                            <w:bCs/>
                            <w:i/>
                            <w:lang w:val="en-US"/>
                          </w:rPr>
                        </m:ctrlPr>
                      </m:den>
                    </m:f>
                    <m:ctrlPr>
                      <w:rPr>
                        <w:rFonts w:hint="default" w:ascii="DejaVu Math TeX Gyre" w:hAnsi="DejaVu Math TeX Gyre" w:cs="DejaVu Math TeX Gyre"/>
                        <w:bCs/>
                        <w:i/>
                        <w:lang w:val="en-US"/>
                      </w:rPr>
                    </m:ctrlPr>
                  </m:sup>
                </m:sSup>
              </m:oMath>
            </m:oMathPara>
          </w:p>
          <w:p w14:paraId="58DED2C5">
            <w:pPr>
              <w:widowControl w:val="0"/>
              <w:numPr>
                <w:ilvl w:val="0"/>
                <w:numId w:val="0"/>
              </w:numPr>
              <w:ind w:firstLine="420" w:firstLineChars="200"/>
              <w:jc w:val="both"/>
              <w:rPr>
                <w:rFonts w:hint="default"/>
                <w:lang w:val="en-US" w:eastAsia="zh-CN"/>
              </w:rPr>
            </w:pPr>
            <w:r>
              <w:rPr>
                <w:rFonts w:hint="eastAsia"/>
                <w:b w:val="0"/>
                <w:bCs w:val="0"/>
                <w:lang w:val="en-US" w:eastAsia="zh-CN"/>
              </w:rPr>
              <w:t>式中：</w:t>
            </w:r>
            <m:oMath>
              <m:sSub>
                <m:sSubPr>
                  <m:ctrlPr>
                    <w:rPr>
                      <w:rFonts w:ascii="DejaVu Math TeX Gyre" w:hAnsi="DejaVu Math TeX Gyre"/>
                      <w:bCs/>
                      <w:i/>
                    </w:rPr>
                  </m:ctrlPr>
                </m:sSubPr>
                <m:e>
                  <m:r>
                    <m:rPr/>
                    <w:rPr>
                      <w:rFonts w:hint="eastAsia" w:ascii="DejaVu Math TeX Gyre" w:hAnsi="DejaVu Math TeX Gyre"/>
                      <w:lang w:val="en-US" w:eastAsia="zh-CN"/>
                    </w:rPr>
                    <m:t>Q</m:t>
                  </m:r>
                  <m:ctrlPr>
                    <w:rPr>
                      <w:rFonts w:ascii="DejaVu Math TeX Gyre" w:hAnsi="DejaVu Math TeX Gyre"/>
                      <w:bCs/>
                      <w:i/>
                    </w:rPr>
                  </m:ctrlPr>
                </m:e>
                <m:sub>
                  <m:r>
                    <m:rPr/>
                    <w:rPr>
                      <w:rFonts w:hint="default" w:ascii="DejaVu Math TeX Gyre" w:hAnsi="DejaVu Math TeX Gyre"/>
                      <w:lang w:val="en-US"/>
                    </w:rPr>
                    <m:t>max</m:t>
                  </m:r>
                  <m:ctrlPr>
                    <w:rPr>
                      <w:rFonts w:ascii="DejaVu Math TeX Gyre" w:hAnsi="DejaVu Math TeX Gyre"/>
                      <w:bCs/>
                      <w:i/>
                    </w:rPr>
                  </m:ctrlPr>
                </m:sub>
              </m:sSub>
            </m:oMath>
            <w:r>
              <w:rPr>
                <w:rFonts w:hint="eastAsia" w:hAnsi="DejaVu Math TeX Gyre"/>
                <w:bCs/>
                <w:i w:val="0"/>
              </w:rPr>
              <w:t>为管道极限过流流量；</w:t>
            </w:r>
            <m:oMath>
              <m:r>
                <m:rPr/>
                <w:rPr>
                  <w:rFonts w:hint="default" w:ascii="DejaVu Math TeX Gyre" w:hAnsi="DejaVu Math TeX Gyre" w:cs="DejaVu Math TeX Gyre"/>
                  <w:lang w:val="en-US"/>
                </w:rPr>
                <m:t>n</m:t>
              </m:r>
            </m:oMath>
            <w:r>
              <w:rPr>
                <w:rFonts w:hint="eastAsia" w:hAnsi="DejaVu Math TeX Gyre" w:cs="DejaVu Math TeX Gyre"/>
                <w:i w:val="0"/>
                <w:lang w:val="en-US" w:eastAsia="zh-CN"/>
              </w:rPr>
              <w:t>为管壁糙率；</w:t>
            </w:r>
            <m:oMath>
              <m:r>
                <m:rPr/>
                <w:rPr>
                  <w:rFonts w:hint="default" w:ascii="DejaVu Math TeX Gyre" w:hAnsi="DejaVu Math TeX Gyre" w:cs="DejaVu Math TeX Gyre"/>
                  <w:lang w:val="en-US"/>
                </w:rPr>
                <m:t>A</m:t>
              </m:r>
            </m:oMath>
            <w:r>
              <w:rPr>
                <w:rFonts w:hint="eastAsia" w:hAnsi="DejaVu Math TeX Gyre" w:cs="DejaVu Math TeX Gyre"/>
                <w:i w:val="0"/>
                <w:lang w:val="en-US" w:eastAsia="zh-CN"/>
              </w:rPr>
              <w:t>为过水断面；</w:t>
            </w:r>
            <m:oMath>
              <m:r>
                <m:rPr/>
                <w:rPr>
                  <w:rFonts w:hint="default" w:ascii="DejaVu Math TeX Gyre" w:hAnsi="DejaVu Math TeX Gyre" w:cs="DejaVu Math TeX Gyre"/>
                  <w:lang w:val="en-US"/>
                </w:rPr>
                <m:t>R</m:t>
              </m:r>
            </m:oMath>
            <w:r>
              <w:rPr>
                <w:rFonts w:hint="eastAsia" w:hAnsi="DejaVu Math TeX Gyre" w:cs="DejaVu Math TeX Gyre"/>
                <w:i w:val="0"/>
                <w:lang w:val="en-US" w:eastAsia="zh-CN"/>
              </w:rPr>
              <w:t>为水力半径；</w:t>
            </w:r>
            <m:oMath>
              <m:r>
                <m:rPr/>
                <w:rPr>
                  <w:rFonts w:hint="default" w:ascii="DejaVu Math TeX Gyre" w:hAnsi="DejaVu Math TeX Gyre" w:cs="DejaVu Math TeX Gyre"/>
                  <w:lang w:val="en-US"/>
                </w:rPr>
                <m:t>S</m:t>
              </m:r>
            </m:oMath>
            <w:r>
              <w:rPr>
                <w:rFonts w:hint="eastAsia" w:hAnsi="DejaVu Math TeX Gyre" w:cs="DejaVu Math TeX Gyre"/>
                <w:i w:val="0"/>
                <w:lang w:val="en-US" w:eastAsia="zh-CN"/>
              </w:rPr>
              <w:t>为水力坡度。</w:t>
            </w:r>
          </w:p>
          <w:p w14:paraId="6F5E4AB2">
            <w:pPr>
              <w:numPr>
                <w:ilvl w:val="0"/>
                <w:numId w:val="0"/>
              </w:numPr>
              <w:jc w:val="both"/>
              <w:rPr>
                <w:rFonts w:hint="default"/>
                <w:lang w:val="en-US" w:eastAsia="zh-CN"/>
              </w:rPr>
            </w:pPr>
            <w:r>
              <w:rPr>
                <w:rFonts w:hint="eastAsia"/>
                <w:lang w:val="en-US" w:eastAsia="zh-CN"/>
              </w:rPr>
              <w:t>3.4降雨-径流</w:t>
            </w:r>
          </w:p>
          <w:p w14:paraId="3F9DAE37">
            <w:pPr>
              <w:numPr>
                <w:ilvl w:val="0"/>
                <w:numId w:val="0"/>
              </w:numPr>
              <w:ind w:firstLine="420" w:firstLineChars="200"/>
              <w:jc w:val="both"/>
              <w:rPr>
                <w:rFonts w:hint="default"/>
                <w:lang w:val="en-US" w:eastAsia="zh-CN"/>
              </w:rPr>
            </w:pPr>
            <w:r>
              <w:rPr>
                <w:rFonts w:hint="eastAsia"/>
                <w:lang w:val="en-US" w:eastAsia="zh-CN"/>
              </w:rPr>
              <w:t>降雨入流入渗模拟：</w:t>
            </w:r>
            <w:r>
              <w:rPr>
                <w:rFonts w:hint="default"/>
                <w:lang w:val="en-US" w:eastAsia="zh-CN"/>
              </w:rPr>
              <w:t>径流系数取0.35，降雨经单位线卷积转化为入流过程，叠加缓释入渗项。降雨径流转化采用SCS单位线法，考虑地表径流的汇流延迟与地下入渗的缓释效应，计算公式为：</w:t>
            </w:r>
          </w:p>
          <w:p w14:paraId="4FD322E8">
            <w:pPr>
              <w:ind w:firstLine="420" w:firstLineChars="200"/>
              <w:jc w:val="left"/>
              <w:rPr>
                <w:rFonts w:hint="default" w:ascii="DejaVu Math TeX Gyre" w:hAnsi="DejaVu Math TeX Gyre" w:cs="DejaVu Math TeX Gyre"/>
                <w:i/>
                <w:lang w:val="en-US"/>
              </w:rPr>
            </w:pPr>
            <m:oMathPara>
              <m:oMath>
                <m:sSub>
                  <m:sSubPr>
                    <m:ctrlPr>
                      <w:rPr>
                        <w:rFonts w:ascii="DejaVu Math TeX Gyre" w:hAnsi="DejaVu Math TeX Gyre"/>
                        <w:i/>
                      </w:rPr>
                    </m:ctrlPr>
                  </m:sSubPr>
                  <m:e>
                    <m:r>
                      <m:rPr/>
                      <w:rPr>
                        <w:rFonts w:hint="eastAsia" w:ascii="DejaVu Math TeX Gyre" w:hAnsi="DejaVu Math TeX Gyre"/>
                        <w:lang w:val="en-US" w:eastAsia="zh-CN"/>
                      </w:rPr>
                      <m:t>Q</m:t>
                    </m:r>
                    <m:ctrlPr>
                      <w:rPr>
                        <w:rFonts w:ascii="DejaVu Math TeX Gyre" w:hAnsi="DejaVu Math TeX Gyre"/>
                        <w:i/>
                      </w:rPr>
                    </m:ctrlPr>
                  </m:e>
                  <m:sub>
                    <m:r>
                      <m:rPr/>
                      <w:rPr>
                        <w:rFonts w:hint="default" w:ascii="DejaVu Math TeX Gyre" w:hAnsi="DejaVu Math TeX Gyre"/>
                        <w:lang w:val="en-US"/>
                      </w:rPr>
                      <m:t>rain</m:t>
                    </m:r>
                    <m:ctrlPr>
                      <w:rPr>
                        <w:rFonts w:ascii="DejaVu Math TeX Gyre" w:hAnsi="DejaVu Math TeX Gyre"/>
                        <w:i/>
                      </w:rPr>
                    </m:ctrlPr>
                  </m:sub>
                </m:sSub>
                <m:d>
                  <m:dPr>
                    <m:ctrlPr>
                      <w:rPr>
                        <w:rFonts w:ascii="DejaVu Math TeX Gyre" w:hAnsi="DejaVu Math TeX Gyre"/>
                        <w:i/>
                      </w:rPr>
                    </m:ctrlPr>
                  </m:dPr>
                  <m:e>
                    <m:r>
                      <m:rPr/>
                      <w:rPr>
                        <w:rFonts w:hint="default" w:ascii="DejaVu Math TeX Gyre" w:hAnsi="DejaVu Math TeX Gyre"/>
                        <w:lang w:val="en-US"/>
                      </w:rPr>
                      <m:t>t</m:t>
                    </m:r>
                    <m:ctrlPr>
                      <w:rPr>
                        <w:rFonts w:ascii="DejaVu Math TeX Gyre" w:hAnsi="DejaVu Math TeX Gyre"/>
                        <w:i/>
                      </w:rPr>
                    </m:ctrlPr>
                  </m:e>
                </m:d>
                <m:r>
                  <m:rPr/>
                  <w:rPr>
                    <w:rFonts w:hint="default" w:ascii="DejaVu Math TeX Gyre" w:hAnsi="DejaVu Math TeX Gyre" w:cs="DejaVu Math TeX Gyre"/>
                  </w:rPr>
                  <m:t>=</m:t>
                </m:r>
                <m:nary>
                  <m:naryPr>
                    <m:limLoc m:val="subSup"/>
                    <m:ctrlPr>
                      <w:rPr>
                        <w:rFonts w:hint="default" w:ascii="DejaVu Math TeX Gyre" w:hAnsi="DejaVu Math TeX Gyre" w:cs="DejaVu Math TeX Gyre"/>
                        <w:i/>
                      </w:rPr>
                    </m:ctrlPr>
                  </m:naryPr>
                  <m:sub>
                    <m:r>
                      <m:rPr/>
                      <w:rPr>
                        <w:rFonts w:hint="default" w:ascii="DejaVu Math TeX Gyre" w:hAnsi="DejaVu Math TeX Gyre" w:cs="DejaVu Math TeX Gyre"/>
                        <w:lang w:val="en-US"/>
                      </w:rPr>
                      <m:t>0</m:t>
                    </m:r>
                    <m:ctrlPr>
                      <w:rPr>
                        <w:rFonts w:hint="default" w:ascii="DejaVu Math TeX Gyre" w:hAnsi="DejaVu Math TeX Gyre" w:cs="DejaVu Math TeX Gyre"/>
                        <w:i/>
                      </w:rPr>
                    </m:ctrlPr>
                  </m:sub>
                  <m:sup>
                    <m:r>
                      <m:rPr/>
                      <w:rPr>
                        <w:rFonts w:hint="default" w:ascii="DejaVu Math TeX Gyre" w:hAnsi="DejaVu Math TeX Gyre" w:cs="DejaVu Math TeX Gyre"/>
                        <w:lang w:val="en-US"/>
                      </w:rPr>
                      <m:t>t</m:t>
                    </m:r>
                    <m:ctrlPr>
                      <w:rPr>
                        <w:rFonts w:hint="default" w:ascii="DejaVu Math TeX Gyre" w:hAnsi="DejaVu Math TeX Gyre" w:cs="DejaVu Math TeX Gyre"/>
                        <w:i/>
                      </w:rPr>
                    </m:ctrlPr>
                  </m:sup>
                  <m:e>
                    <m:r>
                      <m:rPr/>
                      <w:rPr>
                        <w:rFonts w:hint="default" w:ascii="DejaVu Math TeX Gyre" w:hAnsi="DejaVu Math TeX Gyre" w:cs="DejaVu Math TeX Gyre"/>
                        <w:lang w:val="en-US"/>
                      </w:rPr>
                      <m:t>I</m:t>
                    </m:r>
                    <m:d>
                      <m:dPr>
                        <m:ctrlPr>
                          <w:rPr>
                            <w:rFonts w:hint="default" w:ascii="DejaVu Math TeX Gyre" w:hAnsi="DejaVu Math TeX Gyre" w:cs="DejaVu Math TeX Gyre"/>
                            <w:i/>
                            <w:lang w:val="en-US"/>
                          </w:rPr>
                        </m:ctrlPr>
                      </m:dPr>
                      <m:e>
                        <m:r>
                          <m:rPr/>
                          <w:rPr>
                            <w:rFonts w:ascii="DejaVu Math TeX Gyre" w:hAnsi="DejaVu Math TeX Gyre" w:cs="DejaVu Math TeX Gyre"/>
                            <w:lang w:val="en-US"/>
                          </w:rPr>
                          <m:t>τ</m:t>
                        </m:r>
                        <m:ctrlPr>
                          <w:rPr>
                            <w:rFonts w:hint="default" w:ascii="DejaVu Math TeX Gyre" w:hAnsi="DejaVu Math TeX Gyre" w:cs="DejaVu Math TeX Gyre"/>
                            <w:i/>
                            <w:lang w:val="en-US"/>
                          </w:rPr>
                        </m:ctrlPr>
                      </m:e>
                    </m:d>
                    <m:ctrlPr>
                      <w:rPr>
                        <w:rFonts w:hint="default" w:ascii="DejaVu Math TeX Gyre" w:hAnsi="DejaVu Math TeX Gyre" w:cs="DejaVu Math TeX Gyre"/>
                        <w:i/>
                      </w:rPr>
                    </m:ctrlPr>
                  </m:e>
                </m:nary>
                <m:r>
                  <m:rPr/>
                  <w:rPr>
                    <w:rFonts w:hint="default" w:ascii="DejaVu Math TeX Gyre" w:hAnsi="DejaVu Math TeX Gyre" w:cs="DejaVu Math TeX Gyre"/>
                  </w:rPr>
                  <m:t>∙</m:t>
                </m:r>
                <m:r>
                  <m:rPr/>
                  <w:rPr>
                    <w:rFonts w:hint="default" w:ascii="DejaVu Math TeX Gyre" w:hAnsi="DejaVu Math TeX Gyre" w:cs="DejaVu Math TeX Gyre"/>
                    <w:lang w:val="en-US"/>
                  </w:rPr>
                  <m:t>U</m:t>
                </m:r>
                <m:d>
                  <m:dPr>
                    <m:ctrlPr>
                      <w:rPr>
                        <w:rFonts w:hint="default" w:ascii="DejaVu Math TeX Gyre" w:hAnsi="DejaVu Math TeX Gyre" w:cs="DejaVu Math TeX Gyre"/>
                        <w:i/>
                        <w:lang w:val="en-US"/>
                      </w:rPr>
                    </m:ctrlPr>
                  </m:dPr>
                  <m:e>
                    <m:r>
                      <m:rPr/>
                      <w:rPr>
                        <w:rFonts w:hint="default" w:ascii="DejaVu Math TeX Gyre" w:hAnsi="DejaVu Math TeX Gyre" w:cs="DejaVu Math TeX Gyre"/>
                        <w:lang w:val="en-US"/>
                      </w:rPr>
                      <m:t>t</m:t>
                    </m:r>
                    <m:r>
                      <m:rPr/>
                      <w:rPr>
                        <w:rFonts w:ascii="DejaVu Math TeX Gyre" w:hAnsi="DejaVu Math TeX Gyre" w:cs="DejaVu Math TeX Gyre"/>
                        <w:lang w:val="en-US"/>
                      </w:rPr>
                      <m:t>−τ</m:t>
                    </m:r>
                    <m:ctrlPr>
                      <w:rPr>
                        <w:rFonts w:hint="default" w:ascii="DejaVu Math TeX Gyre" w:hAnsi="DejaVu Math TeX Gyre" w:cs="DejaVu Math TeX Gyre"/>
                        <w:i/>
                        <w:lang w:val="en-US"/>
                      </w:rPr>
                    </m:ctrlPr>
                  </m:e>
                </m:d>
                <m:r>
                  <m:rPr/>
                  <w:rPr>
                    <w:rFonts w:hint="default" w:ascii="DejaVu Math TeX Gyre" w:hAnsi="DejaVu Math TeX Gyre" w:cs="DejaVu Math TeX Gyre"/>
                    <w:lang w:val="en-US"/>
                  </w:rPr>
                  <m:t>dτ</m:t>
                </m:r>
              </m:oMath>
            </m:oMathPara>
          </w:p>
          <w:p w14:paraId="441D78CF">
            <w:pPr>
              <w:numPr>
                <w:ilvl w:val="0"/>
                <w:numId w:val="0"/>
              </w:numPr>
              <w:jc w:val="both"/>
              <w:rPr>
                <w:rFonts w:hint="default"/>
                <w:lang w:val="en-US" w:eastAsia="zh-CN"/>
              </w:rPr>
            </w:pPr>
            <w:r>
              <w:rPr>
                <w:rFonts w:hint="eastAsia"/>
                <w:lang w:val="en-US" w:eastAsia="zh-CN"/>
              </w:rPr>
              <w:t>式中：</w:t>
            </w:r>
            <m:oMath>
              <m:r>
                <m:rPr/>
                <w:rPr>
                  <w:rFonts w:hint="default" w:ascii="DejaVu Math TeX Gyre" w:hAnsi="DejaVu Math TeX Gyre" w:cs="DejaVu Math TeX Gyre"/>
                  <w:lang w:val="en-US"/>
                </w:rPr>
                <m:t>I</m:t>
              </m:r>
              <m:d>
                <m:dPr>
                  <m:ctrlPr>
                    <w:rPr>
                      <w:rFonts w:hint="default" w:ascii="DejaVu Math TeX Gyre" w:hAnsi="DejaVu Math TeX Gyre" w:cs="DejaVu Math TeX Gyre"/>
                      <w:i/>
                      <w:lang w:val="en-US"/>
                    </w:rPr>
                  </m:ctrlPr>
                </m:dPr>
                <m:e>
                  <m:r>
                    <m:rPr/>
                    <w:rPr>
                      <w:rFonts w:ascii="DejaVu Math TeX Gyre" w:hAnsi="DejaVu Math TeX Gyre" w:cs="DejaVu Math TeX Gyre"/>
                      <w:lang w:val="en-US"/>
                    </w:rPr>
                    <m:t>τ</m:t>
                  </m:r>
                  <m:ctrlPr>
                    <w:rPr>
                      <w:rFonts w:hint="default" w:ascii="DejaVu Math TeX Gyre" w:hAnsi="DejaVu Math TeX Gyre" w:cs="DejaVu Math TeX Gyre"/>
                      <w:i/>
                      <w:lang w:val="en-US"/>
                    </w:rPr>
                  </m:ctrlPr>
                </m:e>
              </m:d>
            </m:oMath>
            <w:r>
              <w:rPr>
                <w:rFonts w:hint="eastAsia" w:hAnsi="DejaVu Math TeX Gyre" w:cs="DejaVu Math TeX Gyre"/>
                <w:i w:val="0"/>
                <w:lang w:val="en-US" w:eastAsia="zh-CN"/>
              </w:rPr>
              <w:t>为</w:t>
            </w:r>
            <m:oMath>
              <m:r>
                <m:rPr/>
                <w:rPr>
                  <w:rFonts w:ascii="DejaVu Math TeX Gyre" w:hAnsi="DejaVu Math TeX Gyre" w:cs="DejaVu Math TeX Gyre"/>
                  <w:lang w:val="en-US"/>
                </w:rPr>
                <m:t>τ</m:t>
              </m:r>
            </m:oMath>
            <w:r>
              <w:rPr>
                <w:rFonts w:hint="eastAsia" w:hAnsi="DejaVu Math TeX Gyre" w:cs="DejaVu Math TeX Gyre"/>
                <w:i w:val="0"/>
                <w:lang w:val="en-US" w:eastAsia="zh-CN"/>
              </w:rPr>
              <w:t>时刻降雨强度；</w:t>
            </w:r>
            <m:oMath>
              <m:r>
                <m:rPr/>
                <w:rPr>
                  <w:rFonts w:hint="default" w:ascii="DejaVu Math TeX Gyre" w:hAnsi="DejaVu Math TeX Gyre" w:cs="DejaVu Math TeX Gyre"/>
                  <w:lang w:val="en-US"/>
                </w:rPr>
                <m:t>U</m:t>
              </m:r>
              <m:d>
                <m:dPr>
                  <m:ctrlPr>
                    <w:rPr>
                      <w:rFonts w:hint="default" w:ascii="DejaVu Math TeX Gyre" w:hAnsi="DejaVu Math TeX Gyre" w:cs="DejaVu Math TeX Gyre"/>
                      <w:i/>
                      <w:lang w:val="en-US"/>
                    </w:rPr>
                  </m:ctrlPr>
                </m:dPr>
                <m:e>
                  <m:r>
                    <m:rPr/>
                    <w:rPr>
                      <w:rFonts w:hint="default" w:ascii="DejaVu Math TeX Gyre" w:hAnsi="DejaVu Math TeX Gyre" w:cs="DejaVu Math TeX Gyre"/>
                      <w:lang w:val="en-US"/>
                    </w:rPr>
                    <m:t>t</m:t>
                  </m:r>
                  <m:r>
                    <m:rPr/>
                    <w:rPr>
                      <w:rFonts w:ascii="DejaVu Math TeX Gyre" w:hAnsi="DejaVu Math TeX Gyre" w:cs="DejaVu Math TeX Gyre"/>
                      <w:lang w:val="en-US"/>
                    </w:rPr>
                    <m:t>−τ</m:t>
                  </m:r>
                  <m:ctrlPr>
                    <w:rPr>
                      <w:rFonts w:hint="default" w:ascii="DejaVu Math TeX Gyre" w:hAnsi="DejaVu Math TeX Gyre" w:cs="DejaVu Math TeX Gyre"/>
                      <w:i/>
                      <w:lang w:val="en-US"/>
                    </w:rPr>
                  </m:ctrlPr>
                </m:e>
              </m:d>
            </m:oMath>
            <w:r>
              <w:rPr>
                <w:rFonts w:hint="default" w:hAnsi="DejaVu Math TeX Gyre" w:cs="DejaVu Math TeX Gyre"/>
                <w:i w:val="0"/>
                <w:lang w:val="en-US"/>
              </w:rPr>
              <w:t>为汇流单位线，表征雨水传输时间延迟。</w:t>
            </w:r>
          </w:p>
          <w:p w14:paraId="50EC8A8F">
            <w:pPr>
              <w:numPr>
                <w:ilvl w:val="0"/>
                <w:numId w:val="0"/>
              </w:numPr>
              <w:jc w:val="both"/>
              <w:rPr>
                <w:rFonts w:hint="eastAsia"/>
                <w:lang w:val="en-US" w:eastAsia="zh-CN"/>
              </w:rPr>
            </w:pPr>
            <w:r>
              <w:rPr>
                <w:rFonts w:hint="eastAsia"/>
                <w:lang w:val="en-US" w:eastAsia="zh-CN"/>
              </w:rPr>
              <w:t>3.5输送延迟</w:t>
            </w:r>
          </w:p>
          <w:p w14:paraId="5EBA95D0">
            <w:pPr>
              <w:numPr>
                <w:ilvl w:val="0"/>
                <w:numId w:val="0"/>
              </w:numPr>
              <w:jc w:val="both"/>
              <w:rPr>
                <w:rFonts w:hint="default"/>
                <w:lang w:val="en-US" w:eastAsia="zh-CN"/>
              </w:rPr>
            </w:pPr>
            <m:oMathPara>
              <m:oMath>
                <m:r>
                  <m:rPr/>
                  <w:rPr>
                    <w:rFonts w:hint="eastAsia" w:ascii="DejaVu Math TeX Gyre" w:hAnsi="DejaVu Math TeX Gyre" w:cs="Times New Roman"/>
                    <w:kern w:val="2"/>
                    <w:sz w:val="21"/>
                    <w:szCs w:val="24"/>
                    <w:lang w:val="en-US" w:eastAsia="zh-CN" w:bidi="ar-SA"/>
                  </w:rPr>
                  <m:t>延迟步数</m:t>
                </m:r>
                <m:r>
                  <m:rPr/>
                  <w:rPr>
                    <w:rFonts w:hint="default" w:ascii="DejaVu Math TeX Gyre" w:hAnsi="DejaVu Math TeX Gyre" w:cs="DejaVu Math TeX Gyre"/>
                    <w:kern w:val="2"/>
                    <w:sz w:val="21"/>
                    <w:szCs w:val="24"/>
                    <w:lang w:val="en-US" w:eastAsia="zh-CN" w:bidi="ar-SA"/>
                  </w:rPr>
                  <m:t>=</m:t>
                </m:r>
                <m:r>
                  <m:rPr/>
                  <w:rPr>
                    <w:rFonts w:hint="eastAsia" w:ascii="DejaVu Math TeX Gyre" w:hAnsi="DejaVu Math TeX Gyre" w:cs="Times New Roman"/>
                    <w:kern w:val="2"/>
                    <w:sz w:val="21"/>
                    <w:szCs w:val="24"/>
                    <w:lang w:val="en-US" w:eastAsia="zh-CN" w:bidi="ar-SA"/>
                  </w:rPr>
                  <m:t>距厂距离</m:t>
                </m:r>
                <m:r>
                  <m:rPr/>
                  <w:rPr>
                    <w:rFonts w:hint="default" w:ascii="DejaVu Math TeX Gyre" w:hAnsi="DejaVu Math TeX Gyre" w:cs="Times New Roman"/>
                    <w:kern w:val="2"/>
                    <w:sz w:val="21"/>
                    <w:szCs w:val="24"/>
                    <w:lang w:val="en-US" w:eastAsia="zh-CN" w:bidi="ar-SA"/>
                  </w:rPr>
                  <m:t>（</m:t>
                </m:r>
                <m:r>
                  <m:rPr/>
                  <w:rPr>
                    <w:rFonts w:hint="eastAsia" w:ascii="DejaVu Math TeX Gyre" w:hAnsi="DejaVu Math TeX Gyre" w:cs="Times New Roman"/>
                    <w:kern w:val="2"/>
                    <w:sz w:val="21"/>
                    <w:szCs w:val="24"/>
                    <w:lang w:val="en-US" w:eastAsia="zh-CN" w:bidi="ar-SA"/>
                  </w:rPr>
                  <m:t>km</m:t>
                </m:r>
                <m:r>
                  <m:rPr/>
                  <w:rPr>
                    <w:rFonts w:hint="default" w:ascii="DejaVu Math TeX Gyre" w:hAnsi="DejaVu Math TeX Gyre" w:cs="Times New Roman"/>
                    <w:kern w:val="2"/>
                    <w:sz w:val="21"/>
                    <w:szCs w:val="24"/>
                    <w:lang w:val="en-US" w:eastAsia="zh-CN" w:bidi="ar-SA"/>
                  </w:rPr>
                  <m:t>）</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1000/0.8/60/5</m:t>
                </m:r>
              </m:oMath>
            </m:oMathPara>
          </w:p>
          <w:p w14:paraId="57059F1B">
            <w:pPr>
              <w:numPr>
                <w:ilvl w:val="0"/>
                <w:numId w:val="0"/>
              </w:numPr>
              <w:jc w:val="both"/>
              <w:rPr>
                <w:rFonts w:hint="eastAsia"/>
                <w:lang w:val="en-US" w:eastAsia="zh-CN"/>
              </w:rPr>
            </w:pPr>
            <w:r>
              <w:rPr>
                <w:rFonts w:hint="eastAsia"/>
                <w:lang w:val="en-US" w:eastAsia="zh-CN"/>
              </w:rPr>
              <w:t>3.6水质指标</w:t>
            </w:r>
          </w:p>
          <w:p w14:paraId="16CEE760">
            <w:pPr>
              <w:numPr>
                <w:ilvl w:val="0"/>
                <w:numId w:val="0"/>
              </w:numPr>
              <w:jc w:val="both"/>
              <w:rPr>
                <w:rFonts w:hint="eastAsia"/>
                <w:lang w:val="en-US" w:eastAsia="zh-CN"/>
              </w:rPr>
            </w:pPr>
            <w:r>
              <w:rPr>
                <w:rFonts w:hint="eastAsia"/>
                <w:lang w:val="en-US" w:eastAsia="zh-CN"/>
              </w:rPr>
              <w:t>COD/氨氮/TN/TP/SS/pH按以下公式生成：</w:t>
            </w:r>
          </w:p>
          <w:p w14:paraId="4DC53AD4">
            <w:pPr>
              <w:numPr>
                <w:ilvl w:val="0"/>
                <w:numId w:val="0"/>
              </w:numPr>
              <w:jc w:val="both"/>
              <w:rPr>
                <w:rFonts w:hint="eastAsia" w:hAnsi="DejaVu Math TeX Gyre" w:cs="Times New Roman"/>
                <w:i w:val="0"/>
                <w:kern w:val="2"/>
                <w:sz w:val="21"/>
                <w:szCs w:val="24"/>
                <w:lang w:val="en-US" w:eastAsia="zh-CN" w:bidi="ar-SA"/>
              </w:rPr>
            </w:pPr>
            <m:oMathPara>
              <m:oMath>
                <m:r>
                  <m:rPr/>
                  <w:rPr>
                    <w:rFonts w:hint="eastAsia" w:ascii="DejaVu Math TeX Gyre" w:hAnsi="DejaVu Math TeX Gyre" w:cs="Times New Roman"/>
                    <w:kern w:val="2"/>
                    <w:sz w:val="21"/>
                    <w:szCs w:val="24"/>
                    <w:lang w:val="en-US" w:eastAsia="zh-CN" w:bidi="ar-SA"/>
                  </w:rPr>
                  <m:t>旱天浓度日变化</m:t>
                </m:r>
                <m:r>
                  <m:rPr/>
                  <w:rPr>
                    <w:rFonts w:hint="default" w:ascii="DejaVu Math TeX Gyre" w:hAnsi="DejaVu Math TeX Gyre" w:cs="DejaVu Math TeX Gyre"/>
                    <w:kern w:val="2"/>
                    <w:sz w:val="21"/>
                    <w:szCs w:val="24"/>
                    <w:lang w:val="en-US" w:eastAsia="zh-CN" w:bidi="ar-SA"/>
                  </w:rPr>
                  <m:t>×</m:t>
                </m:r>
                <m:r>
                  <m:rPr/>
                  <w:rPr>
                    <w:rFonts w:hint="eastAsia" w:ascii="DejaVu Math TeX Gyre" w:hAnsi="DejaVu Math TeX Gyre" w:cs="Times New Roman"/>
                    <w:kern w:val="2"/>
                    <w:sz w:val="21"/>
                    <w:szCs w:val="24"/>
                    <w:lang w:val="en-US" w:eastAsia="zh-CN" w:bidi="ar-SA"/>
                  </w:rPr>
                  <m:t>雨天稀释</m:t>
                </m:r>
                <m:r>
                  <m:rPr/>
                  <w:rPr>
                    <w:rFonts w:hint="default" w:ascii="DejaVu Math TeX Gyre" w:hAnsi="DejaVu Math TeX Gyre" w:cs="DejaVu Math TeX Gyre"/>
                    <w:kern w:val="2"/>
                    <w:sz w:val="21"/>
                    <w:szCs w:val="24"/>
                    <w:lang w:val="en-US" w:eastAsia="zh-CN" w:bidi="ar-SA"/>
                  </w:rPr>
                  <m:t>×</m:t>
                </m:r>
                <m:r>
                  <m:rPr/>
                  <w:rPr>
                    <w:rFonts w:hint="eastAsia" w:ascii="DejaVu Math TeX Gyre" w:hAnsi="DejaVu Math TeX Gyre" w:cs="Times New Roman"/>
                    <w:kern w:val="2"/>
                    <w:sz w:val="21"/>
                    <w:szCs w:val="24"/>
                    <w:lang w:val="en-US" w:eastAsia="zh-CN" w:bidi="ar-SA"/>
                  </w:rPr>
                  <m:t>初期冲刷脉冲</m:t>
                </m:r>
              </m:oMath>
            </m:oMathPara>
          </w:p>
          <w:p w14:paraId="2EB8E109">
            <w:pPr>
              <w:numPr>
                <w:ilvl w:val="0"/>
                <w:numId w:val="0"/>
              </w:numPr>
              <w:ind w:firstLine="420" w:firstLineChars="200"/>
              <w:jc w:val="both"/>
              <w:rPr>
                <w:rFonts w:hint="default" w:hAnsi="DejaVu Math TeX Gyre" w:cs="Times New Roman"/>
                <w:i w:val="0"/>
                <w:kern w:val="2"/>
                <w:sz w:val="21"/>
                <w:szCs w:val="24"/>
                <w:lang w:val="en-US" w:eastAsia="zh-CN" w:bidi="ar-SA"/>
              </w:rPr>
            </w:pPr>
            <w:r>
              <w:rPr>
                <w:rFonts w:hint="eastAsia" w:hAnsi="DejaVu Math TeX Gyre" w:cs="Times New Roman"/>
                <w:i w:val="0"/>
                <w:kern w:val="2"/>
                <w:sz w:val="21"/>
                <w:szCs w:val="24"/>
                <w:lang w:val="en-US" w:eastAsia="zh-CN" w:bidi="ar-SA"/>
              </w:rPr>
              <w:t>参考取值：COD 320 mg/L、氨氮28 mg/L、TN 42 mg/L、TP 4.5 mg/L、SS 180 mg/L、pH 7.3，取自典型城市污水厂进水浓度范围（与BSM2基准同量级）。日内波动与流量同相（0.9+0.2×diurnal），雨天按流量比稀释（dilution = base_q × diurnal / max(q_in, 1)），降雨起涨段叠加初期冲刷脉冲（first_flush = 1 + 1.5 × clip(gradient(rain), 0, None) / 10），SS噪声水平0.10，其他指标噪声0.06。</w:t>
            </w:r>
          </w:p>
          <w:p w14:paraId="406FB724">
            <w:pPr>
              <w:numPr>
                <w:ilvl w:val="0"/>
                <w:numId w:val="0"/>
              </w:numPr>
              <w:jc w:val="both"/>
              <w:rPr>
                <w:rFonts w:hint="eastAsia"/>
                <w:lang w:val="en-US" w:eastAsia="zh-CN"/>
              </w:rPr>
            </w:pPr>
            <w:r>
              <w:rPr>
                <w:rFonts w:hint="eastAsia"/>
                <w:lang w:val="en-US" w:eastAsia="zh-CN"/>
              </w:rPr>
              <w:t>3.7异常冲击事件</w:t>
            </w:r>
          </w:p>
          <w:p w14:paraId="0F09E70A">
            <w:pPr>
              <w:numPr>
                <w:ilvl w:val="0"/>
                <w:numId w:val="0"/>
              </w:numPr>
              <w:ind w:firstLine="420" w:firstLineChars="200"/>
              <w:jc w:val="both"/>
              <w:rPr>
                <w:rFonts w:hint="default"/>
                <w:lang w:val="en-US" w:eastAsia="zh-CN"/>
              </w:rPr>
            </w:pPr>
            <w:r>
              <w:rPr>
                <w:rFonts w:hint="eastAsia"/>
                <w:lang w:val="en-US" w:eastAsia="zh-CN"/>
              </w:rPr>
              <w:t>工业排放类冲击事件按单日5%概率随机生成，参考取值事件历时0.5~3小时，COD突增1.8~4.0倍，伴随pH下移约0.3，同步输出toxicity_flag事件标签用于异常分类预警的训练与评估。</w:t>
            </w:r>
          </w:p>
          <w:p w14:paraId="3D741373">
            <w:pPr>
              <w:numPr>
                <w:ilvl w:val="0"/>
                <w:numId w:val="0"/>
              </w:numPr>
              <w:jc w:val="both"/>
              <w:rPr>
                <w:rFonts w:hint="eastAsia"/>
                <w:lang w:val="en-US" w:eastAsia="zh-CN"/>
              </w:rPr>
            </w:pPr>
            <w:r>
              <w:rPr>
                <w:rFonts w:hint="eastAsia"/>
                <w:lang w:val="en-US" w:eastAsia="zh-CN"/>
              </w:rPr>
              <w:t>3.8泵站运行</w:t>
            </w:r>
          </w:p>
          <w:p w14:paraId="7667A7C5">
            <w:pPr>
              <w:numPr>
                <w:ilvl w:val="0"/>
                <w:numId w:val="0"/>
              </w:numPr>
              <w:ind w:firstLine="420" w:firstLineChars="200"/>
              <w:jc w:val="both"/>
              <w:rPr>
                <w:rFonts w:hint="eastAsia"/>
                <w:lang w:val="en-US" w:eastAsia="zh-CN"/>
              </w:rPr>
            </w:pPr>
            <w:r>
              <w:rPr>
                <w:rFonts w:hint="eastAsia"/>
                <w:lang w:val="en-US" w:eastAsia="zh-CN"/>
              </w:rPr>
              <w:t>前池液位触发式启停逻辑：</w:t>
            </w:r>
          </w:p>
          <w:p w14:paraId="08B7D249">
            <w:pPr>
              <w:numPr>
                <w:ilvl w:val="0"/>
                <w:numId w:val="0"/>
              </w:numPr>
              <w:ind w:firstLine="420" w:firstLineChars="200"/>
              <w:jc w:val="both"/>
              <w:rPr>
                <w:rFonts w:hint="eastAsia" w:hAnsi="DejaVu Math TeX Gyre" w:cs="Times New Roman"/>
                <w:i w:val="0"/>
                <w:kern w:val="2"/>
                <w:sz w:val="21"/>
                <w:szCs w:val="24"/>
                <w:lang w:val="en-US" w:eastAsia="zh-CN" w:bidi="ar-SA"/>
              </w:rPr>
            </w:pPr>
            <m:oMathPara>
              <m:oMath>
                <m:r>
                  <m:rPr/>
                  <w:rPr>
                    <w:rFonts w:hint="eastAsia" w:ascii="DejaVu Math TeX Gyre" w:hAnsi="DejaVu Math TeX Gyre" w:cs="Times New Roman"/>
                    <w:kern w:val="2"/>
                    <w:sz w:val="21"/>
                    <w:szCs w:val="24"/>
                    <w:lang w:val="en-US" w:eastAsia="zh-CN" w:bidi="ar-SA"/>
                  </w:rPr>
                  <m:t>开泵台数</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ceil</m:t>
                </m:r>
                <m:d>
                  <m:dPr>
                    <m:ctrlPr>
                      <w:rPr>
                        <w:rFonts w:hint="default" w:ascii="DejaVu Math TeX Gyre" w:hAnsi="DejaVu Math TeX Gyre" w:cs="Times New Roman"/>
                        <w:i/>
                        <w:kern w:val="2"/>
                        <w:sz w:val="21"/>
                        <w:szCs w:val="24"/>
                        <w:lang w:val="en-US" w:eastAsia="zh-CN" w:bidi="ar-SA"/>
                      </w:rPr>
                    </m:ctrlPr>
                  </m:dPr>
                  <m:e>
                    <m:r>
                      <m:rPr/>
                      <w:rPr>
                        <w:rFonts w:hint="eastAsia" w:ascii="DejaVu Math TeX Gyre" w:hAnsi="DejaVu Math TeX Gyre" w:cs="Times New Roman"/>
                        <w:kern w:val="2"/>
                        <w:sz w:val="21"/>
                        <w:szCs w:val="24"/>
                        <w:lang w:val="en-US" w:eastAsia="zh-CN" w:bidi="ar-SA"/>
                      </w:rPr>
                      <m:t>流量占比</m:t>
                    </m:r>
                    <m:r>
                      <m:rPr/>
                      <w:rPr>
                        <w:rFonts w:ascii="DejaVu Math TeX Gyre" w:hAnsi="DejaVu Math TeX Gyre" w:cs="Times New Roman"/>
                        <w:kern w:val="2"/>
                        <w:sz w:val="21"/>
                        <w:szCs w:val="24"/>
                        <w:lang w:val="en-US" w:bidi="ar-SA"/>
                      </w:rPr>
                      <m:t>×</m:t>
                    </m:r>
                    <m:r>
                      <m:rPr/>
                      <w:rPr>
                        <w:rFonts w:hint="eastAsia" w:ascii="DejaVu Math TeX Gyre" w:hAnsi="DejaVu Math TeX Gyre" w:cs="Times New Roman"/>
                        <w:kern w:val="2"/>
                        <w:sz w:val="21"/>
                        <w:szCs w:val="24"/>
                        <w:lang w:val="en-US" w:eastAsia="zh-CN" w:bidi="ar-SA"/>
                      </w:rPr>
                      <m:t>台数</m:t>
                    </m:r>
                    <m:r>
                      <m:rPr/>
                      <w:rPr>
                        <w:rFonts w:ascii="DejaVu Math TeX Gyre" w:hAnsi="DejaVu Math TeX Gyre" w:cs="Times New Roman"/>
                        <w:kern w:val="2"/>
                        <w:sz w:val="21"/>
                        <w:szCs w:val="24"/>
                        <w:lang w:val="en-US" w:bidi="ar-SA"/>
                      </w:rPr>
                      <m:t>+</m:t>
                    </m:r>
                    <m:r>
                      <m:rPr/>
                      <w:rPr>
                        <w:rFonts w:hint="eastAsia" w:ascii="DejaVu Math TeX Gyre" w:hAnsi="DejaVu Math TeX Gyre" w:cs="Times New Roman"/>
                        <w:kern w:val="2"/>
                        <w:sz w:val="21"/>
                        <w:szCs w:val="24"/>
                        <w:lang w:val="en-US" w:eastAsia="zh-CN" w:bidi="ar-SA"/>
                      </w:rPr>
                      <m:t>噪声</m:t>
                    </m:r>
                    <m:ctrlPr>
                      <w:rPr>
                        <w:rFonts w:hint="default" w:ascii="DejaVu Math TeX Gyre" w:hAnsi="DejaVu Math TeX Gyre" w:cs="Times New Roman"/>
                        <w:i/>
                        <w:kern w:val="2"/>
                        <w:sz w:val="21"/>
                        <w:szCs w:val="24"/>
                        <w:lang w:val="en-US" w:eastAsia="zh-CN" w:bidi="ar-SA"/>
                      </w:rPr>
                    </m:ctrlPr>
                  </m:e>
                </m:d>
                <m:r>
                  <m:rPr/>
                  <w:rPr>
                    <w:rFonts w:hint="default" w:ascii="DejaVu Math TeX Gyre" w:hAnsi="DejaVu Math TeX Gyre" w:cs="Times New Roman"/>
                    <w:kern w:val="2"/>
                    <w:sz w:val="21"/>
                    <w:szCs w:val="24"/>
                    <w:lang w:val="en-US" w:eastAsia="zh-CN" w:bidi="ar-SA"/>
                  </w:rPr>
                  <m:t>，</m:t>
                </m:r>
                <m:r>
                  <m:rPr/>
                  <w:rPr>
                    <w:rFonts w:hint="eastAsia" w:ascii="DejaVu Math TeX Gyre" w:hAnsi="DejaVu Math TeX Gyre" w:cs="Times New Roman"/>
                    <w:kern w:val="2"/>
                    <w:sz w:val="21"/>
                    <w:szCs w:val="24"/>
                    <w:lang w:val="en-US" w:eastAsia="zh-CN" w:bidi="ar-SA"/>
                  </w:rPr>
                  <m:t>限幅</m:t>
                </m:r>
                <m:d>
                  <m:dPr>
                    <m:begChr m:val="["/>
                    <m:endChr m:val="]"/>
                    <m:ctrlPr>
                      <w:rPr>
                        <w:rFonts w:hint="eastAsia" w:ascii="DejaVu Math TeX Gyre" w:hAnsi="DejaVu Math TeX Gyre" w:cs="Times New Roman"/>
                        <w:i/>
                        <w:kern w:val="2"/>
                        <w:sz w:val="21"/>
                        <w:szCs w:val="24"/>
                        <w:lang w:val="en-US" w:eastAsia="zh-CN" w:bidi="ar-SA"/>
                      </w:rPr>
                    </m:ctrlPr>
                  </m:dPr>
                  <m:e>
                    <m:r>
                      <m:rPr/>
                      <w:rPr>
                        <w:rFonts w:hint="default" w:ascii="DejaVu Math TeX Gyre" w:hAnsi="DejaVu Math TeX Gyre" w:cs="Times New Roman"/>
                        <w:kern w:val="2"/>
                        <w:sz w:val="21"/>
                        <w:szCs w:val="24"/>
                        <w:lang w:val="en-US" w:eastAsia="zh-CN" w:bidi="ar-SA"/>
                      </w:rPr>
                      <m:t>0,n_pumps</m:t>
                    </m:r>
                    <m:ctrlPr>
                      <w:rPr>
                        <w:rFonts w:hint="eastAsia" w:ascii="DejaVu Math TeX Gyre" w:hAnsi="DejaVu Math TeX Gyre" w:cs="Times New Roman"/>
                        <w:i/>
                        <w:kern w:val="2"/>
                        <w:sz w:val="21"/>
                        <w:szCs w:val="24"/>
                        <w:lang w:val="en-US" w:eastAsia="zh-CN" w:bidi="ar-SA"/>
                      </w:rPr>
                    </m:ctrlPr>
                  </m:e>
                </m:d>
              </m:oMath>
            </m:oMathPara>
          </w:p>
          <w:p w14:paraId="2DF636CE">
            <w:pPr>
              <w:numPr>
                <w:ilvl w:val="0"/>
                <w:numId w:val="0"/>
              </w:numPr>
              <w:ind w:firstLine="420" w:firstLineChars="200"/>
              <w:jc w:val="both"/>
              <w:rPr>
                <w:rFonts w:hint="default" w:hAnsi="DejaVu Math TeX Gyre" w:cs="Times New Roman"/>
                <w:i w:val="0"/>
                <w:kern w:val="2"/>
                <w:sz w:val="21"/>
                <w:szCs w:val="24"/>
                <w:lang w:val="en-US" w:eastAsia="zh-CN" w:bidi="ar-SA"/>
              </w:rPr>
            </w:pPr>
            <m:oMathPara>
              <m:oMath>
                <m:r>
                  <m:rPr/>
                  <w:rPr>
                    <w:rFonts w:hint="eastAsia" w:ascii="DejaVu Math TeX Gyre" w:hAnsi="DejaVu Math TeX Gyre" w:cs="Times New Roman"/>
                    <w:kern w:val="2"/>
                    <w:sz w:val="21"/>
                    <w:szCs w:val="24"/>
                    <w:lang w:val="en-US" w:eastAsia="zh-CN" w:bidi="ar-SA"/>
                  </w:rPr>
                  <m:t>实际出流</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n_on</m:t>
                </m:r>
                <m:r>
                  <m:rPr/>
                  <w:rPr>
                    <w:rFonts w:hint="default" w:ascii="DejaVu Math TeX Gyre" w:hAnsi="DejaVu Math TeX Gyre" w:cs="DejaVu Math TeX Gyre"/>
                    <w:kern w:val="2"/>
                    <w:sz w:val="21"/>
                    <w:szCs w:val="24"/>
                    <w:lang w:val="en-US" w:eastAsia="zh-CN" w:bidi="ar-SA"/>
                  </w:rPr>
                  <m:t>×</m:t>
                </m:r>
                <m:r>
                  <m:rPr/>
                  <w:rPr>
                    <w:rFonts w:hint="eastAsia" w:ascii="DejaVu Math TeX Gyre" w:hAnsi="DejaVu Math TeX Gyre" w:cs="Times New Roman"/>
                    <w:kern w:val="2"/>
                    <w:sz w:val="21"/>
                    <w:szCs w:val="24"/>
                    <w:lang w:val="en-US" w:eastAsia="zh-CN" w:bidi="ar-SA"/>
                  </w:rPr>
                  <m:t>单泵能力</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uniform</m:t>
                </m:r>
                <m:d>
                  <m:dPr>
                    <m:ctrlPr>
                      <w:rPr>
                        <w:rFonts w:hint="default" w:ascii="DejaVu Math TeX Gyre" w:hAnsi="DejaVu Math TeX Gyre" w:cs="Times New Roman"/>
                        <w:i/>
                        <w:kern w:val="2"/>
                        <w:sz w:val="21"/>
                        <w:szCs w:val="24"/>
                        <w:lang w:val="en-US" w:eastAsia="zh-CN" w:bidi="ar-SA"/>
                      </w:rPr>
                    </m:ctrlPr>
                  </m:dPr>
                  <m:e>
                    <m:r>
                      <m:rPr/>
                      <w:rPr>
                        <w:rFonts w:hint="default" w:ascii="DejaVu Math TeX Gyre" w:hAnsi="DejaVu Math TeX Gyre" w:cs="Times New Roman"/>
                        <w:kern w:val="2"/>
                        <w:sz w:val="21"/>
                        <w:szCs w:val="24"/>
                        <w:lang w:val="en-US" w:eastAsia="zh-CN" w:bidi="ar-SA"/>
                      </w:rPr>
                      <m:t>0.85,1.0</m:t>
                    </m:r>
                    <m:ctrlPr>
                      <w:rPr>
                        <w:rFonts w:hint="default" w:ascii="DejaVu Math TeX Gyre" w:hAnsi="DejaVu Math TeX Gyre" w:cs="Times New Roman"/>
                        <w:i/>
                        <w:kern w:val="2"/>
                        <w:sz w:val="21"/>
                        <w:szCs w:val="24"/>
                        <w:lang w:val="en-US" w:eastAsia="zh-CN" w:bidi="ar-SA"/>
                      </w:rPr>
                    </m:ctrlPr>
                  </m:e>
                </m:d>
              </m:oMath>
            </m:oMathPara>
          </w:p>
          <w:p w14:paraId="1AB59167">
            <w:pPr>
              <w:numPr>
                <w:ilvl w:val="0"/>
                <w:numId w:val="0"/>
              </w:numPr>
              <w:ind w:firstLine="420" w:firstLineChars="200"/>
              <w:jc w:val="both"/>
              <w:rPr>
                <w:rFonts w:hint="default" w:hAnsi="DejaVu Math TeX Gyre" w:cs="Times New Roman"/>
                <w:i w:val="0"/>
                <w:kern w:val="2"/>
                <w:sz w:val="21"/>
                <w:szCs w:val="24"/>
                <w:lang w:val="en-US" w:eastAsia="zh-CN" w:bidi="ar-SA"/>
              </w:rPr>
            </w:pPr>
            <m:oMathPara>
              <m:oMath>
                <m:r>
                  <m:rPr/>
                  <w:rPr>
                    <w:rFonts w:hint="eastAsia" w:ascii="DejaVu Math TeX Gyre" w:hAnsi="DejaVu Math TeX Gyre" w:cs="Times New Roman"/>
                    <w:kern w:val="2"/>
                    <w:sz w:val="21"/>
                    <w:szCs w:val="24"/>
                    <w:lang w:val="en-US" w:eastAsia="zh-CN" w:bidi="ar-SA"/>
                  </w:rPr>
                  <m:t>前池液位</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1</m:t>
                </m:r>
                <m:r>
                  <m:rPr/>
                  <w:rPr>
                    <w:rFonts w:hint="eastAsia" w:ascii="DejaVu Math TeX Gyre" w:hAnsi="DejaVu Math TeX Gyre" w:cs="Times New Roman"/>
                    <w:kern w:val="2"/>
                    <w:sz w:val="21"/>
                    <w:szCs w:val="24"/>
                    <w:lang w:val="en-US" w:eastAsia="zh-CN" w:bidi="ar-SA"/>
                  </w:rPr>
                  <m:t>.</m:t>
                </m:r>
                <m:r>
                  <m:rPr/>
                  <w:rPr>
                    <w:rFonts w:hint="default" w:ascii="DejaVu Math TeX Gyre" w:hAnsi="DejaVu Math TeX Gyre" w:cs="Times New Roman"/>
                    <w:kern w:val="2"/>
                    <w:sz w:val="21"/>
                    <w:szCs w:val="24"/>
                    <w:lang w:val="en-US" w:eastAsia="zh-CN" w:bidi="ar-SA"/>
                  </w:rPr>
                  <m:t>0</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2</m:t>
                </m:r>
                <m:r>
                  <m:rPr/>
                  <w:rPr>
                    <w:rFonts w:hint="eastAsia" w:ascii="DejaVu Math TeX Gyre" w:hAnsi="DejaVu Math TeX Gyre" w:cs="Times New Roman"/>
                    <w:kern w:val="2"/>
                    <w:sz w:val="21"/>
                    <w:szCs w:val="24"/>
                    <w:lang w:val="en-US" w:eastAsia="zh-CN" w:bidi="ar-SA"/>
                  </w:rPr>
                  <m:t>.</m:t>
                </m:r>
                <m:r>
                  <m:rPr/>
                  <w:rPr>
                    <w:rFonts w:hint="default" w:ascii="DejaVu Math TeX Gyre" w:hAnsi="DejaVu Math TeX Gyre" w:cs="Times New Roman"/>
                    <w:kern w:val="2"/>
                    <w:sz w:val="21"/>
                    <w:szCs w:val="24"/>
                    <w:lang w:val="en-US" w:eastAsia="zh-CN" w:bidi="ar-SA"/>
                  </w:rPr>
                  <m:t>0</m:t>
                </m:r>
                <m:r>
                  <m:rPr/>
                  <w:rPr>
                    <w:rFonts w:hint="default" w:ascii="DejaVu Math TeX Gyre" w:hAnsi="DejaVu Math TeX Gyre" w:cs="DejaVu Math TeX Gyre"/>
                    <w:kern w:val="2"/>
                    <w:sz w:val="21"/>
                    <w:szCs w:val="24"/>
                    <w:lang w:val="en-US" w:eastAsia="zh-CN" w:bidi="ar-SA"/>
                  </w:rPr>
                  <m:t>×</m:t>
                </m:r>
                <m:r>
                  <m:rPr/>
                  <w:rPr>
                    <w:rFonts w:hint="eastAsia" w:ascii="DejaVu Math TeX Gyre" w:hAnsi="DejaVu Math TeX Gyre" w:cs="Times New Roman"/>
                    <w:kern w:val="2"/>
                    <w:sz w:val="21"/>
                    <w:szCs w:val="24"/>
                    <w:lang w:val="en-US" w:eastAsia="zh-CN" w:bidi="ar-SA"/>
                  </w:rPr>
                  <m:t>流量比</m:t>
                </m:r>
                <m:r>
                  <m:rPr/>
                  <w:rPr>
                    <w:rFonts w:hint="default" w:ascii="DejaVu Math TeX Gyre" w:hAnsi="DejaVu Math TeX Gyre" w:cs="DejaVu Math TeX Gyre"/>
                    <w:kern w:val="2"/>
                    <w:sz w:val="21"/>
                    <w:szCs w:val="24"/>
                    <w:lang w:val="en-US" w:eastAsia="zh-CN" w:bidi="ar-SA"/>
                  </w:rPr>
                  <m:t>+</m:t>
                </m:r>
                <m:r>
                  <m:rPr/>
                  <w:rPr>
                    <w:rFonts w:hint="eastAsia" w:ascii="DejaVu Math TeX Gyre" w:hAnsi="DejaVu Math TeX Gyre" w:cs="Times New Roman"/>
                    <w:kern w:val="2"/>
                    <w:sz w:val="21"/>
                    <w:szCs w:val="24"/>
                    <w:lang w:val="en-US" w:eastAsia="zh-CN" w:bidi="ar-SA"/>
                  </w:rPr>
                  <m:t>噪声</m:t>
                </m:r>
                <m:d>
                  <m:dPr>
                    <m:ctrlPr>
                      <w:rPr>
                        <w:rFonts w:hint="eastAsia" w:ascii="DejaVu Math TeX Gyre" w:hAnsi="DejaVu Math TeX Gyre" w:cs="Times New Roman"/>
                        <w:i/>
                        <w:kern w:val="2"/>
                        <w:sz w:val="21"/>
                        <w:szCs w:val="24"/>
                        <w:lang w:val="en-US" w:eastAsia="zh-CN" w:bidi="ar-SA"/>
                      </w:rPr>
                    </m:ctrlPr>
                  </m:dPr>
                  <m:e>
                    <m:r>
                      <m:rPr/>
                      <w:rPr>
                        <w:rFonts w:ascii="DejaVu Math TeX Gyre" w:hAnsi="DejaVu Math TeX Gyre" w:cs="Times New Roman"/>
                        <w:kern w:val="2"/>
                        <w:sz w:val="21"/>
                        <w:szCs w:val="24"/>
                        <w:lang w:val="en-US" w:bidi="ar-SA"/>
                      </w:rPr>
                      <m:t>σ=</m:t>
                    </m:r>
                    <m:r>
                      <m:rPr/>
                      <w:rPr>
                        <w:rFonts w:hint="default" w:ascii="DejaVu Math TeX Gyre" w:hAnsi="DejaVu Math TeX Gyre" w:cs="Times New Roman"/>
                        <w:kern w:val="2"/>
                        <w:sz w:val="21"/>
                        <w:szCs w:val="24"/>
                        <w:lang w:val="en-US" w:eastAsia="zh-CN" w:bidi="ar-SA"/>
                      </w:rPr>
                      <m:t>0</m:t>
                    </m:r>
                    <m:r>
                      <m:rPr/>
                      <w:rPr>
                        <w:rFonts w:hint="eastAsia" w:ascii="DejaVu Math TeX Gyre" w:hAnsi="DejaVu Math TeX Gyre" w:cs="Times New Roman"/>
                        <w:kern w:val="2"/>
                        <w:sz w:val="21"/>
                        <w:szCs w:val="24"/>
                        <w:lang w:val="en-US" w:eastAsia="zh-CN" w:bidi="ar-SA"/>
                      </w:rPr>
                      <m:t>.</m:t>
                    </m:r>
                    <m:r>
                      <m:rPr/>
                      <w:rPr>
                        <w:rFonts w:hint="default" w:ascii="DejaVu Math TeX Gyre" w:hAnsi="DejaVu Math TeX Gyre" w:cs="Times New Roman"/>
                        <w:kern w:val="2"/>
                        <w:sz w:val="21"/>
                        <w:szCs w:val="24"/>
                        <w:lang w:val="en-US" w:eastAsia="zh-CN" w:bidi="ar-SA"/>
                      </w:rPr>
                      <m:t>05</m:t>
                    </m:r>
                    <m:ctrlPr>
                      <w:rPr>
                        <w:rFonts w:hint="eastAsia" w:ascii="DejaVu Math TeX Gyre" w:hAnsi="DejaVu Math TeX Gyre" w:cs="Times New Roman"/>
                        <w:i/>
                        <w:kern w:val="2"/>
                        <w:sz w:val="21"/>
                        <w:szCs w:val="24"/>
                        <w:lang w:val="en-US" w:eastAsia="zh-CN" w:bidi="ar-SA"/>
                      </w:rPr>
                    </m:ctrlPr>
                  </m:e>
                </m:d>
              </m:oMath>
            </m:oMathPara>
          </w:p>
          <w:p w14:paraId="72BFF304">
            <w:pPr>
              <w:numPr>
                <w:ilvl w:val="0"/>
                <w:numId w:val="0"/>
              </w:numPr>
              <w:jc w:val="both"/>
              <w:rPr>
                <w:rFonts w:hint="default"/>
                <w:lang w:val="en-US" w:eastAsia="zh-CN"/>
              </w:rPr>
            </w:pPr>
            <w:r>
              <w:rPr>
                <w:rFonts w:hint="eastAsia"/>
                <w:lang w:val="en-US" w:eastAsia="zh-CN"/>
              </w:rPr>
              <w:t>3.9设计暴雨</w:t>
            </w:r>
          </w:p>
          <w:p w14:paraId="15DC26E2">
            <w:pPr>
              <w:numPr>
                <w:ilvl w:val="0"/>
                <w:numId w:val="0"/>
              </w:numPr>
              <w:ind w:firstLine="420"/>
              <w:jc w:val="both"/>
              <w:rPr>
                <w:rFonts w:hint="default"/>
                <w:lang w:val="en-US" w:eastAsia="zh-CN"/>
              </w:rPr>
            </w:pPr>
            <w:r>
              <w:rPr>
                <w:rFonts w:hint="default"/>
                <w:lang w:val="en-US" w:eastAsia="zh-CN"/>
              </w:rPr>
              <w:t>按上海市暴雨强度公式（DB31/T 1043）生成芝加哥雨型（Keifer-Chu）2h设计暴雨</w:t>
            </w:r>
            <w:r>
              <w:rPr>
                <w:rFonts w:hint="eastAsia"/>
                <w:lang w:val="en-US" w:eastAsia="zh-CN"/>
              </w:rPr>
              <w:t>，公式参数如下：</w:t>
            </w:r>
          </w:p>
          <w:p w14:paraId="4D180B1A">
            <w:pPr>
              <w:numPr>
                <w:ilvl w:val="0"/>
                <w:numId w:val="10"/>
              </w:numPr>
              <w:ind w:left="845" w:leftChars="0" w:hanging="425" w:firstLineChars="0"/>
              <w:jc w:val="both"/>
              <w:rPr>
                <w:rFonts w:hint="eastAsia"/>
                <w:lang w:val="en-US" w:eastAsia="zh-CN"/>
              </w:rPr>
            </w:pPr>
            <w:r>
              <w:rPr>
                <w:rFonts w:hint="eastAsia"/>
                <w:lang w:val="en-US" w:eastAsia="zh-CN"/>
              </w:rPr>
              <w:t>暴雨强度公式：</w:t>
            </w:r>
          </w:p>
          <w:p w14:paraId="0719DCAE">
            <w:pPr>
              <w:numPr>
                <w:ilvl w:val="0"/>
                <w:numId w:val="0"/>
              </w:numPr>
              <w:ind w:firstLine="420"/>
              <w:jc w:val="both"/>
              <w:rPr>
                <w:rFonts w:hint="default" w:hAnsi="DejaVu Math TeX Gyre" w:cs="Times New Roman"/>
                <w:i w:val="0"/>
                <w:kern w:val="2"/>
                <w:sz w:val="21"/>
                <w:szCs w:val="24"/>
                <w:lang w:val="en-US" w:eastAsia="zh-CN" w:bidi="ar-SA"/>
              </w:rPr>
            </w:pPr>
            <m:oMathPara>
              <m:oMath>
                <m:r>
                  <m:rPr/>
                  <w:rPr>
                    <w:rFonts w:hint="default" w:ascii="DejaVu Math TeX Gyre" w:hAnsi="DejaVu Math TeX Gyre" w:cs="Times New Roman"/>
                    <w:kern w:val="2"/>
                    <w:sz w:val="21"/>
                    <w:szCs w:val="24"/>
                    <w:lang w:val="en-US" w:eastAsia="zh-CN" w:bidi="ar-SA"/>
                  </w:rPr>
                  <m:t>q</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1600</m:t>
                </m:r>
                <m:d>
                  <m:dPr>
                    <m:ctrlPr>
                      <w:rPr>
                        <w:rFonts w:hint="default" w:ascii="DejaVu Math TeX Gyre" w:hAnsi="DejaVu Math TeX Gyre" w:cs="Times New Roman"/>
                        <w:i/>
                        <w:kern w:val="2"/>
                        <w:sz w:val="21"/>
                        <w:szCs w:val="24"/>
                        <w:lang w:val="en-US" w:eastAsia="zh-CN" w:bidi="ar-SA"/>
                      </w:rPr>
                    </m:ctrlPr>
                  </m:dPr>
                  <m:e>
                    <m:r>
                      <m:rPr/>
                      <w:rPr>
                        <w:rFonts w:hint="default" w:ascii="DejaVu Math TeX Gyre" w:hAnsi="DejaVu Math TeX Gyre" w:cs="Times New Roman"/>
                        <w:kern w:val="2"/>
                        <w:sz w:val="21"/>
                        <w:szCs w:val="24"/>
                        <w:lang w:val="en-US" w:eastAsia="zh-CN" w:bidi="ar-SA"/>
                      </w:rPr>
                      <m:t>1</m:t>
                    </m:r>
                    <m:r>
                      <m:rPr/>
                      <w:rPr>
                        <w:rFonts w:ascii="DejaVu Math TeX Gyre" w:hAnsi="DejaVu Math TeX Gyre" w:cs="Times New Roman"/>
                        <w:kern w:val="2"/>
                        <w:sz w:val="21"/>
                        <w:szCs w:val="24"/>
                        <w:lang w:val="en-US" w:bidi="ar-SA"/>
                      </w:rPr>
                      <m:t>+</m:t>
                    </m:r>
                    <m:r>
                      <m:rPr/>
                      <w:rPr>
                        <w:rFonts w:hint="default" w:ascii="DejaVu Math TeX Gyre" w:hAnsi="DejaVu Math TeX Gyre" w:cs="Times New Roman"/>
                        <w:kern w:val="2"/>
                        <w:sz w:val="21"/>
                        <w:szCs w:val="24"/>
                        <w:lang w:val="en-US" w:bidi="ar-SA"/>
                      </w:rPr>
                      <m:t>0.846</m:t>
                    </m:r>
                    <m:sSub>
                      <m:sSubPr>
                        <m:ctrlPr>
                          <w:rPr>
                            <w:rFonts w:hint="default" w:ascii="DejaVu Math TeX Gyre" w:hAnsi="DejaVu Math TeX Gyre" w:cs="Times New Roman"/>
                            <w:i/>
                            <w:kern w:val="2"/>
                            <w:sz w:val="21"/>
                            <w:szCs w:val="24"/>
                            <w:lang w:val="en-US" w:bidi="ar-SA"/>
                          </w:rPr>
                        </m:ctrlPr>
                      </m:sSubPr>
                      <m:e>
                        <m:r>
                          <m:rPr/>
                          <w:rPr>
                            <w:rFonts w:hint="default" w:ascii="DejaVu Math TeX Gyre" w:hAnsi="DejaVu Math TeX Gyre" w:cs="Times New Roman"/>
                            <w:kern w:val="2"/>
                            <w:sz w:val="21"/>
                            <w:szCs w:val="24"/>
                            <w:lang w:val="en-US" w:bidi="ar-SA"/>
                          </w:rPr>
                          <m:t>l</m:t>
                        </m:r>
                        <m:ctrlPr>
                          <w:rPr>
                            <w:rFonts w:hint="default" w:ascii="DejaVu Math TeX Gyre" w:hAnsi="DejaVu Math TeX Gyre" w:cs="Times New Roman"/>
                            <w:i/>
                            <w:kern w:val="2"/>
                            <w:sz w:val="21"/>
                            <w:szCs w:val="24"/>
                            <w:lang w:val="en-US" w:bidi="ar-SA"/>
                          </w:rPr>
                        </m:ctrlPr>
                      </m:e>
                      <m:sub>
                        <m:r>
                          <m:rPr/>
                          <w:rPr>
                            <w:rFonts w:hint="default" w:ascii="DejaVu Math TeX Gyre" w:hAnsi="DejaVu Math TeX Gyre" w:cs="Times New Roman"/>
                            <w:kern w:val="2"/>
                            <w:sz w:val="21"/>
                            <w:szCs w:val="24"/>
                            <w:lang w:val="en-US" w:bidi="ar-SA"/>
                          </w:rPr>
                          <m:t>g</m:t>
                        </m:r>
                        <m:ctrlPr>
                          <w:rPr>
                            <w:rFonts w:hint="default" w:ascii="DejaVu Math TeX Gyre" w:hAnsi="DejaVu Math TeX Gyre" w:cs="Times New Roman"/>
                            <w:i/>
                            <w:kern w:val="2"/>
                            <w:sz w:val="21"/>
                            <w:szCs w:val="24"/>
                            <w:lang w:val="en-US" w:bidi="ar-SA"/>
                          </w:rPr>
                        </m:ctrlPr>
                      </m:sub>
                    </m:sSub>
                    <m:r>
                      <m:rPr/>
                      <w:rPr>
                        <w:rFonts w:hint="default" w:ascii="DejaVu Math TeX Gyre" w:hAnsi="DejaVu Math TeX Gyre" w:cs="Times New Roman"/>
                        <w:kern w:val="2"/>
                        <w:sz w:val="21"/>
                        <w:szCs w:val="24"/>
                        <w:lang w:val="en-US" w:bidi="ar-SA"/>
                      </w:rPr>
                      <m:t>P</m:t>
                    </m:r>
                    <m:ctrlPr>
                      <w:rPr>
                        <w:rFonts w:hint="default" w:ascii="DejaVu Math TeX Gyre" w:hAnsi="DejaVu Math TeX Gyre" w:cs="Times New Roman"/>
                        <w:i/>
                        <w:kern w:val="2"/>
                        <w:sz w:val="21"/>
                        <w:szCs w:val="24"/>
                        <w:lang w:val="en-US" w:eastAsia="zh-CN" w:bidi="ar-SA"/>
                      </w:rPr>
                    </m:ctrlPr>
                  </m:e>
                </m:d>
                <m:r>
                  <m:rPr/>
                  <w:rPr>
                    <w:rFonts w:hint="default" w:ascii="DejaVu Math TeX Gyre" w:hAnsi="DejaVu Math TeX Gyre" w:cs="Times New Roman"/>
                    <w:kern w:val="2"/>
                    <w:sz w:val="21"/>
                    <w:szCs w:val="24"/>
                    <w:lang w:val="en-US" w:eastAsia="zh-CN" w:bidi="ar-SA"/>
                  </w:rPr>
                  <m:t>/</m:t>
                </m:r>
                <m:sSup>
                  <m:sSupPr>
                    <m:ctrlPr>
                      <w:rPr>
                        <w:rFonts w:hint="default" w:ascii="DejaVu Math TeX Gyre" w:hAnsi="DejaVu Math TeX Gyre" w:cs="Times New Roman"/>
                        <w:i/>
                        <w:kern w:val="2"/>
                        <w:sz w:val="21"/>
                        <w:szCs w:val="24"/>
                        <w:lang w:val="en-US" w:eastAsia="zh-CN" w:bidi="ar-SA"/>
                      </w:rPr>
                    </m:ctrlPr>
                  </m:sSupPr>
                  <m:e>
                    <m:d>
                      <m:dPr>
                        <m:ctrlPr>
                          <w:rPr>
                            <w:rFonts w:hint="default" w:ascii="DejaVu Math TeX Gyre" w:hAnsi="DejaVu Math TeX Gyre" w:cs="Times New Roman"/>
                            <w:i/>
                            <w:kern w:val="2"/>
                            <w:sz w:val="21"/>
                            <w:szCs w:val="24"/>
                            <w:lang w:val="en-US" w:eastAsia="zh-CN" w:bidi="ar-SA"/>
                          </w:rPr>
                        </m:ctrlPr>
                      </m:dPr>
                      <m:e>
                        <m:r>
                          <m:rPr/>
                          <w:rPr>
                            <w:rFonts w:hint="default" w:ascii="DejaVu Math TeX Gyre" w:hAnsi="DejaVu Math TeX Gyre" w:cs="Times New Roman"/>
                            <w:kern w:val="2"/>
                            <w:sz w:val="21"/>
                            <w:szCs w:val="24"/>
                            <w:lang w:val="en-US" w:eastAsia="zh-CN" w:bidi="ar-SA"/>
                          </w:rPr>
                          <m:t>t</m:t>
                        </m:r>
                        <m:r>
                          <m:rPr/>
                          <w:rPr>
                            <w:rFonts w:ascii="DejaVu Math TeX Gyre" w:hAnsi="DejaVu Math TeX Gyre" w:cs="Times New Roman"/>
                            <w:kern w:val="2"/>
                            <w:sz w:val="21"/>
                            <w:szCs w:val="24"/>
                            <w:lang w:val="en-US" w:bidi="ar-SA"/>
                          </w:rPr>
                          <m:t>+</m:t>
                        </m:r>
                        <m:r>
                          <m:rPr/>
                          <w:rPr>
                            <w:rFonts w:hint="default" w:ascii="DejaVu Math TeX Gyre" w:hAnsi="DejaVu Math TeX Gyre" w:cs="Times New Roman"/>
                            <w:kern w:val="2"/>
                            <w:sz w:val="21"/>
                            <w:szCs w:val="24"/>
                            <w:lang w:val="en-US" w:bidi="ar-SA"/>
                          </w:rPr>
                          <m:t>7.0</m:t>
                        </m:r>
                        <m:ctrlPr>
                          <w:rPr>
                            <w:rFonts w:hint="default" w:ascii="DejaVu Math TeX Gyre" w:hAnsi="DejaVu Math TeX Gyre" w:cs="Times New Roman"/>
                            <w:i/>
                            <w:kern w:val="2"/>
                            <w:sz w:val="21"/>
                            <w:szCs w:val="24"/>
                            <w:lang w:val="en-US" w:eastAsia="zh-CN" w:bidi="ar-SA"/>
                          </w:rPr>
                        </m:ctrlPr>
                      </m:e>
                    </m:d>
                    <m:ctrlPr>
                      <w:rPr>
                        <w:rFonts w:hint="default" w:ascii="DejaVu Math TeX Gyre" w:hAnsi="DejaVu Math TeX Gyre" w:cs="Times New Roman"/>
                        <w:i/>
                        <w:kern w:val="2"/>
                        <w:sz w:val="21"/>
                        <w:szCs w:val="24"/>
                        <w:lang w:val="en-US" w:eastAsia="zh-CN" w:bidi="ar-SA"/>
                      </w:rPr>
                    </m:ctrlPr>
                  </m:e>
                  <m:sup>
                    <m:r>
                      <m:rPr/>
                      <w:rPr>
                        <w:rFonts w:hint="default" w:ascii="DejaVu Math TeX Gyre" w:hAnsi="DejaVu Math TeX Gyre" w:cs="Times New Roman"/>
                        <w:kern w:val="2"/>
                        <w:sz w:val="21"/>
                        <w:szCs w:val="24"/>
                        <w:lang w:val="en-US" w:eastAsia="zh-CN" w:bidi="ar-SA"/>
                      </w:rPr>
                      <m:t>0.656</m:t>
                    </m:r>
                    <m:ctrlPr>
                      <w:rPr>
                        <w:rFonts w:hint="default" w:ascii="DejaVu Math TeX Gyre" w:hAnsi="DejaVu Math TeX Gyre" w:cs="Times New Roman"/>
                        <w:i/>
                        <w:kern w:val="2"/>
                        <w:sz w:val="21"/>
                        <w:szCs w:val="24"/>
                        <w:lang w:val="en-US" w:eastAsia="zh-CN" w:bidi="ar-SA"/>
                      </w:rPr>
                    </m:ctrlPr>
                  </m:sup>
                </m:sSup>
                <m:d>
                  <m:dPr>
                    <m:ctrlPr>
                      <w:rPr>
                        <w:rFonts w:hint="default" w:ascii="DejaVu Math TeX Gyre" w:hAnsi="DejaVu Math TeX Gyre" w:cs="Times New Roman"/>
                        <w:i/>
                        <w:kern w:val="2"/>
                        <w:sz w:val="21"/>
                        <w:szCs w:val="24"/>
                        <w:lang w:val="en-US" w:eastAsia="zh-CN" w:bidi="ar-SA"/>
                      </w:rPr>
                    </m:ctrlPr>
                  </m:dPr>
                  <m:e>
                    <m:r>
                      <m:rPr/>
                      <w:rPr>
                        <w:rFonts w:hint="default" w:ascii="DejaVu Math TeX Gyre" w:hAnsi="DejaVu Math TeX Gyre" w:cs="Times New Roman"/>
                        <w:kern w:val="2"/>
                        <w:sz w:val="21"/>
                        <w:szCs w:val="24"/>
                        <w:lang w:val="en-US" w:eastAsia="zh-CN" w:bidi="ar-SA"/>
                      </w:rPr>
                      <m:t>L/</m:t>
                    </m:r>
                    <m:d>
                      <m:dPr>
                        <m:ctrlPr>
                          <w:rPr>
                            <w:rFonts w:hint="default" w:ascii="DejaVu Math TeX Gyre" w:hAnsi="DejaVu Math TeX Gyre" w:cs="Times New Roman"/>
                            <w:i/>
                            <w:kern w:val="2"/>
                            <w:sz w:val="21"/>
                            <w:szCs w:val="24"/>
                            <w:lang w:val="en-US" w:eastAsia="zh-CN" w:bidi="ar-SA"/>
                          </w:rPr>
                        </m:ctrlPr>
                      </m:dPr>
                      <m:e>
                        <m:r>
                          <m:rPr/>
                          <w:rPr>
                            <w:rFonts w:hint="default" w:ascii="DejaVu Math TeX Gyre" w:hAnsi="DejaVu Math TeX Gyre" w:cs="Times New Roman"/>
                            <w:kern w:val="2"/>
                            <w:sz w:val="21"/>
                            <w:szCs w:val="24"/>
                            <w:lang w:val="en-US" w:eastAsia="zh-CN" w:bidi="ar-SA"/>
                          </w:rPr>
                          <m:t>s</m:t>
                        </m:r>
                        <m:r>
                          <m:rPr/>
                          <w:rPr>
                            <w:rFonts w:ascii="DejaVu Math TeX Gyre" w:hAnsi="DejaVu Math TeX Gyre" w:cs="Times New Roman"/>
                            <w:kern w:val="2"/>
                            <w:sz w:val="21"/>
                            <w:szCs w:val="24"/>
                            <w:lang w:val="en-US" w:bidi="ar-SA"/>
                          </w:rPr>
                          <m:t>∙</m:t>
                        </m:r>
                        <m:r>
                          <m:rPr/>
                          <w:rPr>
                            <w:rFonts w:hint="default" w:ascii="DejaVu Math TeX Gyre" w:hAnsi="DejaVu Math TeX Gyre" w:cs="Times New Roman"/>
                            <w:kern w:val="2"/>
                            <w:sz w:val="21"/>
                            <w:szCs w:val="24"/>
                            <w:lang w:val="en-US" w:bidi="ar-SA"/>
                          </w:rPr>
                          <m:t>ha</m:t>
                        </m:r>
                        <m:ctrlPr>
                          <w:rPr>
                            <w:rFonts w:hint="default" w:ascii="DejaVu Math TeX Gyre" w:hAnsi="DejaVu Math TeX Gyre" w:cs="Times New Roman"/>
                            <w:i/>
                            <w:kern w:val="2"/>
                            <w:sz w:val="21"/>
                            <w:szCs w:val="24"/>
                            <w:lang w:val="en-US" w:eastAsia="zh-CN" w:bidi="ar-SA"/>
                          </w:rPr>
                        </m:ctrlPr>
                      </m:e>
                    </m:d>
                    <m:ctrlPr>
                      <w:rPr>
                        <w:rFonts w:hint="default" w:ascii="DejaVu Math TeX Gyre" w:hAnsi="DejaVu Math TeX Gyre" w:cs="Times New Roman"/>
                        <w:i/>
                        <w:kern w:val="2"/>
                        <w:sz w:val="21"/>
                        <w:szCs w:val="24"/>
                        <w:lang w:val="en-US" w:eastAsia="zh-CN" w:bidi="ar-SA"/>
                      </w:rPr>
                    </m:ctrlPr>
                  </m:e>
                </m:d>
              </m:oMath>
            </m:oMathPara>
          </w:p>
          <w:p w14:paraId="43E557E6">
            <w:pPr>
              <w:numPr>
                <w:ilvl w:val="0"/>
                <w:numId w:val="10"/>
              </w:numPr>
              <w:ind w:left="845" w:leftChars="0" w:hanging="425" w:firstLineChars="0"/>
              <w:jc w:val="both"/>
              <w:rPr>
                <w:rFonts w:hint="eastAsia" w:hAnsi="DejaVu Math TeX Gyre" w:cs="Times New Roman"/>
                <w:i w:val="0"/>
                <w:kern w:val="2"/>
                <w:sz w:val="21"/>
                <w:szCs w:val="24"/>
                <w:lang w:val="en-US" w:eastAsia="zh-CN" w:bidi="ar-SA"/>
              </w:rPr>
            </w:pPr>
            <w:r>
              <w:rPr>
                <w:rFonts w:hint="eastAsia" w:hAnsi="DejaVu Math TeX Gyre" w:cs="Times New Roman"/>
                <w:i w:val="0"/>
                <w:kern w:val="2"/>
                <w:sz w:val="21"/>
                <w:szCs w:val="24"/>
                <w:lang w:val="en-US" w:eastAsia="zh-CN" w:bidi="ar-SA"/>
              </w:rPr>
              <w:t>雨峰强度公式</w:t>
            </w:r>
            <w:r>
              <w:rPr>
                <w:rFonts w:hint="default" w:hAnsi="DejaVu Math TeX Gyre" w:cs="Times New Roman"/>
                <w:i w:val="0"/>
                <w:kern w:val="2"/>
                <w:sz w:val="21"/>
                <w:szCs w:val="24"/>
                <w:lang w:val="en-US" w:eastAsia="zh-CN" w:bidi="ar-SA"/>
              </w:rPr>
              <w:t>(</w:t>
            </w:r>
            <w:r>
              <w:rPr>
                <w:rFonts w:hint="eastAsia" w:hAnsi="DejaVu Math TeX Gyre" w:cs="Times New Roman"/>
                <w:i w:val="0"/>
                <w:kern w:val="2"/>
                <w:sz w:val="21"/>
                <w:szCs w:val="24"/>
                <w:lang w:val="en-US" w:eastAsia="zh-CN" w:bidi="ar-SA"/>
              </w:rPr>
              <w:t>上海常用值</w:t>
            </w:r>
            <w:r>
              <w:rPr>
                <w:rFonts w:hint="default" w:hAnsi="DejaVu Math TeX Gyre" w:cs="Times New Roman"/>
                <w:i w:val="0"/>
                <w:kern w:val="2"/>
                <w:sz w:val="21"/>
                <w:szCs w:val="24"/>
                <w:lang w:val="en-US" w:eastAsia="zh-CN" w:bidi="ar-SA"/>
              </w:rPr>
              <w:t>)</w:t>
            </w:r>
            <w:r>
              <w:rPr>
                <w:rFonts w:hint="eastAsia" w:hAnsi="DejaVu Math TeX Gyre" w:cs="Times New Roman"/>
                <w:i w:val="0"/>
                <w:kern w:val="2"/>
                <w:sz w:val="21"/>
                <w:szCs w:val="24"/>
                <w:lang w:val="en-US" w:eastAsia="zh-CN" w:bidi="ar-SA"/>
              </w:rPr>
              <w:t>：</w:t>
            </w:r>
          </w:p>
          <w:p w14:paraId="637E3BDC">
            <w:pPr>
              <w:numPr>
                <w:ilvl w:val="0"/>
                <w:numId w:val="0"/>
              </w:numPr>
              <w:ind w:firstLine="420"/>
              <w:jc w:val="both"/>
              <w:rPr>
                <w:rFonts w:hint="default" w:hAnsi="DejaVu Math TeX Gyre" w:cs="Times New Roman"/>
                <w:i w:val="0"/>
                <w:kern w:val="2"/>
                <w:sz w:val="21"/>
                <w:szCs w:val="24"/>
                <w:lang w:val="en-US" w:eastAsia="zh-CN" w:bidi="ar-SA"/>
              </w:rPr>
            </w:pPr>
            <m:oMathPara>
              <m:oMath>
                <m:r>
                  <m:rPr/>
                  <w:rPr>
                    <w:rFonts w:hint="default" w:ascii="DejaVu Math TeX Gyre" w:hAnsi="DejaVu Math TeX Gyre" w:cs="DejaVu Math TeX Gyre"/>
                    <w:kern w:val="2"/>
                    <w:sz w:val="21"/>
                    <w:szCs w:val="24"/>
                    <w:lang w:val="en-US" w:eastAsia="zh-CN" w:bidi="ar-SA"/>
                  </w:rPr>
                  <m:t>R=0.405</m:t>
                </m:r>
              </m:oMath>
            </m:oMathPara>
          </w:p>
          <w:p w14:paraId="5C770F8F">
            <w:pPr>
              <w:numPr>
                <w:ilvl w:val="0"/>
                <w:numId w:val="10"/>
              </w:numPr>
              <w:ind w:left="845" w:leftChars="0" w:hanging="425" w:firstLineChars="0"/>
              <w:jc w:val="both"/>
              <w:rPr>
                <w:rFonts w:hint="eastAsia"/>
                <w:lang w:val="en-US" w:eastAsia="zh-CN"/>
              </w:rPr>
            </w:pPr>
            <w:r>
              <w:rPr>
                <w:rFonts w:hint="eastAsia"/>
                <w:lang w:val="en-US" w:eastAsia="zh-CN"/>
              </w:rPr>
              <w:t>默认历时120min、步长10min，重现期</w:t>
            </w:r>
            <w:r>
              <w:rPr>
                <w:rFonts w:hint="default"/>
                <w:lang w:val="en-US" w:eastAsia="zh-CN"/>
              </w:rPr>
              <w:t>P=5/50/100</w:t>
            </w:r>
            <w:r>
              <w:rPr>
                <w:rFonts w:hint="eastAsia"/>
                <w:lang w:val="en-US" w:eastAsia="zh-CN"/>
              </w:rPr>
              <w:t>年。</w:t>
            </w:r>
          </w:p>
          <w:p w14:paraId="6474167B">
            <w:pPr>
              <w:numPr>
                <w:ilvl w:val="0"/>
                <w:numId w:val="0"/>
              </w:numPr>
              <w:ind w:firstLine="420"/>
              <w:jc w:val="both"/>
              <w:rPr>
                <w:rFonts w:hint="eastAsia"/>
              </w:rPr>
            </w:pPr>
            <w:r>
              <w:rPr>
                <w:rFonts w:hint="default"/>
                <w:lang w:val="en-US" w:eastAsia="zh-CN"/>
              </w:rPr>
              <w:t>台风实况回放：2021年台风"烟花"期间上海实测降雨（7天累计113.5mm），来源上海水务局水情信息实测数据</w:t>
            </w:r>
            <w:r>
              <w:rPr>
                <w:rFonts w:hint="eastAsia"/>
                <w:lang w:val="en-US" w:eastAsia="zh-CN"/>
              </w:rPr>
              <w:t>。</w:t>
            </w:r>
          </w:p>
          <w:p w14:paraId="2F9D3390">
            <w:pPr>
              <w:numPr>
                <w:ilvl w:val="0"/>
                <w:numId w:val="0"/>
              </w:numPr>
              <w:jc w:val="left"/>
              <w:rPr>
                <w:rFonts w:hint="default" w:eastAsia="宋体"/>
                <w:b/>
                <w:bCs/>
                <w:sz w:val="28"/>
                <w:szCs w:val="28"/>
                <w:lang w:val="en-US" w:eastAsia="zh-CN"/>
              </w:rPr>
            </w:pPr>
            <w:r>
              <w:rPr>
                <w:rFonts w:hint="eastAsia" w:eastAsia="宋体"/>
                <w:b/>
                <w:bCs/>
                <w:sz w:val="28"/>
                <w:szCs w:val="28"/>
                <w:lang w:val="en-US" w:eastAsia="zh-CN"/>
              </w:rPr>
              <w:t>四、超前预测模型构建与实验验证</w:t>
            </w:r>
          </w:p>
          <w:p w14:paraId="201457E8">
            <w:pPr>
              <w:numPr>
                <w:ilvl w:val="0"/>
                <w:numId w:val="0"/>
              </w:numPr>
              <w:rPr>
                <w:rFonts w:hint="default" w:eastAsia="宋体"/>
                <w:b/>
                <w:bCs/>
                <w:sz w:val="24"/>
                <w:szCs w:val="24"/>
                <w:lang w:val="en-US" w:eastAsia="zh-CN"/>
              </w:rPr>
            </w:pPr>
            <w:r>
              <w:rPr>
                <w:rFonts w:hint="eastAsia" w:eastAsia="宋体"/>
                <w:b/>
                <w:bCs/>
                <w:sz w:val="24"/>
                <w:szCs w:val="24"/>
                <w:lang w:val="en-US" w:eastAsia="zh-CN"/>
              </w:rPr>
              <w:t>1、预测模型原理与数学表达</w:t>
            </w:r>
          </w:p>
          <w:p w14:paraId="32BCA7AC">
            <w:pPr>
              <w:numPr>
                <w:ilvl w:val="0"/>
                <w:numId w:val="0"/>
              </w:numPr>
              <w:jc w:val="both"/>
              <w:rPr>
                <w:rFonts w:hint="eastAsia" w:eastAsia="宋体"/>
                <w:b/>
                <w:bCs/>
                <w:lang w:val="en-US" w:eastAsia="zh-CN"/>
              </w:rPr>
            </w:pPr>
            <w:r>
              <w:rPr>
                <w:rFonts w:hint="eastAsia" w:eastAsia="宋体"/>
                <w:b/>
                <w:bCs/>
                <w:lang w:val="en-US" w:eastAsia="zh-CN"/>
              </w:rPr>
              <w:t>1.1 LightGBM梯度提升树模型</w:t>
            </w:r>
          </w:p>
          <w:p w14:paraId="1DDFE585">
            <w:pPr>
              <w:numPr>
                <w:ilvl w:val="0"/>
                <w:numId w:val="0"/>
              </w:numPr>
              <w:ind w:firstLine="420" w:firstLineChars="200"/>
              <w:jc w:val="both"/>
              <w:rPr>
                <w:rFonts w:hint="default"/>
                <w:lang w:val="en-US" w:eastAsia="zh-CN"/>
              </w:rPr>
            </w:pPr>
            <w:r>
              <w:rPr>
                <w:rFonts w:hint="default"/>
                <w:lang w:val="en-US" w:eastAsia="zh-CN"/>
              </w:rPr>
              <w:t>本研究采用LightGBM（Light Gradient Boosting Machine）梯度提升树作为主预测模型。LightGBM是高效的梯度提升决策树算法，具有训练速度快、内存占用小、精度高等优点，非常适合处理结构化时序特征。</w:t>
            </w:r>
          </w:p>
          <w:p w14:paraId="066A3828">
            <w:pPr>
              <w:numPr>
                <w:ilvl w:val="0"/>
                <w:numId w:val="0"/>
              </w:numPr>
              <w:ind w:firstLine="420" w:firstLineChars="200"/>
              <w:jc w:val="both"/>
              <w:rPr>
                <w:rFonts w:hint="default"/>
                <w:lang w:val="en-US" w:eastAsia="zh-CN"/>
              </w:rPr>
            </w:pPr>
            <w:r>
              <w:rPr>
                <w:rFonts w:hint="default"/>
                <w:lang w:val="en-US" w:eastAsia="zh-CN"/>
              </w:rPr>
              <w:t>梯度提升树的核心思想是通过迭代训练多个弱学习器（决策树），每个弱学习器拟合前一个学习器的残差，最终将所有弱学习器的结果加权求和得到强学习器。其目标函数可表示为：</w:t>
            </w:r>
          </w:p>
          <w:p w14:paraId="0C030D47">
            <w:pPr>
              <w:numPr>
                <w:ilvl w:val="0"/>
                <w:numId w:val="0"/>
              </w:numPr>
              <w:jc w:val="both"/>
              <w:rPr>
                <w:rFonts w:hint="default"/>
                <w:lang w:val="en-US"/>
              </w:rPr>
            </w:pPr>
            <m:oMathPara>
              <m:oMath>
                <m:sSup>
                  <m:sSupPr>
                    <m:ctrlPr>
                      <w:rPr>
                        <w:rFonts w:ascii="DejaVu Math TeX Gyre" w:hAnsi="DejaVu Math TeX Gyre"/>
                        <w:i/>
                      </w:rPr>
                    </m:ctrlPr>
                  </m:sSupPr>
                  <m:e>
                    <m:r>
                      <m:rPr/>
                      <w:rPr>
                        <w:rFonts w:hint="eastAsia" w:ascii="DejaVu Math TeX Gyre" w:hAnsi="DejaVu Math TeX Gyre"/>
                        <w:lang w:val="en-US" w:eastAsia="zh-CN"/>
                      </w:rPr>
                      <m:t>Obj</m:t>
                    </m:r>
                    <m:ctrlPr>
                      <w:rPr>
                        <w:rFonts w:ascii="DejaVu Math TeX Gyre" w:hAnsi="DejaVu Math TeX Gyre"/>
                        <w:i/>
                      </w:rPr>
                    </m:ctrlPr>
                  </m:e>
                  <m:sup>
                    <m:d>
                      <m:dPr>
                        <m:ctrlPr>
                          <w:rPr>
                            <w:rFonts w:ascii="DejaVu Math TeX Gyre" w:hAnsi="DejaVu Math TeX Gyre"/>
                            <w:i/>
                          </w:rPr>
                        </m:ctrlPr>
                      </m:dPr>
                      <m:e>
                        <m:r>
                          <m:rPr/>
                          <w:rPr>
                            <w:rFonts w:hint="default" w:ascii="DejaVu Math TeX Gyre" w:hAnsi="DejaVu Math TeX Gyre"/>
                            <w:lang w:val="en-US"/>
                          </w:rPr>
                          <m:t>t</m:t>
                        </m:r>
                        <m:ctrlPr>
                          <w:rPr>
                            <w:rFonts w:ascii="DejaVu Math TeX Gyre" w:hAnsi="DejaVu Math TeX Gyre"/>
                            <w:i/>
                          </w:rPr>
                        </m:ctrlPr>
                      </m:e>
                    </m:d>
                    <m:ctrlPr>
                      <w:rPr>
                        <w:rFonts w:ascii="DejaVu Math TeX Gyre" w:hAnsi="DejaVu Math TeX Gyre"/>
                        <w:i/>
                      </w:rPr>
                    </m:ctrlPr>
                  </m:sup>
                </m:sSup>
                <m:r>
                  <m:rPr/>
                  <w:rPr>
                    <w:rFonts w:hint="default" w:ascii="DejaVu Math TeX Gyre" w:hAnsi="DejaVu Math TeX Gyre" w:cs="DejaVu Math TeX Gyre"/>
                  </w:rPr>
                  <m:t>=</m:t>
                </m:r>
                <m:nary>
                  <m:naryPr>
                    <m:chr m:val="∑"/>
                    <m:limLoc m:val="subSup"/>
                    <m:ctrlPr>
                      <w:rPr>
                        <w:rFonts w:hint="default" w:ascii="DejaVu Math TeX Gyre" w:hAnsi="DejaVu Math TeX Gyre" w:cs="DejaVu Math TeX Gyre"/>
                        <w:i/>
                      </w:rPr>
                    </m:ctrlPr>
                  </m:naryPr>
                  <m:sub>
                    <m:r>
                      <m:rPr/>
                      <w:rPr>
                        <w:rFonts w:hint="default" w:ascii="DejaVu Math TeX Gyre" w:hAnsi="DejaVu Math TeX Gyre" w:cs="DejaVu Math TeX Gyre"/>
                        <w:lang w:val="en-US"/>
                      </w:rPr>
                      <m:t>i</m:t>
                    </m:r>
                    <m:r>
                      <m:rPr/>
                      <w:rPr>
                        <w:rFonts w:ascii="DejaVu Math TeX Gyre" w:hAnsi="DejaVu Math TeX Gyre" w:cs="DejaVu Math TeX Gyre"/>
                        <w:lang w:val="en-US"/>
                      </w:rPr>
                      <m:t>=</m:t>
                    </m:r>
                    <m:r>
                      <m:rPr/>
                      <w:rPr>
                        <w:rFonts w:hint="default" w:ascii="DejaVu Math TeX Gyre" w:hAnsi="DejaVu Math TeX Gyre" w:cs="DejaVu Math TeX Gyre"/>
                        <w:lang w:val="en-US"/>
                      </w:rPr>
                      <m:t>1</m:t>
                    </m:r>
                    <m:ctrlPr>
                      <w:rPr>
                        <w:rFonts w:hint="default" w:ascii="DejaVu Math TeX Gyre" w:hAnsi="DejaVu Math TeX Gyre" w:cs="DejaVu Math TeX Gyre"/>
                        <w:i/>
                      </w:rPr>
                    </m:ctrlPr>
                  </m:sub>
                  <m:sup>
                    <m:r>
                      <m:rPr/>
                      <w:rPr>
                        <w:rFonts w:hint="default" w:ascii="DejaVu Math TeX Gyre" w:hAnsi="DejaVu Math TeX Gyre" w:cs="DejaVu Math TeX Gyre"/>
                        <w:lang w:val="en-US"/>
                      </w:rPr>
                      <m:t>n</m:t>
                    </m:r>
                    <m:ctrlPr>
                      <w:rPr>
                        <w:rFonts w:hint="default" w:ascii="DejaVu Math TeX Gyre" w:hAnsi="DejaVu Math TeX Gyre" w:cs="DejaVu Math TeX Gyre"/>
                        <w:i/>
                      </w:rPr>
                    </m:ctrlPr>
                  </m:sup>
                  <m:e>
                    <m:r>
                      <m:rPr/>
                      <w:rPr>
                        <w:rFonts w:hint="default" w:ascii="DejaVu Math TeX Gyre" w:hAnsi="DejaVu Math TeX Gyre" w:cs="DejaVu Math TeX Gyre"/>
                        <w:lang w:val="en-US"/>
                      </w:rPr>
                      <m:t>L</m:t>
                    </m:r>
                    <m:d>
                      <m:dPr>
                        <m:ctrlPr>
                          <w:rPr>
                            <w:rFonts w:hint="default" w:ascii="DejaVu Math TeX Gyre" w:hAnsi="DejaVu Math TeX Gyre" w:cs="DejaVu Math TeX Gyre"/>
                            <w:i/>
                            <w:lang w:val="en-US"/>
                          </w:rPr>
                        </m:ctrlPr>
                      </m:dPr>
                      <m:e>
                        <m:sSub>
                          <m:sSubPr>
                            <m:ctrlPr>
                              <w:rPr>
                                <w:rFonts w:ascii="DejaVu Math TeX Gyre" w:hAnsi="DejaVu Math TeX Gyre"/>
                                <w:i/>
                              </w:rPr>
                            </m:ctrlPr>
                          </m:sSubPr>
                          <m:e>
                            <m:r>
                              <m:rPr/>
                              <w:rPr>
                                <w:rFonts w:hint="default" w:ascii="DejaVu Math TeX Gyre" w:hAnsi="DejaVu Math TeX Gyre"/>
                                <w:lang w:val="en-US"/>
                              </w:rPr>
                              <m:t>y</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hint="default" w:ascii="DejaVu Math TeX Gyre" w:hAnsi="DejaVu Math TeX Gyre"/>
                            <w:lang w:val="en-US"/>
                          </w:rPr>
                          <m:t>,</m:t>
                        </m:r>
                        <m:sSup>
                          <m:sSupPr>
                            <m:ctrlPr>
                              <w:rPr>
                                <w:rFonts w:hint="default" w:ascii="DejaVu Math TeX Gyre" w:hAnsi="DejaVu Math TeX Gyre"/>
                                <w:i/>
                                <w:lang w:val="en-US"/>
                              </w:rPr>
                            </m:ctrlPr>
                          </m:sSupPr>
                          <m:e>
                            <m:acc>
                              <m:accPr>
                                <m:ctrlPr>
                                  <w:rPr>
                                    <w:rFonts w:hint="default" w:ascii="DejaVu Math TeX Gyre" w:hAnsi="DejaVu Math TeX Gyre"/>
                                    <w:i/>
                                    <w:lang w:val="en-US"/>
                                  </w:rPr>
                                </m:ctrlPr>
                              </m:accPr>
                              <m:e>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ctrlPr>
                                  <w:rPr>
                                    <w:rFonts w:hint="default" w:ascii="DejaVu Math TeX Gyre" w:hAnsi="DejaVu Math TeX Gyre"/>
                                    <w:i/>
                                    <w:lang w:val="en-US"/>
                                  </w:rPr>
                                </m:ctrlPr>
                              </m:e>
                            </m:acc>
                            <m:ctrlPr>
                              <w:rPr>
                                <w:rFonts w:hint="default" w:ascii="DejaVu Math TeX Gyre" w:hAnsi="DejaVu Math TeX Gyre"/>
                                <w:i/>
                                <w:lang w:val="en-US"/>
                              </w:rPr>
                            </m:ctrlPr>
                          </m:e>
                          <m:sup>
                            <m:d>
                              <m:dPr>
                                <m:ctrlPr>
                                  <w:rPr>
                                    <w:rFonts w:hint="default" w:ascii="DejaVu Math TeX Gyre" w:hAnsi="DejaVu Math TeX Gyre"/>
                                    <w:i/>
                                    <w:lang w:val="en-US"/>
                                  </w:rPr>
                                </m:ctrlPr>
                              </m:dPr>
                              <m:e>
                                <m:r>
                                  <m:rPr/>
                                  <w:rPr>
                                    <w:rFonts w:hint="default" w:ascii="DejaVu Math TeX Gyre" w:hAnsi="DejaVu Math TeX Gyre"/>
                                    <w:lang w:val="en-US"/>
                                  </w:rPr>
                                  <m:t>t</m:t>
                                </m:r>
                                <m:ctrlPr>
                                  <w:rPr>
                                    <w:rFonts w:hint="default" w:ascii="DejaVu Math TeX Gyre" w:hAnsi="DejaVu Math TeX Gyre"/>
                                    <w:i/>
                                    <w:lang w:val="en-US"/>
                                  </w:rPr>
                                </m:ctrlPr>
                              </m:e>
                            </m:d>
                            <m:ctrlPr>
                              <w:rPr>
                                <w:rFonts w:hint="default" w:ascii="DejaVu Math TeX Gyre" w:hAnsi="DejaVu Math TeX Gyre"/>
                                <w:i/>
                                <w:lang w:val="en-US"/>
                              </w:rPr>
                            </m:ctrlPr>
                          </m:sup>
                        </m:sSup>
                        <m:ctrlPr>
                          <w:rPr>
                            <w:rFonts w:hint="default" w:ascii="DejaVu Math TeX Gyre" w:hAnsi="DejaVu Math TeX Gyre" w:cs="DejaVu Math TeX Gyre"/>
                            <w:i/>
                            <w:lang w:val="en-US"/>
                          </w:rPr>
                        </m:ctrlPr>
                      </m:e>
                    </m:d>
                    <m:r>
                      <m:rPr/>
                      <w:rPr>
                        <w:rFonts w:ascii="DejaVu Math TeX Gyre" w:hAnsi="DejaVu Math TeX Gyre" w:cs="DejaVu Math TeX Gyre"/>
                        <w:lang w:val="en-US"/>
                      </w:rPr>
                      <m:t>+</m:t>
                    </m:r>
                    <m:nary>
                      <m:naryPr>
                        <m:chr m:val="∑"/>
                        <m:limLoc m:val="subSup"/>
                        <m:ctrlPr>
                          <w:rPr>
                            <w:rFonts w:ascii="DejaVu Math TeX Gyre" w:hAnsi="DejaVu Math TeX Gyre" w:cs="DejaVu Math TeX Gyre"/>
                            <w:i/>
                            <w:lang w:val="en-US"/>
                          </w:rPr>
                        </m:ctrlPr>
                      </m:naryPr>
                      <m:sub>
                        <m:r>
                          <m:rPr/>
                          <w:rPr>
                            <w:rFonts w:hint="default" w:ascii="DejaVu Math TeX Gyre" w:hAnsi="DejaVu Math TeX Gyre" w:cs="DejaVu Math TeX Gyre"/>
                            <w:lang w:val="en-US"/>
                          </w:rPr>
                          <m:t>k</m:t>
                        </m:r>
                        <m:r>
                          <m:rPr/>
                          <w:rPr>
                            <w:rFonts w:ascii="DejaVu Math TeX Gyre" w:hAnsi="DejaVu Math TeX Gyre" w:cs="DejaVu Math TeX Gyre"/>
                            <w:lang w:val="en-US"/>
                          </w:rPr>
                          <m:t>=</m:t>
                        </m:r>
                        <m:r>
                          <m:rPr/>
                          <w:rPr>
                            <w:rFonts w:hint="default" w:ascii="DejaVu Math TeX Gyre" w:hAnsi="DejaVu Math TeX Gyre" w:cs="DejaVu Math TeX Gyre"/>
                            <w:lang w:val="en-US"/>
                          </w:rPr>
                          <m:t>1</m:t>
                        </m:r>
                        <m:ctrlPr>
                          <w:rPr>
                            <w:rFonts w:ascii="DejaVu Math TeX Gyre" w:hAnsi="DejaVu Math TeX Gyre" w:cs="DejaVu Math TeX Gyre"/>
                            <w:i/>
                            <w:lang w:val="en-US"/>
                          </w:rPr>
                        </m:ctrlPr>
                      </m:sub>
                      <m:sup>
                        <m:r>
                          <m:rPr/>
                          <w:rPr>
                            <w:rFonts w:hint="default" w:ascii="DejaVu Math TeX Gyre" w:hAnsi="DejaVu Math TeX Gyre" w:cs="DejaVu Math TeX Gyre"/>
                            <w:lang w:val="en-US"/>
                          </w:rPr>
                          <m:t>t</m:t>
                        </m:r>
                        <m:ctrlPr>
                          <w:rPr>
                            <w:rFonts w:ascii="DejaVu Math TeX Gyre" w:hAnsi="DejaVu Math TeX Gyre" w:cs="DejaVu Math TeX Gyre"/>
                            <w:i/>
                            <w:lang w:val="en-US"/>
                          </w:rPr>
                        </m:ctrlPr>
                      </m:sup>
                      <m:e>
                        <m:r>
                          <m:rPr/>
                          <w:rPr>
                            <w:rFonts w:ascii="DejaVu Math TeX Gyre" w:hAnsi="DejaVu Math TeX Gyre" w:cs="DejaVu Math TeX Gyre"/>
                            <w:lang w:val="en-US"/>
                          </w:rPr>
                          <m:t>Ω</m:t>
                        </m:r>
                        <m:d>
                          <m:dPr>
                            <m:ctrlPr>
                              <w:rPr>
                                <w:rFonts w:ascii="DejaVu Math TeX Gyre" w:hAnsi="DejaVu Math TeX Gyre" w:cs="DejaVu Math TeX Gyre"/>
                                <w:i/>
                                <w:lang w:val="en-US"/>
                              </w:rPr>
                            </m:ctrlPr>
                          </m:dPr>
                          <m:e>
                            <m:sSub>
                              <m:sSubPr>
                                <m:ctrlPr>
                                  <w:rPr>
                                    <w:rFonts w:ascii="DejaVu Math TeX Gyre" w:hAnsi="DejaVu Math TeX Gyre" w:cs="DejaVu Math TeX Gyre"/>
                                    <w:i/>
                                    <w:lang w:val="en-US"/>
                                  </w:rPr>
                                </m:ctrlPr>
                              </m:sSubPr>
                              <m:e>
                                <m:r>
                                  <m:rPr/>
                                  <w:rPr>
                                    <w:rFonts w:hint="default" w:ascii="DejaVu Math TeX Gyre" w:hAnsi="DejaVu Math TeX Gyre" w:cs="DejaVu Math TeX Gyre"/>
                                    <w:lang w:val="en-US"/>
                                  </w:rPr>
                                  <m:t>f</m:t>
                                </m:r>
                                <m:ctrlPr>
                                  <w:rPr>
                                    <w:rFonts w:ascii="DejaVu Math TeX Gyre" w:hAnsi="DejaVu Math TeX Gyre" w:cs="DejaVu Math TeX Gyre"/>
                                    <w:i/>
                                    <w:lang w:val="en-US"/>
                                  </w:rPr>
                                </m:ctrlPr>
                              </m:e>
                              <m:sub>
                                <m:r>
                                  <m:rPr/>
                                  <w:rPr>
                                    <w:rFonts w:hint="default" w:ascii="DejaVu Math TeX Gyre" w:hAnsi="DejaVu Math TeX Gyre" w:cs="DejaVu Math TeX Gyre"/>
                                    <w:lang w:val="en-US"/>
                                  </w:rPr>
                                  <m:t>k</m:t>
                                </m:r>
                                <m:ctrlPr>
                                  <w:rPr>
                                    <w:rFonts w:ascii="DejaVu Math TeX Gyre" w:hAnsi="DejaVu Math TeX Gyre" w:cs="DejaVu Math TeX Gyre"/>
                                    <w:i/>
                                    <w:lang w:val="en-US"/>
                                  </w:rPr>
                                </m:ctrlPr>
                              </m:sub>
                            </m:sSub>
                            <m:ctrlPr>
                              <w:rPr>
                                <w:rFonts w:ascii="DejaVu Math TeX Gyre" w:hAnsi="DejaVu Math TeX Gyre" w:cs="DejaVu Math TeX Gyre"/>
                                <w:i/>
                                <w:lang w:val="en-US"/>
                              </w:rPr>
                            </m:ctrlPr>
                          </m:e>
                        </m:d>
                        <m:ctrlPr>
                          <w:rPr>
                            <w:rFonts w:ascii="DejaVu Math TeX Gyre" w:hAnsi="DejaVu Math TeX Gyre" w:cs="DejaVu Math TeX Gyre"/>
                            <w:i/>
                            <w:lang w:val="en-US"/>
                          </w:rPr>
                        </m:ctrlPr>
                      </m:e>
                    </m:nary>
                    <m:ctrlPr>
                      <w:rPr>
                        <w:rFonts w:hint="default" w:ascii="DejaVu Math TeX Gyre" w:hAnsi="DejaVu Math TeX Gyre" w:cs="DejaVu Math TeX Gyre"/>
                        <w:i/>
                      </w:rPr>
                    </m:ctrlPr>
                  </m:e>
                </m:nary>
              </m:oMath>
            </m:oMathPara>
          </w:p>
          <w:p w14:paraId="56E697BB">
            <w:pPr>
              <w:numPr>
                <w:ilvl w:val="0"/>
                <w:numId w:val="0"/>
              </w:numPr>
              <w:ind w:firstLine="420" w:firstLineChars="200"/>
              <w:jc w:val="both"/>
              <w:rPr>
                <w:rFonts w:hint="eastAsia"/>
              </w:rPr>
            </w:pPr>
            <w:r>
              <w:rPr>
                <w:rFonts w:hint="eastAsia"/>
              </w:rPr>
              <w:t>其中</w:t>
            </w:r>
            <m:oMath>
              <m:r>
                <m:rPr/>
                <w:rPr>
                  <w:rFonts w:hint="default" w:ascii="DejaVu Math TeX Gyre" w:hAnsi="DejaVu Math TeX Gyre"/>
                  <w:lang w:val="en-US"/>
                </w:rPr>
                <m:t>t</m:t>
              </m:r>
            </m:oMath>
            <w:r>
              <w:rPr>
                <w:rFonts w:hint="eastAsia"/>
                <w:lang w:val="en-US" w:eastAsia="zh-CN"/>
              </w:rPr>
              <w:t>为第</w:t>
            </w:r>
            <m:oMath>
              <m:r>
                <m:rPr/>
                <w:rPr>
                  <w:rFonts w:hint="default" w:ascii="DejaVu Math TeX Gyre" w:hAnsi="DejaVu Math TeX Gyre"/>
                  <w:lang w:val="en-US"/>
                </w:rPr>
                <m:t>t</m:t>
              </m:r>
            </m:oMath>
            <w:r>
              <w:rPr>
                <w:rFonts w:hint="eastAsia"/>
                <w:lang w:val="en-US" w:eastAsia="zh-CN"/>
              </w:rPr>
              <w:t>轮迭代，</w:t>
            </w:r>
            <m:oMath>
              <m:r>
                <m:rPr/>
                <w:rPr>
                  <w:rFonts w:hint="default" w:ascii="DejaVu Math TeX Gyre" w:hAnsi="DejaVu Math TeX Gyre" w:cs="DejaVu Math TeX Gyre"/>
                  <w:lang w:val="en-US"/>
                </w:rPr>
                <m:t>L</m:t>
              </m:r>
            </m:oMath>
            <w:r>
              <w:rPr>
                <w:rFonts w:hint="eastAsia"/>
              </w:rPr>
              <w:t>为损失函数，</w:t>
            </w:r>
            <m:oMath>
              <m:r>
                <m:rPr/>
                <w:rPr>
                  <w:rFonts w:ascii="DejaVu Math TeX Gyre" w:hAnsi="DejaVu Math TeX Gyre" w:cs="DejaVu Math TeX Gyre"/>
                  <w:lang w:val="en-US"/>
                </w:rPr>
                <m:t>Ω</m:t>
              </m:r>
            </m:oMath>
            <w:r>
              <w:rPr>
                <w:rFonts w:hint="eastAsia"/>
              </w:rPr>
              <w:t>为正则化项，</w:t>
            </w:r>
            <m:oMath>
              <m:r>
                <m:rPr/>
                <w:rPr>
                  <w:rFonts w:hint="default" w:ascii="DejaVu Math TeX Gyre" w:hAnsi="DejaVu Math TeX Gyre" w:cs="DejaVu Math TeX Gyre"/>
                  <w:lang w:val="en-US"/>
                </w:rPr>
                <m:t>f</m:t>
              </m:r>
            </m:oMath>
            <w:r>
              <w:rPr>
                <w:rFonts w:hint="eastAsia"/>
              </w:rPr>
              <w:t>为第</w:t>
            </w:r>
            <m:oMath>
              <m:r>
                <m:rPr/>
                <w:rPr>
                  <w:rFonts w:hint="default" w:ascii="DejaVu Math TeX Gyre" w:hAnsi="DejaVu Math TeX Gyre" w:cs="DejaVu Math TeX Gyre"/>
                  <w:lang w:val="en-US"/>
                </w:rPr>
                <m:t>k</m:t>
              </m:r>
            </m:oMath>
            <w:r>
              <w:rPr>
                <w:rFonts w:hint="eastAsia"/>
              </w:rPr>
              <w:t>棵决策树。</w:t>
            </w:r>
          </w:p>
          <w:p w14:paraId="50D2A670">
            <w:pPr>
              <w:numPr>
                <w:ilvl w:val="0"/>
                <w:numId w:val="0"/>
              </w:numPr>
              <w:ind w:firstLine="420" w:firstLineChars="200"/>
              <w:jc w:val="both"/>
              <w:rPr>
                <w:rFonts w:hint="eastAsia"/>
              </w:rPr>
            </w:pPr>
            <w:r>
              <w:rPr>
                <w:rFonts w:hint="eastAsia"/>
              </w:rPr>
              <w:t>LightGBM在传统GBDT基础上引入了两项关键创新：（1）基于直方图的决策树算法：将连续特征值离散化为直方图，大幅减少计算量与内存占用；（2）带深度限制的叶子生长策略：按叶子生长而非按层生长，在相同叶子数下精度更高，同时通过深度限制防止过拟合。</w:t>
            </w:r>
          </w:p>
          <w:p w14:paraId="6CC618DD">
            <w:pPr>
              <w:numPr>
                <w:ilvl w:val="0"/>
                <w:numId w:val="0"/>
              </w:numPr>
              <w:ind w:firstLine="420" w:firstLineChars="200"/>
              <w:jc w:val="both"/>
              <w:rPr>
                <w:rFonts w:hint="eastAsia"/>
              </w:rPr>
            </w:pPr>
            <w:r>
              <w:rPr>
                <w:rFonts w:hint="eastAsia"/>
              </w:rPr>
              <w:t>模型主要超参数设置：树的数量400棵，学习率0.05，最大叶子数63，最大深度8，特征采样比例0.8，样本采样比例0.8，L2正则化系数0.1。采用早停策略，验证集损失连续50轮不下降则停止训练，防止过拟合。</w:t>
            </w:r>
          </w:p>
          <w:p w14:paraId="7CA0CD63">
            <w:pPr>
              <w:numPr>
                <w:ilvl w:val="0"/>
                <w:numId w:val="0"/>
              </w:numPr>
              <w:ind w:firstLine="420" w:firstLineChars="200"/>
              <w:jc w:val="both"/>
              <w:rPr>
                <w:rFonts w:hint="eastAsia"/>
              </w:rPr>
            </w:pPr>
            <w:r>
              <w:rPr>
                <w:rFonts w:hint="eastAsia"/>
              </w:rPr>
              <w:t>选择LightGBM作为主模型的原因：（1）对多尺度滞后特征、非线性阈值关系（如泵站启停）拟合能力强；（2）训练速度快（秒级），利于比赛迭代与工程部署；（3）可输出特征重要性，具有良好的可解释性；（4）对缺失值、异常值鲁棒性好，适合工程场景。</w:t>
            </w:r>
          </w:p>
          <w:p w14:paraId="4053052D">
            <w:pPr>
              <w:numPr>
                <w:ilvl w:val="0"/>
                <w:numId w:val="0"/>
              </w:numPr>
              <w:jc w:val="both"/>
              <w:rPr>
                <w:rFonts w:hint="default" w:eastAsia="宋体"/>
                <w:b/>
                <w:bCs/>
                <w:lang w:val="en-US" w:eastAsia="zh-CN"/>
              </w:rPr>
            </w:pPr>
            <w:r>
              <w:rPr>
                <w:rFonts w:hint="eastAsia" w:eastAsia="宋体"/>
                <w:b/>
                <w:bCs/>
                <w:lang w:val="en-US" w:eastAsia="zh-CN"/>
              </w:rPr>
              <w:t>1.2概率预测与分位数损失函数</w:t>
            </w:r>
          </w:p>
          <w:p w14:paraId="626FF2D1">
            <w:pPr>
              <w:numPr>
                <w:ilvl w:val="0"/>
                <w:numId w:val="0"/>
              </w:numPr>
              <w:ind w:firstLine="420" w:firstLineChars="200"/>
              <w:jc w:val="both"/>
              <w:rPr>
                <w:rFonts w:hint="eastAsia"/>
              </w:rPr>
            </w:pPr>
            <w:r>
              <w:rPr>
                <w:rFonts w:hint="eastAsia"/>
              </w:rPr>
              <w:t>传统确定性预测只能给出单点预测值，无法表征预测结果的不确定性，而调控决策往往需要考虑风险。为此，本研究引入LightGBM分位数回归实现概率预测，输出P10–P90预测区间。</w:t>
            </w:r>
          </w:p>
          <w:p w14:paraId="1FE5C478">
            <w:pPr>
              <w:numPr>
                <w:ilvl w:val="0"/>
                <w:numId w:val="0"/>
              </w:numPr>
              <w:ind w:firstLine="420" w:firstLineChars="200"/>
              <w:jc w:val="both"/>
              <w:rPr>
                <w:rFonts w:hint="eastAsia"/>
              </w:rPr>
            </w:pPr>
            <w:r>
              <w:rPr>
                <w:rFonts w:hint="eastAsia"/>
              </w:rPr>
              <w:t>分位数回归的核心是采用弹球损失（Pinball Loss）作为损失函数：</w:t>
            </w:r>
          </w:p>
          <w:p w14:paraId="7537A286">
            <w:pPr>
              <w:numPr>
                <w:ilvl w:val="0"/>
                <w:numId w:val="0"/>
              </w:numPr>
              <w:ind w:firstLine="420" w:firstLineChars="200"/>
              <w:rPr>
                <w:rFonts w:hint="eastAsia"/>
              </w:rPr>
            </w:pPr>
            <m:oMathPara>
              <m:oMath>
                <m:sSub>
                  <m:sSubPr>
                    <m:ctrlPr>
                      <w:rPr>
                        <w:rFonts w:ascii="DejaVu Math TeX Gyre" w:hAnsi="DejaVu Math TeX Gyre"/>
                        <w:i/>
                      </w:rPr>
                    </m:ctrlPr>
                  </m:sSubPr>
                  <m:e>
                    <m:r>
                      <m:rPr/>
                      <w:rPr>
                        <w:rFonts w:hint="default" w:ascii="DejaVu Math TeX Gyre" w:hAnsi="DejaVu Math TeX Gyre"/>
                        <w:lang w:val="en-US"/>
                      </w:rPr>
                      <m:t>L</m:t>
                    </m:r>
                    <m:ctrlPr>
                      <w:rPr>
                        <w:rFonts w:ascii="DejaVu Math TeX Gyre" w:hAnsi="DejaVu Math TeX Gyre"/>
                        <w:i/>
                      </w:rPr>
                    </m:ctrlPr>
                  </m:e>
                  <m:sub>
                    <m:r>
                      <m:rPr/>
                      <w:rPr>
                        <w:rFonts w:ascii="DejaVu Math TeX Gyre" w:hAnsi="DejaVu Math TeX Gyre"/>
                      </w:rPr>
                      <m:t>τ</m:t>
                    </m:r>
                    <m:ctrlPr>
                      <w:rPr>
                        <w:rFonts w:ascii="DejaVu Math TeX Gyre" w:hAnsi="DejaVu Math TeX Gyre"/>
                        <w:i/>
                      </w:rPr>
                    </m:ctrlPr>
                  </m:sub>
                </m:sSub>
                <m:d>
                  <m:dPr>
                    <m:ctrlPr>
                      <w:rPr>
                        <w:rFonts w:ascii="DejaVu Math TeX Gyre" w:hAnsi="DejaVu Math TeX Gyre"/>
                        <w:i/>
                      </w:rPr>
                    </m:ctrlPr>
                  </m:dPr>
                  <m:e>
                    <m:r>
                      <m:rPr/>
                      <w:rPr>
                        <w:rFonts w:hint="default" w:ascii="DejaVu Math TeX Gyre" w:hAnsi="DejaVu Math TeX Gyre"/>
                        <w:lang w:val="en-US"/>
                      </w:rPr>
                      <m:t>y,</m:t>
                    </m:r>
                    <m:acc>
                      <m:accPr>
                        <m:ctrlPr>
                          <w:rPr>
                            <w:rFonts w:hint="default" w:ascii="DejaVu Math TeX Gyre" w:hAnsi="DejaVu Math TeX Gyre"/>
                            <w:i/>
                            <w:lang w:val="en-US"/>
                          </w:rPr>
                        </m:ctrlPr>
                      </m:accPr>
                      <m:e>
                        <m:r>
                          <m:rPr/>
                          <w:rPr>
                            <w:rFonts w:hint="default" w:ascii="DejaVu Math TeX Gyre" w:hAnsi="DejaVu Math TeX Gyre"/>
                            <w:lang w:val="en-US"/>
                          </w:rPr>
                          <m:t>y</m:t>
                        </m:r>
                        <m:ctrlPr>
                          <w:rPr>
                            <w:rFonts w:hint="default" w:ascii="DejaVu Math TeX Gyre" w:hAnsi="DejaVu Math TeX Gyre"/>
                            <w:i/>
                            <w:lang w:val="en-US"/>
                          </w:rPr>
                        </m:ctrlPr>
                      </m:e>
                    </m:acc>
                    <m:ctrlPr>
                      <w:rPr>
                        <w:rFonts w:ascii="DejaVu Math TeX Gyre" w:hAnsi="DejaVu Math TeX Gyre"/>
                        <w:i/>
                      </w:rPr>
                    </m:ctrlPr>
                  </m:e>
                </m:d>
                <m:r>
                  <m:rPr/>
                  <w:rPr>
                    <w:rFonts w:hint="default" w:ascii="DejaVu Math TeX Gyre" w:hAnsi="DejaVu Math TeX Gyre" w:cs="DejaVu Math TeX Gyre"/>
                  </w:rPr>
                  <m:t>=</m:t>
                </m:r>
                <m:d>
                  <m:dPr>
                    <m:begChr m:val="{"/>
                    <m:endChr m:val=""/>
                    <m:ctrlPr>
                      <w:rPr>
                        <w:rFonts w:hint="default" w:ascii="DejaVu Math TeX Gyre" w:hAnsi="DejaVu Math TeX Gyre" w:cs="DejaVu Math TeX Gyre"/>
                        <w:i/>
                      </w:rPr>
                    </m:ctrlPr>
                  </m:dPr>
                  <m:e>
                    <m:eqArr>
                      <m:eqArrPr>
                        <m:ctrlPr>
                          <w:rPr>
                            <w:rFonts w:hint="default" w:ascii="DejaVu Math TeX Gyre" w:hAnsi="DejaVu Math TeX Gyre" w:cs="DejaVu Math TeX Gyre"/>
                            <w:i/>
                          </w:rPr>
                        </m:ctrlPr>
                      </m:eqArrPr>
                      <m:e>
                        <m:r>
                          <m:rPr/>
                          <w:rPr>
                            <w:rFonts w:ascii="DejaVu Math TeX Gyre" w:hAnsi="DejaVu Math TeX Gyre" w:cs="DejaVu Math TeX Gyre"/>
                          </w:rPr>
                          <m:t>τ</m:t>
                        </m:r>
                        <m:d>
                          <m:dPr>
                            <m:ctrlPr>
                              <w:rPr>
                                <w:rFonts w:ascii="DejaVu Math TeX Gyre" w:hAnsi="DejaVu Math TeX Gyre"/>
                                <w:i/>
                              </w:rPr>
                            </m:ctrlPr>
                          </m:dPr>
                          <m:e>
                            <m:r>
                              <m:rPr/>
                              <w:rPr>
                                <w:rFonts w:hint="default" w:ascii="DejaVu Math TeX Gyre" w:hAnsi="DejaVu Math TeX Gyre"/>
                                <w:lang w:val="en-US"/>
                              </w:rPr>
                              <m:t>y</m:t>
                            </m:r>
                            <m:r>
                              <m:rPr/>
                              <w:rPr>
                                <w:rFonts w:ascii="DejaVu Math TeX Gyre" w:hAnsi="DejaVu Math TeX Gyre"/>
                                <w:lang w:val="en-US"/>
                              </w:rPr>
                              <m:t>−</m:t>
                            </m:r>
                            <m:acc>
                              <m:accPr>
                                <m:ctrlPr>
                                  <w:rPr>
                                    <w:rFonts w:hint="default" w:ascii="DejaVu Math TeX Gyre" w:hAnsi="DejaVu Math TeX Gyre"/>
                                    <w:i/>
                                    <w:lang w:val="en-US"/>
                                  </w:rPr>
                                </m:ctrlPr>
                              </m:accPr>
                              <m:e>
                                <m:r>
                                  <m:rPr/>
                                  <w:rPr>
                                    <w:rFonts w:hint="default" w:ascii="DejaVu Math TeX Gyre" w:hAnsi="DejaVu Math TeX Gyre"/>
                                    <w:lang w:val="en-US"/>
                                  </w:rPr>
                                  <m:t>y</m:t>
                                </m:r>
                                <m:ctrlPr>
                                  <w:rPr>
                                    <w:rFonts w:hint="default" w:ascii="DejaVu Math TeX Gyre" w:hAnsi="DejaVu Math TeX Gyre"/>
                                    <w:i/>
                                    <w:lang w:val="en-US"/>
                                  </w:rPr>
                                </m:ctrlPr>
                              </m:e>
                            </m:acc>
                            <m:ctrlPr>
                              <w:rPr>
                                <w:rFonts w:ascii="DejaVu Math TeX Gyre" w:hAnsi="DejaVu Math TeX Gyre"/>
                                <w:i/>
                              </w:rPr>
                            </m:ctrlPr>
                          </m:e>
                        </m:d>
                        <m:ctrlPr>
                          <w:rPr>
                            <w:rFonts w:hint="default" w:ascii="DejaVu Math TeX Gyre" w:hAnsi="DejaVu Math TeX Gyre" w:cs="DejaVu Math TeX Gyre"/>
                            <w:i/>
                          </w:rPr>
                        </m:ctrlPr>
                      </m:e>
                      <m:e>
                        <m:d>
                          <m:dPr>
                            <m:ctrlPr>
                              <w:rPr>
                                <w:rFonts w:hint="default" w:ascii="DejaVu Math TeX Gyre" w:hAnsi="DejaVu Math TeX Gyre" w:cs="DejaVu Math TeX Gyre"/>
                                <w:i/>
                              </w:rPr>
                            </m:ctrlPr>
                          </m:dPr>
                          <m:e>
                            <m:r>
                              <m:rPr/>
                              <w:rPr>
                                <w:rFonts w:hint="default" w:ascii="DejaVu Math TeX Gyre" w:hAnsi="DejaVu Math TeX Gyre" w:cs="DejaVu Math TeX Gyre"/>
                                <w:lang w:val="en-US"/>
                              </w:rPr>
                              <m:t>1</m:t>
                            </m:r>
                            <m:r>
                              <m:rPr/>
                              <w:rPr>
                                <w:rFonts w:ascii="DejaVu Math TeX Gyre" w:hAnsi="DejaVu Math TeX Gyre" w:cs="DejaVu Math TeX Gyre"/>
                                <w:lang w:val="en-US"/>
                              </w:rPr>
                              <m:t>−τ</m:t>
                            </m:r>
                            <m:ctrlPr>
                              <w:rPr>
                                <w:rFonts w:hint="default" w:ascii="DejaVu Math TeX Gyre" w:hAnsi="DejaVu Math TeX Gyre" w:cs="DejaVu Math TeX Gyre"/>
                                <w:i/>
                              </w:rPr>
                            </m:ctrlPr>
                          </m:e>
                        </m:d>
                        <m:d>
                          <m:dPr>
                            <m:ctrlPr>
                              <w:rPr>
                                <w:rFonts w:ascii="DejaVu Math TeX Gyre" w:hAnsi="DejaVu Math TeX Gyre"/>
                                <w:i/>
                              </w:rPr>
                            </m:ctrlPr>
                          </m:dPr>
                          <m:e>
                            <m:acc>
                              <m:accPr>
                                <m:ctrlPr>
                                  <w:rPr>
                                    <w:rFonts w:hint="default" w:ascii="DejaVu Math TeX Gyre" w:hAnsi="DejaVu Math TeX Gyre"/>
                                    <w:i/>
                                    <w:lang w:val="en-US"/>
                                  </w:rPr>
                                </m:ctrlPr>
                              </m:accPr>
                              <m:e>
                                <m:r>
                                  <m:rPr/>
                                  <w:rPr>
                                    <w:rFonts w:hint="default" w:ascii="DejaVu Math TeX Gyre" w:hAnsi="DejaVu Math TeX Gyre"/>
                                    <w:lang w:val="en-US"/>
                                  </w:rPr>
                                  <m:t>y</m:t>
                                </m:r>
                                <m:ctrlPr>
                                  <w:rPr>
                                    <w:rFonts w:hint="default" w:ascii="DejaVu Math TeX Gyre" w:hAnsi="DejaVu Math TeX Gyre"/>
                                    <w:i/>
                                    <w:lang w:val="en-US"/>
                                  </w:rPr>
                                </m:ctrlPr>
                              </m:e>
                            </m:acc>
                            <m:r>
                              <m:rPr/>
                              <w:rPr>
                                <w:rFonts w:ascii="DejaVu Math TeX Gyre" w:hAnsi="DejaVu Math TeX Gyre"/>
                                <w:lang w:val="en-US"/>
                              </w:rPr>
                              <m:t>−</m:t>
                            </m:r>
                            <m:r>
                              <m:rPr/>
                              <w:rPr>
                                <w:rFonts w:hint="default" w:ascii="DejaVu Math TeX Gyre" w:hAnsi="DejaVu Math TeX Gyre"/>
                                <w:lang w:val="en-US"/>
                              </w:rPr>
                              <m:t>y</m:t>
                            </m:r>
                            <m:ctrlPr>
                              <w:rPr>
                                <w:rFonts w:ascii="DejaVu Math TeX Gyre" w:hAnsi="DejaVu Math TeX Gyre"/>
                                <w:i/>
                              </w:rPr>
                            </m:ctrlPr>
                          </m:e>
                        </m:d>
                        <m:ctrlPr>
                          <w:rPr>
                            <w:rFonts w:hint="default" w:ascii="DejaVu Math TeX Gyre" w:hAnsi="DejaVu Math TeX Gyre" w:cs="DejaVu Math TeX Gyre"/>
                            <w:i/>
                          </w:rPr>
                        </m:ctrlPr>
                      </m:e>
                    </m:eqArr>
                    <m:r>
                      <m:rPr/>
                      <w:rPr>
                        <w:rFonts w:hint="default" w:ascii="DejaVu Math TeX Gyre" w:hAnsi="DejaVu Math TeX Gyre" w:cs="DejaVu Math TeX Gyre"/>
                        <w:lang w:val="en-US"/>
                      </w:rPr>
                      <m:t xml:space="preserve">     </m:t>
                    </m:r>
                    <m:m>
                      <m:mPr>
                        <m:mcs>
                          <m:mc>
                            <m:mcPr>
                              <m:count m:val="1"/>
                              <m:mcJc m:val="center"/>
                            </m:mcPr>
                          </m:mc>
                        </m:mcs>
                        <m:ctrlPr>
                          <w:rPr>
                            <w:rFonts w:hint="default" w:ascii="DejaVu Math TeX Gyre" w:hAnsi="DejaVu Math TeX Gyre" w:cs="DejaVu Math TeX Gyre"/>
                            <w:i/>
                          </w:rPr>
                        </m:ctrlPr>
                      </m:mPr>
                      <m:mr>
                        <m:e>
                          <m:r>
                            <m:rPr/>
                            <w:rPr>
                              <w:rFonts w:hint="default" w:ascii="DejaVu Math TeX Gyre" w:hAnsi="DejaVu Math TeX Gyre"/>
                              <w:lang w:val="en-US"/>
                            </w:rPr>
                            <m:t>y</m:t>
                          </m:r>
                          <m:r>
                            <m:rPr/>
                            <w:rPr>
                              <w:rFonts w:ascii="DejaVu Math TeX Gyre" w:hAnsi="DejaVu Math TeX Gyre"/>
                              <w:lang w:val="en-US"/>
                            </w:rPr>
                            <m:t>≥</m:t>
                          </m:r>
                          <m:acc>
                            <m:accPr>
                              <m:ctrlPr>
                                <w:rPr>
                                  <w:rFonts w:hint="default" w:ascii="DejaVu Math TeX Gyre" w:hAnsi="DejaVu Math TeX Gyre"/>
                                  <w:i/>
                                  <w:lang w:val="en-US"/>
                                </w:rPr>
                              </m:ctrlPr>
                            </m:accPr>
                            <m:e>
                              <m:r>
                                <m:rPr/>
                                <w:rPr>
                                  <w:rFonts w:hint="default" w:ascii="DejaVu Math TeX Gyre" w:hAnsi="DejaVu Math TeX Gyre"/>
                                  <w:lang w:val="en-US"/>
                                </w:rPr>
                                <m:t>y</m:t>
                              </m:r>
                              <m:ctrlPr>
                                <w:rPr>
                                  <w:rFonts w:hint="default" w:ascii="DejaVu Math TeX Gyre" w:hAnsi="DejaVu Math TeX Gyre"/>
                                  <w:i/>
                                  <w:lang w:val="en-US"/>
                                </w:rPr>
                              </m:ctrlPr>
                            </m:e>
                          </m:acc>
                          <m:ctrlPr>
                            <w:rPr>
                              <w:rFonts w:hint="default" w:ascii="DejaVu Math TeX Gyre" w:hAnsi="DejaVu Math TeX Gyre" w:cs="DejaVu Math TeX Gyre"/>
                              <w:i/>
                            </w:rPr>
                          </m:ctrlPr>
                        </m:e>
                      </m:mr>
                      <m:mr>
                        <m:e>
                          <m:r>
                            <m:rPr/>
                            <w:rPr>
                              <w:rFonts w:hint="default" w:ascii="DejaVu Math TeX Gyre" w:hAnsi="DejaVu Math TeX Gyre"/>
                              <w:lang w:val="en-US"/>
                            </w:rPr>
                            <m:t>y</m:t>
                          </m:r>
                          <m:r>
                            <m:rPr/>
                            <w:rPr>
                              <w:rFonts w:ascii="DejaVu Math TeX Gyre" w:hAnsi="DejaVu Math TeX Gyre"/>
                              <w:lang w:val="en-US"/>
                            </w:rPr>
                            <m:t>&lt;</m:t>
                          </m:r>
                          <m:acc>
                            <m:accPr>
                              <m:ctrlPr>
                                <w:rPr>
                                  <w:rFonts w:hint="default" w:ascii="DejaVu Math TeX Gyre" w:hAnsi="DejaVu Math TeX Gyre"/>
                                  <w:i/>
                                  <w:lang w:val="en-US"/>
                                </w:rPr>
                              </m:ctrlPr>
                            </m:accPr>
                            <m:e>
                              <m:r>
                                <m:rPr/>
                                <w:rPr>
                                  <w:rFonts w:hint="default" w:ascii="DejaVu Math TeX Gyre" w:hAnsi="DejaVu Math TeX Gyre"/>
                                  <w:lang w:val="en-US"/>
                                </w:rPr>
                                <m:t>y</m:t>
                              </m:r>
                              <m:ctrlPr>
                                <w:rPr>
                                  <w:rFonts w:hint="default" w:ascii="DejaVu Math TeX Gyre" w:hAnsi="DejaVu Math TeX Gyre"/>
                                  <w:i/>
                                  <w:lang w:val="en-US"/>
                                </w:rPr>
                              </m:ctrlPr>
                            </m:e>
                          </m:acc>
                          <m:ctrlPr>
                            <w:rPr>
                              <w:rFonts w:hint="default" w:ascii="DejaVu Math TeX Gyre" w:hAnsi="DejaVu Math TeX Gyre" w:cs="DejaVu Math TeX Gyre"/>
                              <w:i/>
                            </w:rPr>
                          </m:ctrlPr>
                        </m:e>
                      </m:mr>
                    </m:m>
                    <m:ctrlPr>
                      <w:rPr>
                        <w:rFonts w:hint="default" w:ascii="DejaVu Math TeX Gyre" w:hAnsi="DejaVu Math TeX Gyre" w:cs="DejaVu Math TeX Gyre"/>
                        <w:i/>
                      </w:rPr>
                    </m:ctrlPr>
                  </m:e>
                </m:d>
              </m:oMath>
            </m:oMathPara>
          </w:p>
          <w:p w14:paraId="057F564F">
            <w:pPr>
              <w:numPr>
                <w:ilvl w:val="0"/>
                <w:numId w:val="0"/>
              </w:numPr>
              <w:ind w:firstLine="420" w:firstLineChars="200"/>
              <w:rPr>
                <w:rFonts w:hint="eastAsia" w:eastAsia="宋体"/>
                <w:lang w:val="en-US" w:eastAsia="zh-CN"/>
              </w:rPr>
            </w:pPr>
            <w:r>
              <w:rPr>
                <w:rFonts w:hint="eastAsia"/>
                <w:lang w:val="en-US" w:eastAsia="zh-CN"/>
              </w:rPr>
              <w:t>式中：</w:t>
            </w:r>
            <m:oMath>
              <m:r>
                <m:rPr/>
                <w:rPr>
                  <w:rFonts w:ascii="DejaVu Math TeX Gyre" w:hAnsi="DejaVu Math TeX Gyre"/>
                </w:rPr>
                <m:t>τ</m:t>
              </m:r>
            </m:oMath>
            <w:r>
              <w:rPr>
                <w:rFonts w:hint="eastAsia" w:hAnsi="DejaVu Math TeX Gyre"/>
                <w:i w:val="0"/>
              </w:rPr>
              <w:t>取 0.1、0.9 代表上下分位数</w:t>
            </w:r>
            <w:r>
              <w:rPr>
                <w:rFonts w:hint="eastAsia" w:hAnsi="DejaVu Math TeX Gyre"/>
                <w:i w:val="0"/>
                <w:lang w:eastAsia="zh-CN"/>
              </w:rPr>
              <w:t>，</w:t>
            </w:r>
            <w:r>
              <w:rPr>
                <w:rFonts w:hint="eastAsia" w:hAnsi="DejaVu Math TeX Gyre"/>
                <w:i w:val="0"/>
                <w:lang w:val="en-US" w:eastAsia="zh-CN"/>
              </w:rPr>
              <w:t>构成80%置信区间</w:t>
            </w:r>
            <w:r>
              <w:rPr>
                <w:rFonts w:hint="eastAsia" w:hAnsi="DejaVu Math TeX Gyre"/>
                <w:i w:val="0"/>
              </w:rPr>
              <w:t>；</w:t>
            </w:r>
            <m:oMath>
              <m:r>
                <m:rPr/>
                <w:rPr>
                  <w:rFonts w:hint="default" w:ascii="DejaVu Math TeX Gyre" w:hAnsi="DejaVu Math TeX Gyre"/>
                  <w:lang w:val="en-US"/>
                </w:rPr>
                <m:t>y</m:t>
              </m:r>
            </m:oMath>
            <w:r>
              <w:rPr>
                <w:rFonts w:hint="eastAsia" w:hAnsi="DejaVu Math TeX Gyre"/>
                <w:i w:val="0"/>
                <w:lang w:val="en-US" w:eastAsia="zh-CN"/>
              </w:rPr>
              <w:t>代表真实监测值；</w:t>
            </w:r>
            <m:oMath>
              <m:acc>
                <m:accPr>
                  <m:ctrlPr>
                    <w:rPr>
                      <w:rFonts w:hint="default" w:ascii="DejaVu Math TeX Gyre" w:hAnsi="DejaVu Math TeX Gyre"/>
                      <w:i/>
                      <w:lang w:val="en-US"/>
                    </w:rPr>
                  </m:ctrlPr>
                </m:accPr>
                <m:e>
                  <m:r>
                    <m:rPr/>
                    <w:rPr>
                      <w:rFonts w:hint="default" w:ascii="DejaVu Math TeX Gyre" w:hAnsi="DejaVu Math TeX Gyre"/>
                      <w:lang w:val="en-US"/>
                    </w:rPr>
                    <m:t>y</m:t>
                  </m:r>
                  <m:ctrlPr>
                    <w:rPr>
                      <w:rFonts w:hint="default" w:ascii="DejaVu Math TeX Gyre" w:hAnsi="DejaVu Math TeX Gyre"/>
                      <w:i/>
                      <w:lang w:val="en-US"/>
                    </w:rPr>
                  </m:ctrlPr>
                </m:e>
              </m:acc>
            </m:oMath>
            <w:r>
              <w:rPr>
                <w:rFonts w:hint="eastAsia" w:hAnsi="DejaVu Math TeX Gyre"/>
                <w:i w:val="0"/>
                <w:lang w:val="en-US" w:eastAsia="zh-CN"/>
              </w:rPr>
              <w:t>代表分位数预测值。</w:t>
            </w:r>
          </w:p>
          <w:p w14:paraId="18DC58CB">
            <w:pPr>
              <w:numPr>
                <w:ilvl w:val="0"/>
                <w:numId w:val="0"/>
              </w:numPr>
              <w:ind w:firstLine="420" w:firstLineChars="200"/>
              <w:jc w:val="both"/>
              <w:rPr>
                <w:rFonts w:hint="eastAsia"/>
              </w:rPr>
            </w:pPr>
            <w:r>
              <w:rPr>
                <w:rFonts w:hint="eastAsia"/>
              </w:rPr>
              <w:t>概率预测的评价指标采用：（1）区间覆盖率（PICP）：真实值落在预测区间内的比例，理想情况下应等于名义置信水平；（2）平均区间宽度（PIW）：预测区间的平均宽度，越窄说明预测越精确。</w:t>
            </w:r>
          </w:p>
          <w:p w14:paraId="73B496A9">
            <w:pPr>
              <w:numPr>
                <w:ilvl w:val="0"/>
                <w:numId w:val="0"/>
              </w:numPr>
              <w:jc w:val="both"/>
              <w:rPr>
                <w:rFonts w:hint="default"/>
                <w:b/>
                <w:bCs/>
                <w:lang w:val="en-US" w:eastAsia="zh-CN"/>
              </w:rPr>
            </w:pPr>
            <w:r>
              <w:rPr>
                <w:rFonts w:hint="eastAsia"/>
                <w:b/>
                <w:bCs/>
                <w:lang w:val="en-US" w:eastAsia="zh-CN"/>
              </w:rPr>
              <w:t>1.3模型指标评价</w:t>
            </w:r>
          </w:p>
          <w:p w14:paraId="61315B1E">
            <w:pPr>
              <w:numPr>
                <w:ilvl w:val="0"/>
                <w:numId w:val="0"/>
              </w:numPr>
              <w:ind w:firstLine="420" w:firstLineChars="200"/>
              <w:jc w:val="both"/>
              <w:rPr>
                <w:rFonts w:hint="eastAsia"/>
              </w:rPr>
            </w:pPr>
            <w:r>
              <w:rPr>
                <w:rFonts w:hint="eastAsia"/>
              </w:rPr>
              <w:t>模型性能统一采用纳什效率系数（NSE）、平均绝对误差（MAE）、平均绝对百分比误差（MAPE）三项指标量化，计算公式如下：</w:t>
            </w:r>
          </w:p>
          <w:p w14:paraId="0F6E39F6">
            <w:pPr>
              <w:numPr>
                <w:ilvl w:val="0"/>
                <w:numId w:val="0"/>
              </w:numPr>
              <w:ind w:firstLine="420" w:firstLineChars="200"/>
              <w:jc w:val="center"/>
              <w:rPr>
                <w:rFonts w:hint="default" w:hAnsi="DejaVu Math TeX Gyre" w:cs="DejaVu Math TeX Gyre"/>
                <w:b w:val="0"/>
                <w:i w:val="0"/>
                <w:kern w:val="2"/>
                <w:sz w:val="21"/>
                <w:szCs w:val="24"/>
                <w:lang w:val="en-US" w:eastAsia="zh-CN" w:bidi="ar-SA"/>
              </w:rPr>
            </w:pPr>
            <m:oMathPara>
              <m:oMath>
                <m:r>
                  <m:rPr/>
                  <w:rPr>
                    <w:rFonts w:hint="eastAsia" w:ascii="DejaVu Math TeX Gyre" w:hAnsi="DejaVu Math TeX Gyre" w:cs="Times New Roman"/>
                    <w:kern w:val="2"/>
                    <w:sz w:val="21"/>
                    <w:szCs w:val="24"/>
                    <w:lang w:val="en-US" w:eastAsia="zh-CN" w:bidi="ar-SA"/>
                  </w:rPr>
                  <m:t>NSE</m:t>
                </m:r>
                <m:r>
                  <m:rPr/>
                  <w:rPr>
                    <w:rFonts w:hint="default" w:ascii="DejaVu Math TeX Gyre" w:hAnsi="DejaVu Math TeX Gyre" w:cs="DejaVu Math TeX Gyre"/>
                    <w:kern w:val="2"/>
                    <w:sz w:val="21"/>
                    <w:szCs w:val="24"/>
                    <w:lang w:val="en-US" w:eastAsia="zh-CN" w:bidi="ar-SA"/>
                  </w:rPr>
                  <m:t>=</m:t>
                </m:r>
                <m:r>
                  <m:rPr/>
                  <w:rPr>
                    <w:rFonts w:hint="default" w:ascii="DejaVu Math TeX Gyre" w:hAnsi="DejaVu Math TeX Gyre" w:cs="Times New Roman"/>
                    <w:kern w:val="2"/>
                    <w:sz w:val="21"/>
                    <w:szCs w:val="24"/>
                    <w:lang w:val="en-US" w:eastAsia="zh-CN" w:bidi="ar-SA"/>
                  </w:rPr>
                  <m:t>1</m:t>
                </m:r>
                <m:r>
                  <m:rPr/>
                  <w:rPr>
                    <w:rFonts w:hint="default" w:ascii="DejaVu Math TeX Gyre" w:hAnsi="DejaVu Math TeX Gyre" w:cs="DejaVu Math TeX Gyre"/>
                    <w:kern w:val="2"/>
                    <w:sz w:val="21"/>
                    <w:szCs w:val="24"/>
                    <w:lang w:val="en-US" w:eastAsia="zh-CN" w:bidi="ar-SA"/>
                  </w:rPr>
                  <m:t>−</m:t>
                </m:r>
                <m:f>
                  <m:fPr>
                    <m:ctrlPr>
                      <w:rPr>
                        <w:rFonts w:hint="default" w:ascii="DejaVu Math TeX Gyre" w:hAnsi="DejaVu Math TeX Gyre" w:cs="DejaVu Math TeX Gyre"/>
                        <w:b w:val="0"/>
                        <w:i/>
                        <w:kern w:val="2"/>
                        <w:sz w:val="21"/>
                        <w:szCs w:val="24"/>
                        <w:lang w:val="en-US" w:eastAsia="zh-CN" w:bidi="ar-SA"/>
                      </w:rPr>
                    </m:ctrlPr>
                  </m:fPr>
                  <m:num>
                    <m:nary>
                      <m:naryPr>
                        <m:chr m:val="∑"/>
                        <m:limLoc m:val="subSup"/>
                        <m:ctrlPr>
                          <w:rPr>
                            <w:rFonts w:hint="default" w:ascii="DejaVu Math TeX Gyre" w:hAnsi="DejaVu Math TeX Gyre" w:cs="DejaVu Math TeX Gyre"/>
                            <w:b w:val="0"/>
                            <w:i/>
                            <w:kern w:val="2"/>
                            <w:sz w:val="21"/>
                            <w:szCs w:val="24"/>
                            <w:lang w:val="en-US" w:eastAsia="zh-CN" w:bidi="ar-SA"/>
                          </w:rPr>
                        </m:ctrlPr>
                      </m:naryPr>
                      <m:sub>
                        <m:r>
                          <m:rPr/>
                          <w:rPr>
                            <w:rFonts w:hint="default" w:ascii="DejaVu Math TeX Gyre" w:hAnsi="DejaVu Math TeX Gyre" w:cs="DejaVu Math TeX Gyre"/>
                            <w:kern w:val="2"/>
                            <w:sz w:val="21"/>
                            <w:szCs w:val="24"/>
                            <w:lang w:val="en-US" w:eastAsia="zh-CN" w:bidi="ar-SA"/>
                          </w:rPr>
                          <m:t>i</m:t>
                        </m:r>
                        <m:r>
                          <m:rPr/>
                          <w:rPr>
                            <w:rFonts w:ascii="DejaVu Math TeX Gyre" w:hAnsi="DejaVu Math TeX Gyre" w:cs="DejaVu Math TeX Gyre"/>
                            <w:kern w:val="2"/>
                            <w:sz w:val="21"/>
                            <w:szCs w:val="24"/>
                            <w:lang w:val="en-US" w:bidi="ar-SA"/>
                          </w:rPr>
                          <m:t>=</m:t>
                        </m:r>
                        <m:r>
                          <m:rPr/>
                          <w:rPr>
                            <w:rFonts w:hint="default" w:ascii="DejaVu Math TeX Gyre" w:hAnsi="DejaVu Math TeX Gyre" w:cs="DejaVu Math TeX Gyre"/>
                            <w:kern w:val="2"/>
                            <w:sz w:val="21"/>
                            <w:szCs w:val="24"/>
                            <w:lang w:val="en-US" w:bidi="ar-SA"/>
                          </w:rPr>
                          <m:t>1</m:t>
                        </m:r>
                        <m:ctrlPr>
                          <w:rPr>
                            <w:rFonts w:hint="default" w:ascii="DejaVu Math TeX Gyre" w:hAnsi="DejaVu Math TeX Gyre" w:cs="DejaVu Math TeX Gyre"/>
                            <w:b w:val="0"/>
                            <w:i/>
                            <w:kern w:val="2"/>
                            <w:sz w:val="21"/>
                            <w:szCs w:val="24"/>
                            <w:lang w:val="en-US" w:eastAsia="zh-CN" w:bidi="ar-SA"/>
                          </w:rPr>
                        </m:ctrlPr>
                      </m:sub>
                      <m:sup>
                        <m:r>
                          <m:rPr/>
                          <w:rPr>
                            <w:rFonts w:hint="default" w:ascii="DejaVu Math TeX Gyre" w:hAnsi="DejaVu Math TeX Gyre" w:cs="DejaVu Math TeX Gyre"/>
                            <w:kern w:val="2"/>
                            <w:sz w:val="21"/>
                            <w:szCs w:val="24"/>
                            <w:lang w:val="en-US" w:eastAsia="zh-CN" w:bidi="ar-SA"/>
                          </w:rPr>
                          <m:t>n</m:t>
                        </m:r>
                        <m:ctrlPr>
                          <w:rPr>
                            <w:rFonts w:hint="default" w:ascii="DejaVu Math TeX Gyre" w:hAnsi="DejaVu Math TeX Gyre" w:cs="DejaVu Math TeX Gyre"/>
                            <w:b w:val="0"/>
                            <w:i/>
                            <w:kern w:val="2"/>
                            <w:sz w:val="21"/>
                            <w:szCs w:val="24"/>
                            <w:lang w:val="en-US" w:eastAsia="zh-CN" w:bidi="ar-SA"/>
                          </w:rPr>
                        </m:ctrlPr>
                      </m:sup>
                      <m:e>
                        <m:sSup>
                          <m:sSupPr>
                            <m:ctrlPr>
                              <w:rPr>
                                <w:rFonts w:hint="default" w:ascii="DejaVu Math TeX Gyre" w:hAnsi="DejaVu Math TeX Gyre" w:cs="DejaVu Math TeX Gyre"/>
                                <w:b w:val="0"/>
                                <w:i/>
                                <w:kern w:val="2"/>
                                <w:sz w:val="21"/>
                                <w:szCs w:val="24"/>
                                <w:lang w:val="en-US" w:eastAsia="zh-CN" w:bidi="ar-SA"/>
                              </w:rPr>
                            </m:ctrlPr>
                          </m:sSupPr>
                          <m:e>
                            <m:d>
                              <m:dPr>
                                <m:ctrlPr>
                                  <w:rPr>
                                    <w:rFonts w:ascii="DejaVu Math TeX Gyre" w:hAnsi="DejaVu Math TeX Gyre"/>
                                    <w:i/>
                                  </w:rPr>
                                </m:ctrlPr>
                              </m:dPr>
                              <m:e>
                                <m:sSub>
                                  <m:sSubPr>
                                    <m:ctrlPr>
                                      <w:rPr>
                                        <w:rFonts w:ascii="DejaVu Math TeX Gyre" w:hAnsi="DejaVu Math TeX Gyre"/>
                                        <w:i/>
                                      </w:rPr>
                                    </m:ctrlPr>
                                  </m:sSubPr>
                                  <m:e>
                                    <m:r>
                                      <m:rPr/>
                                      <w:rPr>
                                        <w:rFonts w:hint="default" w:ascii="DejaVu Math TeX Gyre" w:hAnsi="DejaVu Math TeX Gyre"/>
                                        <w:lang w:val="en-US"/>
                                      </w:rPr>
                                      <m:t>y</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ascii="DejaVu Math TeX Gyre" w:hAnsi="DejaVu Math TeX Gyre"/>
                                    <w:lang w:val="en-US"/>
                                  </w:rPr>
                                  <m:t>−</m:t>
                                </m:r>
                                <m:acc>
                                  <m:accPr>
                                    <m:ctrlPr>
                                      <w:rPr>
                                        <w:rFonts w:hint="default" w:ascii="DejaVu Math TeX Gyre" w:hAnsi="DejaVu Math TeX Gyre"/>
                                        <w:i/>
                                        <w:lang w:val="en-US"/>
                                      </w:rPr>
                                    </m:ctrlPr>
                                  </m:accPr>
                                  <m:e>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ctrlPr>
                                      <w:rPr>
                                        <w:rFonts w:hint="default" w:ascii="DejaVu Math TeX Gyre" w:hAnsi="DejaVu Math TeX Gyre"/>
                                        <w:i/>
                                        <w:lang w:val="en-US"/>
                                      </w:rPr>
                                    </m:ctrlPr>
                                  </m:e>
                                </m:acc>
                                <m:ctrlPr>
                                  <w:rPr>
                                    <w:rFonts w:ascii="DejaVu Math TeX Gyre" w:hAnsi="DejaVu Math TeX Gyre"/>
                                    <w:i/>
                                  </w:rPr>
                                </m:ctrlPr>
                              </m:e>
                            </m:d>
                            <m:ctrlPr>
                              <w:rPr>
                                <w:rFonts w:hint="default" w:ascii="DejaVu Math TeX Gyre" w:hAnsi="DejaVu Math TeX Gyre" w:cs="DejaVu Math TeX Gyre"/>
                                <w:b w:val="0"/>
                                <w:i/>
                                <w:kern w:val="2"/>
                                <w:sz w:val="21"/>
                                <w:szCs w:val="24"/>
                                <w:lang w:val="en-US" w:eastAsia="zh-CN" w:bidi="ar-SA"/>
                              </w:rPr>
                            </m:ctrlPr>
                          </m:e>
                          <m:sup>
                            <m:r>
                              <m:rPr/>
                              <w:rPr>
                                <w:rFonts w:hint="default" w:ascii="DejaVu Math TeX Gyre" w:hAnsi="DejaVu Math TeX Gyre" w:cs="DejaVu Math TeX Gyre"/>
                                <w:kern w:val="2"/>
                                <w:sz w:val="21"/>
                                <w:szCs w:val="24"/>
                                <w:lang w:val="en-US" w:eastAsia="zh-CN" w:bidi="ar-SA"/>
                              </w:rPr>
                              <m:t>2</m:t>
                            </m:r>
                            <m:ctrlPr>
                              <w:rPr>
                                <w:rFonts w:hint="default" w:ascii="DejaVu Math TeX Gyre" w:hAnsi="DejaVu Math TeX Gyre" w:cs="DejaVu Math TeX Gyre"/>
                                <w:b w:val="0"/>
                                <w:i/>
                                <w:kern w:val="2"/>
                                <w:sz w:val="21"/>
                                <w:szCs w:val="24"/>
                                <w:lang w:val="en-US" w:eastAsia="zh-CN" w:bidi="ar-SA"/>
                              </w:rPr>
                            </m:ctrlPr>
                          </m:sup>
                        </m:sSup>
                        <m:ctrlPr>
                          <w:rPr>
                            <w:rFonts w:hint="default" w:ascii="DejaVu Math TeX Gyre" w:hAnsi="DejaVu Math TeX Gyre" w:cs="DejaVu Math TeX Gyre"/>
                            <w:b w:val="0"/>
                            <w:i/>
                            <w:kern w:val="2"/>
                            <w:sz w:val="21"/>
                            <w:szCs w:val="24"/>
                            <w:lang w:val="en-US" w:eastAsia="zh-CN" w:bidi="ar-SA"/>
                          </w:rPr>
                        </m:ctrlPr>
                      </m:e>
                    </m:nary>
                    <m:ctrlPr>
                      <w:rPr>
                        <w:rFonts w:hint="default" w:ascii="DejaVu Math TeX Gyre" w:hAnsi="DejaVu Math TeX Gyre" w:cs="DejaVu Math TeX Gyre"/>
                        <w:b w:val="0"/>
                        <w:i/>
                        <w:kern w:val="2"/>
                        <w:sz w:val="21"/>
                        <w:szCs w:val="24"/>
                        <w:lang w:val="en-US" w:eastAsia="zh-CN" w:bidi="ar-SA"/>
                      </w:rPr>
                    </m:ctrlPr>
                  </m:num>
                  <m:den>
                    <m:nary>
                      <m:naryPr>
                        <m:chr m:val="∑"/>
                        <m:limLoc m:val="subSup"/>
                        <m:ctrlPr>
                          <w:rPr>
                            <w:rFonts w:hint="default" w:ascii="DejaVu Math TeX Gyre" w:hAnsi="DejaVu Math TeX Gyre" w:cs="DejaVu Math TeX Gyre"/>
                            <w:b w:val="0"/>
                            <w:i/>
                            <w:kern w:val="2"/>
                            <w:sz w:val="21"/>
                            <w:szCs w:val="24"/>
                            <w:lang w:val="en-US" w:eastAsia="zh-CN" w:bidi="ar-SA"/>
                          </w:rPr>
                        </m:ctrlPr>
                      </m:naryPr>
                      <m:sub>
                        <m:r>
                          <m:rPr/>
                          <w:rPr>
                            <w:rFonts w:hint="default" w:ascii="DejaVu Math TeX Gyre" w:hAnsi="DejaVu Math TeX Gyre" w:cs="DejaVu Math TeX Gyre"/>
                            <w:kern w:val="2"/>
                            <w:sz w:val="21"/>
                            <w:szCs w:val="24"/>
                            <w:lang w:val="en-US" w:eastAsia="zh-CN" w:bidi="ar-SA"/>
                          </w:rPr>
                          <m:t>i</m:t>
                        </m:r>
                        <m:r>
                          <m:rPr/>
                          <w:rPr>
                            <w:rFonts w:ascii="DejaVu Math TeX Gyre" w:hAnsi="DejaVu Math TeX Gyre" w:cs="DejaVu Math TeX Gyre"/>
                            <w:kern w:val="2"/>
                            <w:sz w:val="21"/>
                            <w:szCs w:val="24"/>
                            <w:lang w:val="en-US" w:bidi="ar-SA"/>
                          </w:rPr>
                          <m:t>=</m:t>
                        </m:r>
                        <m:r>
                          <m:rPr/>
                          <w:rPr>
                            <w:rFonts w:hint="default" w:ascii="DejaVu Math TeX Gyre" w:hAnsi="DejaVu Math TeX Gyre" w:cs="DejaVu Math TeX Gyre"/>
                            <w:kern w:val="2"/>
                            <w:sz w:val="21"/>
                            <w:szCs w:val="24"/>
                            <w:lang w:val="en-US" w:bidi="ar-SA"/>
                          </w:rPr>
                          <m:t>1</m:t>
                        </m:r>
                        <m:ctrlPr>
                          <w:rPr>
                            <w:rFonts w:hint="default" w:ascii="DejaVu Math TeX Gyre" w:hAnsi="DejaVu Math TeX Gyre" w:cs="DejaVu Math TeX Gyre"/>
                            <w:b w:val="0"/>
                            <w:i/>
                            <w:kern w:val="2"/>
                            <w:sz w:val="21"/>
                            <w:szCs w:val="24"/>
                            <w:lang w:val="en-US" w:eastAsia="zh-CN" w:bidi="ar-SA"/>
                          </w:rPr>
                        </m:ctrlPr>
                      </m:sub>
                      <m:sup>
                        <m:r>
                          <m:rPr/>
                          <w:rPr>
                            <w:rFonts w:hint="default" w:ascii="DejaVu Math TeX Gyre" w:hAnsi="DejaVu Math TeX Gyre" w:cs="DejaVu Math TeX Gyre"/>
                            <w:kern w:val="2"/>
                            <w:sz w:val="21"/>
                            <w:szCs w:val="24"/>
                            <w:lang w:val="en-US" w:eastAsia="zh-CN" w:bidi="ar-SA"/>
                          </w:rPr>
                          <m:t>n</m:t>
                        </m:r>
                        <m:ctrlPr>
                          <w:rPr>
                            <w:rFonts w:hint="default" w:ascii="DejaVu Math TeX Gyre" w:hAnsi="DejaVu Math TeX Gyre" w:cs="DejaVu Math TeX Gyre"/>
                            <w:b w:val="0"/>
                            <w:i/>
                            <w:kern w:val="2"/>
                            <w:sz w:val="21"/>
                            <w:szCs w:val="24"/>
                            <w:lang w:val="en-US" w:eastAsia="zh-CN" w:bidi="ar-SA"/>
                          </w:rPr>
                        </m:ctrlPr>
                      </m:sup>
                      <m:e>
                        <m:sSup>
                          <m:sSupPr>
                            <m:ctrlPr>
                              <w:rPr>
                                <w:rFonts w:hint="default" w:ascii="DejaVu Math TeX Gyre" w:hAnsi="DejaVu Math TeX Gyre" w:cs="DejaVu Math TeX Gyre"/>
                                <w:b w:val="0"/>
                                <w:i/>
                                <w:kern w:val="2"/>
                                <w:sz w:val="21"/>
                                <w:szCs w:val="24"/>
                                <w:lang w:val="en-US" w:eastAsia="zh-CN" w:bidi="ar-SA"/>
                              </w:rPr>
                            </m:ctrlPr>
                          </m:sSupPr>
                          <m:e>
                            <m:d>
                              <m:dPr>
                                <m:ctrlPr>
                                  <w:rPr>
                                    <w:rFonts w:ascii="DejaVu Math TeX Gyre" w:hAnsi="DejaVu Math TeX Gyre"/>
                                    <w:i/>
                                  </w:rPr>
                                </m:ctrlPr>
                              </m:dPr>
                              <m:e>
                                <m:sSub>
                                  <m:sSubPr>
                                    <m:ctrlPr>
                                      <w:rPr>
                                        <w:rFonts w:ascii="DejaVu Math TeX Gyre" w:hAnsi="DejaVu Math TeX Gyre"/>
                                        <w:i/>
                                      </w:rPr>
                                    </m:ctrlPr>
                                  </m:sSubPr>
                                  <m:e>
                                    <m:r>
                                      <m:rPr/>
                                      <w:rPr>
                                        <w:rFonts w:hint="default" w:ascii="DejaVu Math TeX Gyre" w:hAnsi="DejaVu Math TeX Gyre"/>
                                        <w:lang w:val="en-US"/>
                                      </w:rPr>
                                      <m:t>y</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ascii="DejaVu Math TeX Gyre" w:hAnsi="DejaVu Math TeX Gyre"/>
                                    <w:lang w:val="en-US"/>
                                  </w:rPr>
                                  <m:t>−</m:t>
                                </m:r>
                                <m:acc>
                                  <m:accPr>
                                    <m:chr m:val="̅"/>
                                    <m:ctrlPr>
                                      <w:rPr>
                                        <w:rFonts w:ascii="DejaVu Math TeX Gyre" w:hAnsi="DejaVu Math TeX Gyre"/>
                                        <w:i/>
                                        <w:lang w:val="en-US"/>
                                      </w:rPr>
                                    </m:ctrlPr>
                                  </m:accPr>
                                  <m:e>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ctrlPr>
                                      <w:rPr>
                                        <w:rFonts w:ascii="DejaVu Math TeX Gyre" w:hAnsi="DejaVu Math TeX Gyre"/>
                                        <w:i/>
                                        <w:lang w:val="en-US"/>
                                      </w:rPr>
                                    </m:ctrlPr>
                                  </m:e>
                                </m:acc>
                                <m:ctrlPr>
                                  <w:rPr>
                                    <w:rFonts w:ascii="DejaVu Math TeX Gyre" w:hAnsi="DejaVu Math TeX Gyre"/>
                                    <w:i/>
                                  </w:rPr>
                                </m:ctrlPr>
                              </m:e>
                            </m:d>
                            <m:ctrlPr>
                              <w:rPr>
                                <w:rFonts w:hint="default" w:ascii="DejaVu Math TeX Gyre" w:hAnsi="DejaVu Math TeX Gyre" w:cs="DejaVu Math TeX Gyre"/>
                                <w:b w:val="0"/>
                                <w:i/>
                                <w:kern w:val="2"/>
                                <w:sz w:val="21"/>
                                <w:szCs w:val="24"/>
                                <w:lang w:val="en-US" w:eastAsia="zh-CN" w:bidi="ar-SA"/>
                              </w:rPr>
                            </m:ctrlPr>
                          </m:e>
                          <m:sup>
                            <m:r>
                              <m:rPr/>
                              <w:rPr>
                                <w:rFonts w:hint="default" w:ascii="DejaVu Math TeX Gyre" w:hAnsi="DejaVu Math TeX Gyre" w:cs="DejaVu Math TeX Gyre"/>
                                <w:kern w:val="2"/>
                                <w:sz w:val="21"/>
                                <w:szCs w:val="24"/>
                                <w:lang w:val="en-US" w:eastAsia="zh-CN" w:bidi="ar-SA"/>
                              </w:rPr>
                              <m:t>2</m:t>
                            </m:r>
                            <m:ctrlPr>
                              <w:rPr>
                                <w:rFonts w:hint="default" w:ascii="DejaVu Math TeX Gyre" w:hAnsi="DejaVu Math TeX Gyre" w:cs="DejaVu Math TeX Gyre"/>
                                <w:b w:val="0"/>
                                <w:i/>
                                <w:kern w:val="2"/>
                                <w:sz w:val="21"/>
                                <w:szCs w:val="24"/>
                                <w:lang w:val="en-US" w:eastAsia="zh-CN" w:bidi="ar-SA"/>
                              </w:rPr>
                            </m:ctrlPr>
                          </m:sup>
                        </m:sSup>
                        <m:ctrlPr>
                          <w:rPr>
                            <w:rFonts w:hint="default" w:ascii="DejaVu Math TeX Gyre" w:hAnsi="DejaVu Math TeX Gyre" w:cs="DejaVu Math TeX Gyre"/>
                            <w:b w:val="0"/>
                            <w:i/>
                            <w:kern w:val="2"/>
                            <w:sz w:val="21"/>
                            <w:szCs w:val="24"/>
                            <w:lang w:val="en-US" w:eastAsia="zh-CN" w:bidi="ar-SA"/>
                          </w:rPr>
                        </m:ctrlPr>
                      </m:e>
                    </m:nary>
                    <m:ctrlPr>
                      <w:rPr>
                        <w:rFonts w:hint="default" w:ascii="DejaVu Math TeX Gyre" w:hAnsi="DejaVu Math TeX Gyre" w:cs="DejaVu Math TeX Gyre"/>
                        <w:b w:val="0"/>
                        <w:i/>
                        <w:kern w:val="2"/>
                        <w:sz w:val="21"/>
                        <w:szCs w:val="24"/>
                        <w:lang w:val="en-US" w:eastAsia="zh-CN" w:bidi="ar-SA"/>
                      </w:rPr>
                    </m:ctrlPr>
                  </m:den>
                </m:f>
              </m:oMath>
            </m:oMathPara>
          </w:p>
          <w:p w14:paraId="1AE8D086">
            <w:pPr>
              <w:numPr>
                <w:ilvl w:val="0"/>
                <w:numId w:val="0"/>
              </w:numPr>
              <w:ind w:firstLine="420" w:firstLineChars="200"/>
              <w:jc w:val="center"/>
              <w:rPr>
                <w:rFonts w:hint="default" w:hAnsi="DejaVu Math TeX Gyre" w:cs="DejaVu Math TeX Gyre"/>
                <w:b w:val="0"/>
                <w:i w:val="0"/>
                <w:kern w:val="2"/>
                <w:sz w:val="21"/>
                <w:szCs w:val="24"/>
                <w:lang w:val="en-US" w:eastAsia="zh-CN" w:bidi="ar-SA"/>
              </w:rPr>
            </w:pPr>
            <m:oMathPara>
              <m:oMath>
                <m:r>
                  <m:rPr/>
                  <w:rPr>
                    <w:rFonts w:hint="default" w:ascii="DejaVu Math TeX Gyre" w:hAnsi="DejaVu Math TeX Gyre" w:cs="DejaVu Math TeX Gyre"/>
                    <w:kern w:val="2"/>
                    <w:sz w:val="21"/>
                    <w:szCs w:val="24"/>
                    <w:lang w:val="en-US" w:eastAsia="zh-CN" w:bidi="ar-SA"/>
                  </w:rPr>
                  <m:t>MAE=</m:t>
                </m:r>
                <m:f>
                  <m:fPr>
                    <m:ctrlPr>
                      <w:rPr>
                        <w:rFonts w:hint="default" w:ascii="DejaVu Math TeX Gyre" w:hAnsi="DejaVu Math TeX Gyre" w:cs="DejaVu Math TeX Gyre"/>
                        <w:b w:val="0"/>
                        <w:i/>
                        <w:kern w:val="2"/>
                        <w:sz w:val="21"/>
                        <w:szCs w:val="24"/>
                        <w:lang w:val="en-US" w:eastAsia="zh-CN" w:bidi="ar-SA"/>
                      </w:rPr>
                    </m:ctrlPr>
                  </m:fPr>
                  <m:num>
                    <m:r>
                      <m:rPr/>
                      <w:rPr>
                        <w:rFonts w:hint="default" w:ascii="DejaVu Math TeX Gyre" w:hAnsi="DejaVu Math TeX Gyre" w:cs="DejaVu Math TeX Gyre"/>
                        <w:kern w:val="2"/>
                        <w:sz w:val="21"/>
                        <w:szCs w:val="24"/>
                        <w:lang w:val="en-US" w:eastAsia="zh-CN" w:bidi="ar-SA"/>
                      </w:rPr>
                      <m:t>1</m:t>
                    </m:r>
                    <m:ctrlPr>
                      <w:rPr>
                        <w:rFonts w:hint="default" w:ascii="DejaVu Math TeX Gyre" w:hAnsi="DejaVu Math TeX Gyre" w:cs="DejaVu Math TeX Gyre"/>
                        <w:b w:val="0"/>
                        <w:i/>
                        <w:kern w:val="2"/>
                        <w:sz w:val="21"/>
                        <w:szCs w:val="24"/>
                        <w:lang w:val="en-US" w:eastAsia="zh-CN" w:bidi="ar-SA"/>
                      </w:rPr>
                    </m:ctrlPr>
                  </m:num>
                  <m:den>
                    <m:r>
                      <m:rPr/>
                      <w:rPr>
                        <w:rFonts w:hint="default" w:ascii="DejaVu Math TeX Gyre" w:hAnsi="DejaVu Math TeX Gyre" w:cs="DejaVu Math TeX Gyre"/>
                        <w:kern w:val="2"/>
                        <w:sz w:val="21"/>
                        <w:szCs w:val="24"/>
                        <w:lang w:val="en-US" w:eastAsia="zh-CN" w:bidi="ar-SA"/>
                      </w:rPr>
                      <m:t>n</m:t>
                    </m:r>
                    <m:ctrlPr>
                      <w:rPr>
                        <w:rFonts w:hint="default" w:ascii="DejaVu Math TeX Gyre" w:hAnsi="DejaVu Math TeX Gyre" w:cs="DejaVu Math TeX Gyre"/>
                        <w:b w:val="0"/>
                        <w:i/>
                        <w:kern w:val="2"/>
                        <w:sz w:val="21"/>
                        <w:szCs w:val="24"/>
                        <w:lang w:val="en-US" w:eastAsia="zh-CN" w:bidi="ar-SA"/>
                      </w:rPr>
                    </m:ctrlPr>
                  </m:den>
                </m:f>
                <m:nary>
                  <m:naryPr>
                    <m:chr m:val="∑"/>
                    <m:limLoc m:val="subSup"/>
                    <m:ctrlPr>
                      <w:rPr>
                        <w:rFonts w:hint="default" w:ascii="DejaVu Math TeX Gyre" w:hAnsi="DejaVu Math TeX Gyre" w:cs="DejaVu Math TeX Gyre"/>
                        <w:b w:val="0"/>
                        <w:i/>
                        <w:kern w:val="2"/>
                        <w:sz w:val="21"/>
                        <w:szCs w:val="24"/>
                        <w:lang w:val="en-US" w:eastAsia="zh-CN" w:bidi="ar-SA"/>
                      </w:rPr>
                    </m:ctrlPr>
                  </m:naryPr>
                  <m:sub>
                    <m:r>
                      <m:rPr/>
                      <w:rPr>
                        <w:rFonts w:hint="default" w:ascii="DejaVu Math TeX Gyre" w:hAnsi="DejaVu Math TeX Gyre" w:cs="DejaVu Math TeX Gyre"/>
                        <w:kern w:val="2"/>
                        <w:sz w:val="21"/>
                        <w:szCs w:val="24"/>
                        <w:lang w:val="en-US" w:eastAsia="zh-CN" w:bidi="ar-SA"/>
                      </w:rPr>
                      <m:t>i</m:t>
                    </m:r>
                    <m:r>
                      <m:rPr/>
                      <w:rPr>
                        <w:rFonts w:ascii="DejaVu Math TeX Gyre" w:hAnsi="DejaVu Math TeX Gyre" w:cs="DejaVu Math TeX Gyre"/>
                        <w:kern w:val="2"/>
                        <w:sz w:val="21"/>
                        <w:szCs w:val="24"/>
                        <w:lang w:val="en-US" w:bidi="ar-SA"/>
                      </w:rPr>
                      <m:t>=</m:t>
                    </m:r>
                    <m:r>
                      <m:rPr/>
                      <w:rPr>
                        <w:rFonts w:hint="default" w:ascii="DejaVu Math TeX Gyre" w:hAnsi="DejaVu Math TeX Gyre" w:cs="DejaVu Math TeX Gyre"/>
                        <w:kern w:val="2"/>
                        <w:sz w:val="21"/>
                        <w:szCs w:val="24"/>
                        <w:lang w:val="en-US" w:bidi="ar-SA"/>
                      </w:rPr>
                      <m:t>1</m:t>
                    </m:r>
                    <m:ctrlPr>
                      <w:rPr>
                        <w:rFonts w:hint="default" w:ascii="DejaVu Math TeX Gyre" w:hAnsi="DejaVu Math TeX Gyre" w:cs="DejaVu Math TeX Gyre"/>
                        <w:b w:val="0"/>
                        <w:i/>
                        <w:kern w:val="2"/>
                        <w:sz w:val="21"/>
                        <w:szCs w:val="24"/>
                        <w:lang w:val="en-US" w:eastAsia="zh-CN" w:bidi="ar-SA"/>
                      </w:rPr>
                    </m:ctrlPr>
                  </m:sub>
                  <m:sup>
                    <m:r>
                      <m:rPr/>
                      <w:rPr>
                        <w:rFonts w:hint="default" w:ascii="DejaVu Math TeX Gyre" w:hAnsi="DejaVu Math TeX Gyre" w:cs="DejaVu Math TeX Gyre"/>
                        <w:kern w:val="2"/>
                        <w:sz w:val="21"/>
                        <w:szCs w:val="24"/>
                        <w:lang w:val="en-US" w:eastAsia="zh-CN" w:bidi="ar-SA"/>
                      </w:rPr>
                      <m:t>n</m:t>
                    </m:r>
                    <m:ctrlPr>
                      <w:rPr>
                        <w:rFonts w:hint="default" w:ascii="DejaVu Math TeX Gyre" w:hAnsi="DejaVu Math TeX Gyre" w:cs="DejaVu Math TeX Gyre"/>
                        <w:b w:val="0"/>
                        <w:i/>
                        <w:kern w:val="2"/>
                        <w:sz w:val="21"/>
                        <w:szCs w:val="24"/>
                        <w:lang w:val="en-US" w:eastAsia="zh-CN" w:bidi="ar-SA"/>
                      </w:rPr>
                    </m:ctrlPr>
                  </m:sup>
                  <m:e>
                    <m:d>
                      <m:dPr>
                        <m:begChr m:val="|"/>
                        <m:endChr m:val="|"/>
                        <m:ctrlPr>
                          <w:rPr>
                            <w:rFonts w:hint="default" w:ascii="DejaVu Math TeX Gyre" w:hAnsi="DejaVu Math TeX Gyre" w:cs="DejaVu Math TeX Gyre"/>
                            <w:b w:val="0"/>
                            <w:i/>
                            <w:kern w:val="2"/>
                            <w:sz w:val="21"/>
                            <w:szCs w:val="24"/>
                            <w:lang w:val="en-US" w:eastAsia="zh-CN" w:bidi="ar-SA"/>
                          </w:rPr>
                        </m:ctrlPr>
                      </m:dPr>
                      <m:e>
                        <m:sSub>
                          <m:sSubPr>
                            <m:ctrlPr>
                              <w:rPr>
                                <w:rFonts w:ascii="DejaVu Math TeX Gyre" w:hAnsi="DejaVu Math TeX Gyre"/>
                                <w:i/>
                              </w:rPr>
                            </m:ctrlPr>
                          </m:sSubPr>
                          <m:e>
                            <m:r>
                              <m:rPr/>
                              <w:rPr>
                                <w:rFonts w:hint="default" w:ascii="DejaVu Math TeX Gyre" w:hAnsi="DejaVu Math TeX Gyre"/>
                                <w:lang w:val="en-US"/>
                              </w:rPr>
                              <m:t>y</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ascii="DejaVu Math TeX Gyre" w:hAnsi="DejaVu Math TeX Gyre"/>
                            <w:lang w:val="en-US"/>
                          </w:rPr>
                          <m:t>−</m:t>
                        </m:r>
                        <m:acc>
                          <m:accPr>
                            <m:ctrlPr>
                              <w:rPr>
                                <w:rFonts w:hint="default" w:ascii="DejaVu Math TeX Gyre" w:hAnsi="DejaVu Math TeX Gyre"/>
                                <w:i/>
                                <w:lang w:val="en-US"/>
                              </w:rPr>
                            </m:ctrlPr>
                          </m:accPr>
                          <m:e>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ctrlPr>
                              <w:rPr>
                                <w:rFonts w:hint="default" w:ascii="DejaVu Math TeX Gyre" w:hAnsi="DejaVu Math TeX Gyre"/>
                                <w:i/>
                                <w:lang w:val="en-US"/>
                              </w:rPr>
                            </m:ctrlPr>
                          </m:e>
                        </m:acc>
                        <m:ctrlPr>
                          <w:rPr>
                            <w:rFonts w:hint="default" w:ascii="DejaVu Math TeX Gyre" w:hAnsi="DejaVu Math TeX Gyre" w:cs="DejaVu Math TeX Gyre"/>
                            <w:b w:val="0"/>
                            <w:i/>
                            <w:kern w:val="2"/>
                            <w:sz w:val="21"/>
                            <w:szCs w:val="24"/>
                            <w:lang w:val="en-US" w:eastAsia="zh-CN" w:bidi="ar-SA"/>
                          </w:rPr>
                        </m:ctrlPr>
                      </m:e>
                    </m:d>
                    <m:ctrlPr>
                      <w:rPr>
                        <w:rFonts w:hint="default" w:ascii="DejaVu Math TeX Gyre" w:hAnsi="DejaVu Math TeX Gyre" w:cs="DejaVu Math TeX Gyre"/>
                        <w:b w:val="0"/>
                        <w:i/>
                        <w:kern w:val="2"/>
                        <w:sz w:val="21"/>
                        <w:szCs w:val="24"/>
                        <w:lang w:val="en-US" w:eastAsia="zh-CN" w:bidi="ar-SA"/>
                      </w:rPr>
                    </m:ctrlPr>
                  </m:e>
                </m:nary>
              </m:oMath>
            </m:oMathPara>
          </w:p>
          <w:p w14:paraId="042DF563">
            <w:pPr>
              <w:numPr>
                <w:ilvl w:val="0"/>
                <w:numId w:val="0"/>
              </w:numPr>
              <w:ind w:firstLine="420" w:firstLineChars="200"/>
              <w:jc w:val="center"/>
              <w:rPr>
                <w:rFonts w:hint="default"/>
                <w:lang w:val="en-US"/>
              </w:rPr>
            </w:pPr>
            <m:oMathPara>
              <m:oMath>
                <m:r>
                  <m:rPr>
                    <m:sty m:val="p"/>
                  </m:rPr>
                  <w:rPr>
                    <w:rFonts w:hint="default" w:hAnsi="DejaVu Math TeX Gyre" w:cs="DejaVu Math TeX Gyre"/>
                    <w:kern w:val="2"/>
                    <w:sz w:val="21"/>
                    <w:szCs w:val="24"/>
                    <w:lang w:val="en-US" w:eastAsia="zh-CN" w:bidi="ar-SA"/>
                  </w:rPr>
                  <m:t>MAPE</m:t>
                </m:r>
                <m:r>
                  <m:rPr>
                    <m:sty m:val="p"/>
                  </m:rPr>
                  <w:rPr>
                    <w:rFonts w:hint="default" w:ascii="DejaVu Math TeX Gyre" w:hAnsi="DejaVu Math TeX Gyre" w:cs="DejaVu Math TeX Gyre"/>
                    <w:kern w:val="2"/>
                    <w:sz w:val="21"/>
                    <w:szCs w:val="24"/>
                    <w:lang w:val="en-US" w:eastAsia="zh-CN" w:bidi="ar-SA"/>
                  </w:rPr>
                  <m:t>=</m:t>
                </m:r>
                <m:f>
                  <m:fPr>
                    <m:ctrlPr>
                      <w:rPr>
                        <w:rFonts w:hint="default" w:ascii="DejaVu Math TeX Gyre" w:hAnsi="DejaVu Math TeX Gyre" w:cs="DejaVu Math TeX Gyre"/>
                        <w:b w:val="0"/>
                        <w:i w:val="0"/>
                        <w:kern w:val="2"/>
                        <w:sz w:val="21"/>
                        <w:szCs w:val="24"/>
                        <w:lang w:val="en-US" w:eastAsia="zh-CN" w:bidi="ar-SA"/>
                      </w:rPr>
                    </m:ctrlPr>
                  </m:fPr>
                  <m:num>
                    <m:r>
                      <m:rPr>
                        <m:sty m:val="p"/>
                      </m:rPr>
                      <w:rPr>
                        <w:rFonts w:hint="default" w:ascii="DejaVu Math TeX Gyre" w:hAnsi="DejaVu Math TeX Gyre" w:cs="DejaVu Math TeX Gyre"/>
                        <w:kern w:val="2"/>
                        <w:sz w:val="21"/>
                        <w:szCs w:val="24"/>
                        <w:lang w:val="en-US" w:eastAsia="zh-CN" w:bidi="ar-SA"/>
                      </w:rPr>
                      <m:t>1</m:t>
                    </m:r>
                    <m:ctrlPr>
                      <w:rPr>
                        <w:rFonts w:hint="default" w:ascii="DejaVu Math TeX Gyre" w:hAnsi="DejaVu Math TeX Gyre" w:cs="DejaVu Math TeX Gyre"/>
                        <w:b w:val="0"/>
                        <w:i w:val="0"/>
                        <w:kern w:val="2"/>
                        <w:sz w:val="21"/>
                        <w:szCs w:val="24"/>
                        <w:lang w:val="en-US" w:eastAsia="zh-CN" w:bidi="ar-SA"/>
                      </w:rPr>
                    </m:ctrlPr>
                  </m:num>
                  <m:den>
                    <m:r>
                      <m:rPr>
                        <m:sty m:val="p"/>
                      </m:rPr>
                      <w:rPr>
                        <w:rFonts w:hint="default" w:ascii="DejaVu Math TeX Gyre" w:hAnsi="DejaVu Math TeX Gyre" w:cs="DejaVu Math TeX Gyre"/>
                        <w:kern w:val="2"/>
                        <w:sz w:val="21"/>
                        <w:szCs w:val="24"/>
                        <w:lang w:val="en-US" w:eastAsia="zh-CN" w:bidi="ar-SA"/>
                      </w:rPr>
                      <m:t>n</m:t>
                    </m:r>
                    <m:ctrlPr>
                      <w:rPr>
                        <w:rFonts w:hint="default" w:ascii="DejaVu Math TeX Gyre" w:hAnsi="DejaVu Math TeX Gyre" w:cs="DejaVu Math TeX Gyre"/>
                        <w:b w:val="0"/>
                        <w:i w:val="0"/>
                        <w:kern w:val="2"/>
                        <w:sz w:val="21"/>
                        <w:szCs w:val="24"/>
                        <w:lang w:val="en-US" w:eastAsia="zh-CN" w:bidi="ar-SA"/>
                      </w:rPr>
                    </m:ctrlPr>
                  </m:den>
                </m:f>
                <m:d>
                  <m:dPr>
                    <m:begChr m:val="|"/>
                    <m:endChr m:val="|"/>
                    <m:ctrlPr>
                      <w:rPr>
                        <w:rFonts w:hint="default" w:ascii="DejaVu Math TeX Gyre" w:hAnsi="DejaVu Math TeX Gyre" w:cs="DejaVu Math TeX Gyre"/>
                        <w:b w:val="0"/>
                        <w:i w:val="0"/>
                        <w:kern w:val="2"/>
                        <w:sz w:val="21"/>
                        <w:szCs w:val="24"/>
                        <w:lang w:val="en-US" w:eastAsia="zh-CN" w:bidi="ar-SA"/>
                      </w:rPr>
                    </m:ctrlPr>
                  </m:dPr>
                  <m:e>
                    <m:f>
                      <m:fPr>
                        <m:ctrlPr>
                          <w:rPr>
                            <w:rFonts w:hint="default" w:ascii="DejaVu Math TeX Gyre" w:hAnsi="DejaVu Math TeX Gyre" w:cs="DejaVu Math TeX Gyre"/>
                            <w:b w:val="0"/>
                            <w:i w:val="0"/>
                            <w:kern w:val="2"/>
                            <w:sz w:val="21"/>
                            <w:szCs w:val="24"/>
                            <w:lang w:val="en-US" w:eastAsia="zh-CN" w:bidi="ar-SA"/>
                          </w:rPr>
                        </m:ctrlPr>
                      </m:fPr>
                      <m:num>
                        <m:sSub>
                          <m:sSubPr>
                            <m:ctrlPr>
                              <w:rPr>
                                <w:rFonts w:ascii="DejaVu Math TeX Gyre" w:hAnsi="DejaVu Math TeX Gyre"/>
                                <w:i/>
                              </w:rPr>
                            </m:ctrlPr>
                          </m:sSubPr>
                          <m:e>
                            <m:r>
                              <m:rPr/>
                              <w:rPr>
                                <w:rFonts w:hint="default" w:ascii="DejaVu Math TeX Gyre" w:hAnsi="DejaVu Math TeX Gyre"/>
                                <w:lang w:val="en-US"/>
                              </w:rPr>
                              <m:t>y</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r>
                          <m:rPr/>
                          <w:rPr>
                            <w:rFonts w:ascii="DejaVu Math TeX Gyre" w:hAnsi="DejaVu Math TeX Gyre"/>
                            <w:lang w:val="en-US"/>
                          </w:rPr>
                          <m:t>−</m:t>
                        </m:r>
                        <m:acc>
                          <m:accPr>
                            <m:ctrlPr>
                              <w:rPr>
                                <w:rFonts w:hint="default" w:ascii="DejaVu Math TeX Gyre" w:hAnsi="DejaVu Math TeX Gyre"/>
                                <w:i/>
                                <w:lang w:val="en-US"/>
                              </w:rPr>
                            </m:ctrlPr>
                          </m:accPr>
                          <m:e>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ctrlPr>
                              <w:rPr>
                                <w:rFonts w:hint="default" w:ascii="DejaVu Math TeX Gyre" w:hAnsi="DejaVu Math TeX Gyre"/>
                                <w:i/>
                                <w:lang w:val="en-US"/>
                              </w:rPr>
                            </m:ctrlPr>
                          </m:e>
                        </m:acc>
                        <m:ctrlPr>
                          <w:rPr>
                            <w:rFonts w:hint="default" w:ascii="DejaVu Math TeX Gyre" w:hAnsi="DejaVu Math TeX Gyre" w:cs="DejaVu Math TeX Gyre"/>
                            <w:b w:val="0"/>
                            <w:i w:val="0"/>
                            <w:kern w:val="2"/>
                            <w:sz w:val="21"/>
                            <w:szCs w:val="24"/>
                            <w:lang w:val="en-US" w:eastAsia="zh-CN" w:bidi="ar-SA"/>
                          </w:rPr>
                        </m:ctrlPr>
                      </m:num>
                      <m:den>
                        <m:sSub>
                          <m:sSubPr>
                            <m:ctrlPr>
                              <w:rPr>
                                <w:rFonts w:ascii="DejaVu Math TeX Gyre" w:hAnsi="DejaVu Math TeX Gyre"/>
                                <w:i/>
                              </w:rPr>
                            </m:ctrlPr>
                          </m:sSubPr>
                          <m:e>
                            <m:r>
                              <m:rPr/>
                              <w:rPr>
                                <w:rFonts w:hint="default" w:ascii="DejaVu Math TeX Gyre" w:hAnsi="DejaVu Math TeX Gyre"/>
                                <w:lang w:val="en-US"/>
                              </w:rPr>
                              <m:t>y</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ctrlPr>
                          <w:rPr>
                            <w:rFonts w:hint="default" w:ascii="DejaVu Math TeX Gyre" w:hAnsi="DejaVu Math TeX Gyre" w:cs="DejaVu Math TeX Gyre"/>
                            <w:b w:val="0"/>
                            <w:i w:val="0"/>
                            <w:kern w:val="2"/>
                            <w:sz w:val="21"/>
                            <w:szCs w:val="24"/>
                            <w:lang w:val="en-US" w:eastAsia="zh-CN" w:bidi="ar-SA"/>
                          </w:rPr>
                        </m:ctrlPr>
                      </m:den>
                    </m:f>
                    <m:ctrlPr>
                      <w:rPr>
                        <w:rFonts w:hint="default" w:ascii="DejaVu Math TeX Gyre" w:hAnsi="DejaVu Math TeX Gyre" w:cs="DejaVu Math TeX Gyre"/>
                        <w:b w:val="0"/>
                        <w:i w:val="0"/>
                        <w:kern w:val="2"/>
                        <w:sz w:val="21"/>
                        <w:szCs w:val="24"/>
                        <w:lang w:val="en-US" w:eastAsia="zh-CN" w:bidi="ar-SA"/>
                      </w:rPr>
                    </m:ctrlPr>
                  </m:e>
                </m:d>
                <m:r>
                  <m:rPr>
                    <m:sty m:val="p"/>
                  </m:rPr>
                  <w:rPr>
                    <w:rFonts w:hint="default" w:ascii="DejaVu Math TeX Gyre" w:hAnsi="DejaVu Math TeX Gyre" w:cs="DejaVu Math TeX Gyre"/>
                    <w:kern w:val="2"/>
                    <w:sz w:val="21"/>
                    <w:szCs w:val="24"/>
                    <w:lang w:val="en-US" w:eastAsia="zh-CN" w:bidi="ar-SA"/>
                  </w:rPr>
                  <m:t>×100%</m:t>
                </m:r>
              </m:oMath>
            </m:oMathPara>
          </w:p>
          <w:p w14:paraId="51F52C8B">
            <w:pPr>
              <w:numPr>
                <w:ilvl w:val="0"/>
                <w:numId w:val="0"/>
              </w:numPr>
              <w:ind w:firstLine="420" w:firstLineChars="200"/>
              <w:rPr>
                <w:rFonts w:hint="default" w:eastAsia="宋体"/>
                <w:lang w:val="en-US" w:eastAsia="zh-CN"/>
              </w:rPr>
            </w:pPr>
            <w:r>
              <w:rPr>
                <w:rFonts w:hint="eastAsia"/>
                <w:lang w:val="en-US" w:eastAsia="zh-CN"/>
              </w:rPr>
              <w:t>式中：</w:t>
            </w:r>
            <m:oMath>
              <m:sSub>
                <m:sSubPr>
                  <m:ctrlPr>
                    <w:rPr>
                      <w:rFonts w:ascii="DejaVu Math TeX Gyre" w:hAnsi="DejaVu Math TeX Gyre"/>
                      <w:i/>
                    </w:rPr>
                  </m:ctrlPr>
                </m:sSubPr>
                <m:e>
                  <m:r>
                    <m:rPr/>
                    <w:rPr>
                      <w:rFonts w:hint="default" w:ascii="DejaVu Math TeX Gyre" w:hAnsi="DejaVu Math TeX Gyre"/>
                      <w:lang w:val="en-US"/>
                    </w:rPr>
                    <m:t>y</m:t>
                  </m:r>
                  <m:ctrlPr>
                    <w:rPr>
                      <w:rFonts w:ascii="DejaVu Math TeX Gyre" w:hAnsi="DejaVu Math TeX Gyre"/>
                      <w:i/>
                    </w:rPr>
                  </m:ctrlPr>
                </m:e>
                <m:sub>
                  <m:r>
                    <m:rPr/>
                    <w:rPr>
                      <w:rFonts w:hint="default" w:ascii="DejaVu Math TeX Gyre" w:hAnsi="DejaVu Math TeX Gyre"/>
                      <w:lang w:val="en-US"/>
                    </w:rPr>
                    <m:t>i</m:t>
                  </m:r>
                  <m:ctrlPr>
                    <w:rPr>
                      <w:rFonts w:ascii="DejaVu Math TeX Gyre" w:hAnsi="DejaVu Math TeX Gyre"/>
                      <w:i/>
                    </w:rPr>
                  </m:ctrlPr>
                </m:sub>
              </m:sSub>
            </m:oMath>
            <w:r>
              <w:rPr>
                <w:rFonts w:hint="eastAsia" w:hAnsi="DejaVu Math TeX Gyre"/>
                <w:i w:val="0"/>
                <w:lang w:val="en-US" w:eastAsia="zh-CN"/>
              </w:rPr>
              <w:t>为真实值；</w:t>
            </w:r>
            <m:oMath>
              <m:acc>
                <m:accPr>
                  <m:ctrlPr>
                    <w:rPr>
                      <w:rFonts w:hint="default" w:ascii="DejaVu Math TeX Gyre" w:hAnsi="DejaVu Math TeX Gyre"/>
                      <w:i/>
                      <w:lang w:val="en-US"/>
                    </w:rPr>
                  </m:ctrlPr>
                </m:accPr>
                <m:e>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ctrlPr>
                    <w:rPr>
                      <w:rFonts w:hint="default" w:ascii="DejaVu Math TeX Gyre" w:hAnsi="DejaVu Math TeX Gyre"/>
                      <w:i/>
                      <w:lang w:val="en-US"/>
                    </w:rPr>
                  </m:ctrlPr>
                </m:e>
              </m:acc>
            </m:oMath>
            <w:r>
              <w:rPr>
                <w:rFonts w:hint="eastAsia" w:hAnsi="DejaVu Math TeX Gyre"/>
                <w:i w:val="0"/>
                <w:lang w:val="en-US" w:eastAsia="zh-CN"/>
              </w:rPr>
              <w:t>为模型预测值；</w:t>
            </w:r>
            <m:oMath>
              <m:acc>
                <m:accPr>
                  <m:chr m:val="̅"/>
                  <m:ctrlPr>
                    <w:rPr>
                      <w:rFonts w:ascii="DejaVu Math TeX Gyre" w:hAnsi="DejaVu Math TeX Gyre"/>
                      <w:i/>
                      <w:lang w:val="en-US"/>
                    </w:rPr>
                  </m:ctrlPr>
                </m:accPr>
                <m:e>
                  <m:sSub>
                    <m:sSubPr>
                      <m:ctrlPr>
                        <w:rPr>
                          <w:rFonts w:hint="default" w:ascii="DejaVu Math TeX Gyre" w:hAnsi="DejaVu Math TeX Gyre"/>
                          <w:i/>
                          <w:lang w:val="en-US"/>
                        </w:rPr>
                      </m:ctrlPr>
                    </m:sSubPr>
                    <m:e>
                      <m:r>
                        <m:rPr/>
                        <w:rPr>
                          <w:rFonts w:hint="default" w:ascii="DejaVu Math TeX Gyre" w:hAnsi="DejaVu Math TeX Gyre"/>
                          <w:lang w:val="en-US"/>
                        </w:rPr>
                        <m:t>y</m:t>
                      </m:r>
                      <m:ctrlPr>
                        <w:rPr>
                          <w:rFonts w:hint="default" w:ascii="DejaVu Math TeX Gyre" w:hAnsi="DejaVu Math TeX Gyre"/>
                          <w:i/>
                          <w:lang w:val="en-US"/>
                        </w:rPr>
                      </m:ctrlPr>
                    </m:e>
                    <m:sub>
                      <m:r>
                        <m:rPr/>
                        <w:rPr>
                          <w:rFonts w:hint="default" w:ascii="DejaVu Math TeX Gyre" w:hAnsi="DejaVu Math TeX Gyre"/>
                          <w:lang w:val="en-US"/>
                        </w:rPr>
                        <m:t>i</m:t>
                      </m:r>
                      <m:ctrlPr>
                        <w:rPr>
                          <w:rFonts w:hint="default" w:ascii="DejaVu Math TeX Gyre" w:hAnsi="DejaVu Math TeX Gyre"/>
                          <w:i/>
                          <w:lang w:val="en-US"/>
                        </w:rPr>
                      </m:ctrlPr>
                    </m:sub>
                  </m:sSub>
                  <m:ctrlPr>
                    <w:rPr>
                      <w:rFonts w:ascii="DejaVu Math TeX Gyre" w:hAnsi="DejaVu Math TeX Gyre"/>
                      <w:i/>
                      <w:lang w:val="en-US"/>
                    </w:rPr>
                  </m:ctrlPr>
                </m:e>
              </m:acc>
            </m:oMath>
            <w:r>
              <w:rPr>
                <w:rFonts w:hint="eastAsia" w:hAnsi="DejaVu Math TeX Gyre"/>
                <w:i w:val="0"/>
                <w:lang w:val="en-US" w:eastAsia="zh-CN"/>
              </w:rPr>
              <w:t>为样本均值；</w:t>
            </w:r>
            <m:oMath>
              <m:r>
                <m:rPr/>
                <w:rPr>
                  <w:rFonts w:hint="default" w:ascii="DejaVu Math TeX Gyre" w:hAnsi="DejaVu Math TeX Gyre" w:cs="DejaVu Math TeX Gyre"/>
                  <w:kern w:val="2"/>
                  <w:sz w:val="21"/>
                  <w:szCs w:val="24"/>
                  <w:lang w:val="en-US" w:eastAsia="zh-CN" w:bidi="ar-SA"/>
                </w:rPr>
                <m:t>n</m:t>
              </m:r>
            </m:oMath>
            <w:r>
              <w:rPr>
                <w:rFonts w:hint="eastAsia" w:hAnsi="DejaVu Math TeX Gyre" w:cs="DejaVu Math TeX Gyre"/>
                <w:i w:val="0"/>
                <w:kern w:val="2"/>
                <w:sz w:val="21"/>
                <w:szCs w:val="24"/>
                <w:lang w:val="en-US" w:eastAsia="zh-CN" w:bidi="ar-SA"/>
              </w:rPr>
              <w:t>为测试样本总量。</w:t>
            </w:r>
          </w:p>
          <w:p w14:paraId="63F99273">
            <w:pPr>
              <w:numPr>
                <w:ilvl w:val="0"/>
                <w:numId w:val="0"/>
              </w:numPr>
              <w:rPr>
                <w:rFonts w:hint="default" w:eastAsia="宋体"/>
                <w:b/>
                <w:bCs/>
                <w:sz w:val="24"/>
                <w:szCs w:val="24"/>
                <w:lang w:val="en-US" w:eastAsia="zh-CN"/>
              </w:rPr>
            </w:pPr>
            <w:r>
              <w:rPr>
                <w:rFonts w:hint="eastAsia" w:eastAsia="宋体"/>
                <w:b/>
                <w:bCs/>
                <w:sz w:val="24"/>
                <w:szCs w:val="24"/>
                <w:lang w:val="en-US" w:eastAsia="zh-CN"/>
              </w:rPr>
              <w:t>2、对比基线模型设计</w:t>
            </w:r>
          </w:p>
          <w:p w14:paraId="088DEF1D">
            <w:pPr>
              <w:numPr>
                <w:ilvl w:val="0"/>
                <w:numId w:val="0"/>
              </w:numPr>
              <w:ind w:firstLine="420" w:firstLineChars="200"/>
              <w:jc w:val="both"/>
              <w:rPr>
                <w:rFonts w:hint="eastAsia" w:hAnsi="DejaVu Math TeX Gyre" w:cs="DejaVu Math TeX Gyre"/>
                <w:b w:val="0"/>
                <w:i w:val="0"/>
                <w:kern w:val="2"/>
                <w:sz w:val="21"/>
                <w:szCs w:val="24"/>
                <w:lang w:val="en-US" w:eastAsia="zh-CN" w:bidi="ar-SA"/>
              </w:rPr>
            </w:pPr>
            <w:r>
              <w:rPr>
                <w:rFonts w:hint="eastAsia" w:hAnsi="DejaVu Math TeX Gyre" w:cs="DejaVu Math TeX Gyre"/>
                <w:b w:val="0"/>
                <w:i w:val="0"/>
                <w:kern w:val="2"/>
                <w:sz w:val="21"/>
                <w:szCs w:val="24"/>
                <w:lang w:val="en-US" w:eastAsia="zh-CN" w:bidi="ar-SA"/>
              </w:rPr>
              <w:t>为验证所提模型的有效性，设置三重基线模型进行对比：</w:t>
            </w:r>
          </w:p>
          <w:p w14:paraId="3C3C30DA">
            <w:pPr>
              <w:numPr>
                <w:ilvl w:val="0"/>
                <w:numId w:val="11"/>
              </w:numPr>
              <w:ind w:left="0" w:leftChars="0" w:firstLine="420" w:firstLineChars="0"/>
              <w:jc w:val="both"/>
              <w:rPr>
                <w:rFonts w:hint="eastAsia"/>
              </w:rPr>
            </w:pPr>
            <w:r>
              <w:rPr>
                <w:rFonts w:hint="eastAsia"/>
              </w:rPr>
              <w:t>Persistence（现值持续）：以当前时刻的观测值作为未来所有时刻的预测值，即假设未来保持不变。这是时序预测最朴素的基线，也是工程实践中常用的参考基准。</w:t>
            </w:r>
          </w:p>
          <w:p w14:paraId="175074B4">
            <w:pPr>
              <w:numPr>
                <w:ilvl w:val="0"/>
                <w:numId w:val="11"/>
              </w:numPr>
              <w:ind w:left="0" w:leftChars="0" w:firstLine="420" w:firstLineChars="0"/>
              <w:jc w:val="both"/>
              <w:rPr>
                <w:rFonts w:hint="eastAsia"/>
              </w:rPr>
            </w:pPr>
            <w:r>
              <w:rPr>
                <w:rFonts w:hint="eastAsia"/>
              </w:rPr>
              <w:t>季节朴素（昨日同刻）：以昨天同一时刻的观测值作为预测值，考虑了日周期规律，用于检验日周期特征的贡献。</w:t>
            </w:r>
          </w:p>
          <w:p w14:paraId="74FF7164">
            <w:pPr>
              <w:numPr>
                <w:ilvl w:val="0"/>
                <w:numId w:val="11"/>
              </w:numPr>
              <w:ind w:left="0" w:leftChars="0" w:firstLine="420" w:firstLineChars="0"/>
              <w:jc w:val="both"/>
              <w:rPr>
                <w:rFonts w:hint="eastAsia"/>
              </w:rPr>
            </w:pPr>
            <w:r>
              <w:rPr>
                <w:rFonts w:hint="eastAsia"/>
              </w:rPr>
              <w:t>MLP神经网络：采用64-32双隐层的全连接神经网络，ReLU激活函数，Adam优化器，代表深度学习基线，用于对比树模型与神经网络的性能差异。</w:t>
            </w:r>
          </w:p>
          <w:p w14:paraId="668B48C5">
            <w:pPr>
              <w:numPr>
                <w:ilvl w:val="0"/>
                <w:numId w:val="0"/>
              </w:numPr>
              <w:ind w:firstLine="420" w:firstLineChars="200"/>
              <w:jc w:val="both"/>
              <w:rPr>
                <w:rFonts w:hint="eastAsia"/>
              </w:rPr>
            </w:pPr>
            <w:r>
              <w:rPr>
                <w:rFonts w:hint="eastAsia"/>
              </w:rPr>
              <w:t>此外，补充训练2层×64隐层、输入窗口3h的LSTM深度时序模型，验证深度时序模型在当前数据规模下的适用性。</w:t>
            </w:r>
          </w:p>
          <w:p w14:paraId="54E4F2CD">
            <w:pPr>
              <w:numPr>
                <w:ilvl w:val="0"/>
                <w:numId w:val="0"/>
              </w:numPr>
              <w:jc w:val="both"/>
              <w:rPr>
                <w:rFonts w:hint="eastAsia"/>
              </w:rPr>
            </w:pPr>
            <w:r>
              <w:rPr>
                <w:rFonts w:hint="eastAsia" w:eastAsia="宋体"/>
                <w:b/>
                <w:bCs/>
                <w:sz w:val="24"/>
                <w:szCs w:val="24"/>
                <w:lang w:val="en-US" w:eastAsia="zh-CN"/>
              </w:rPr>
              <w:t>3、真实数据集验证（Köln-Weiden）</w:t>
            </w:r>
          </w:p>
          <w:p w14:paraId="4BBDE70D">
            <w:pPr>
              <w:numPr>
                <w:ilvl w:val="0"/>
                <w:numId w:val="0"/>
              </w:numPr>
              <w:jc w:val="both"/>
              <w:rPr>
                <w:rFonts w:hint="default"/>
                <w:b/>
                <w:bCs/>
                <w:lang w:val="en-US" w:eastAsia="zh-CN"/>
              </w:rPr>
            </w:pPr>
            <w:r>
              <w:rPr>
                <w:rFonts w:hint="eastAsia"/>
                <w:b/>
                <w:bCs/>
                <w:lang w:val="en-US" w:eastAsia="zh-CN"/>
              </w:rPr>
              <w:t>3.1实验设置</w:t>
            </w:r>
          </w:p>
          <w:p w14:paraId="2A69069C">
            <w:pPr>
              <w:numPr>
                <w:ilvl w:val="0"/>
                <w:numId w:val="0"/>
              </w:numPr>
              <w:ind w:firstLine="420" w:firstLineChars="200"/>
              <w:jc w:val="both"/>
              <w:rPr>
                <w:rFonts w:hint="eastAsia"/>
              </w:rPr>
            </w:pPr>
            <w:r>
              <w:rPr>
                <w:rFonts w:hint="eastAsia"/>
              </w:rPr>
              <w:t>方法有效性首先在Köln-Weiden真实数据集上验证。该数据集包含德国科隆Weiden污水厂的厂前进水流量、上游3处管网液位、调蓄池液位与降雨监测数据，时间分辨率15分钟，全年数据，与本研究的"厂—网—雨"一体化结构高度同构。</w:t>
            </w:r>
          </w:p>
          <w:p w14:paraId="306D2148">
            <w:pPr>
              <w:numPr>
                <w:ilvl w:val="0"/>
                <w:numId w:val="0"/>
              </w:numPr>
              <w:ind w:firstLine="420" w:firstLineChars="200"/>
              <w:jc w:val="both"/>
              <w:rPr>
                <w:rFonts w:hint="eastAsia"/>
              </w:rPr>
            </w:pPr>
            <w:r>
              <w:rPr>
                <w:rFonts w:hint="eastAsia"/>
              </w:rPr>
              <w:t>实验设置：使用上游3处管网液位 + 调蓄液位 + 降雨的滞后特征预测厂前进水流量，预测提前量分别为60分钟、120分钟、180分钟。数据集按时间顺序75%/25%划分训练集与测试集。</w:t>
            </w:r>
          </w:p>
          <w:p w14:paraId="0B3074DD">
            <w:pPr>
              <w:numPr>
                <w:ilvl w:val="0"/>
                <w:numId w:val="0"/>
              </w:numPr>
              <w:jc w:val="both"/>
              <w:rPr>
                <w:rFonts w:hint="default"/>
                <w:lang w:val="en-US"/>
              </w:rPr>
            </w:pPr>
            <w:r>
              <w:rPr>
                <w:rFonts w:hint="eastAsia"/>
                <w:b/>
                <w:bCs/>
                <w:lang w:val="en-US" w:eastAsia="zh-CN"/>
              </w:rPr>
              <w:t>3.2预测精度结果</w:t>
            </w:r>
          </w:p>
          <w:p w14:paraId="63C477A6">
            <w:pPr>
              <w:numPr>
                <w:ilvl w:val="0"/>
                <w:numId w:val="0"/>
              </w:numPr>
              <w:ind w:firstLine="420" w:firstLineChars="200"/>
              <w:jc w:val="both"/>
              <w:rPr>
                <w:rFonts w:hint="eastAsia" w:eastAsia="宋体"/>
                <w:lang w:eastAsia="zh-CN"/>
              </w:rPr>
            </w:pPr>
            <w:r>
              <w:rPr>
                <w:rFonts w:hint="eastAsia"/>
              </w:rPr>
              <w:t>Köln真实数据集上的预测结果如表4-1所示</w:t>
            </w:r>
            <w:r>
              <w:rPr>
                <w:rFonts w:hint="eastAsia"/>
                <w:lang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9"/>
              <w:gridCol w:w="1729"/>
              <w:gridCol w:w="1731"/>
              <w:gridCol w:w="1730"/>
            </w:tblGrid>
            <w:tr w14:paraId="76502F9B">
              <w:tc>
                <w:tcPr>
                  <w:tcW w:w="1731" w:type="dxa"/>
                </w:tcPr>
                <w:p w14:paraId="5048FA33">
                  <w:pPr>
                    <w:numPr>
                      <w:ilvl w:val="0"/>
                      <w:numId w:val="0"/>
                    </w:numPr>
                    <w:jc w:val="center"/>
                    <w:rPr>
                      <w:rFonts w:hint="eastAsia"/>
                      <w:vertAlign w:val="baseline"/>
                    </w:rPr>
                  </w:pPr>
                  <w:r>
                    <w:rPr>
                      <w:rFonts w:hint="eastAsia"/>
                      <w:vertAlign w:val="baseline"/>
                    </w:rPr>
                    <w:t>提前量</w:t>
                  </w:r>
                </w:p>
              </w:tc>
              <w:tc>
                <w:tcPr>
                  <w:tcW w:w="1731" w:type="dxa"/>
                </w:tcPr>
                <w:p w14:paraId="2DB11F16">
                  <w:pPr>
                    <w:numPr>
                      <w:ilvl w:val="0"/>
                      <w:numId w:val="0"/>
                    </w:numPr>
                    <w:jc w:val="center"/>
                    <w:rPr>
                      <w:rFonts w:hint="default"/>
                      <w:vertAlign w:val="baseline"/>
                      <w:lang w:val="en-US"/>
                    </w:rPr>
                  </w:pPr>
                  <w:r>
                    <w:rPr>
                      <w:rFonts w:hint="eastAsia"/>
                      <w:vertAlign w:val="baseline"/>
                    </w:rPr>
                    <w:t>模型</w:t>
                  </w:r>
                  <w:r>
                    <w:rPr>
                      <w:rFonts w:hint="default"/>
                      <w:vertAlign w:val="baseline"/>
                      <w:lang w:val="en-US"/>
                    </w:rPr>
                    <w:t>NSE</w:t>
                  </w:r>
                </w:p>
              </w:tc>
              <w:tc>
                <w:tcPr>
                  <w:tcW w:w="1731" w:type="dxa"/>
                </w:tcPr>
                <w:p w14:paraId="21CD5D31">
                  <w:pPr>
                    <w:numPr>
                      <w:ilvl w:val="0"/>
                      <w:numId w:val="0"/>
                    </w:numPr>
                    <w:jc w:val="center"/>
                    <w:rPr>
                      <w:rFonts w:hint="eastAsia"/>
                      <w:vertAlign w:val="baseline"/>
                    </w:rPr>
                  </w:pPr>
                  <w:r>
                    <w:rPr>
                      <w:rFonts w:hint="eastAsia"/>
                      <w:vertAlign w:val="baseline"/>
                    </w:rPr>
                    <w:t>模型MAE (L/s)</w:t>
                  </w:r>
                </w:p>
              </w:tc>
              <w:tc>
                <w:tcPr>
                  <w:tcW w:w="1732" w:type="dxa"/>
                </w:tcPr>
                <w:p w14:paraId="60D1D52D">
                  <w:pPr>
                    <w:numPr>
                      <w:ilvl w:val="0"/>
                      <w:numId w:val="0"/>
                    </w:numPr>
                    <w:jc w:val="center"/>
                    <w:rPr>
                      <w:rFonts w:hint="eastAsia"/>
                      <w:vertAlign w:val="baseline"/>
                    </w:rPr>
                  </w:pPr>
                  <w:r>
                    <w:rPr>
                      <w:rFonts w:hint="eastAsia"/>
                      <w:vertAlign w:val="baseline"/>
                    </w:rPr>
                    <w:t>persistence NSE</w:t>
                  </w:r>
                </w:p>
              </w:tc>
              <w:tc>
                <w:tcPr>
                  <w:tcW w:w="1732" w:type="dxa"/>
                </w:tcPr>
                <w:p w14:paraId="56232158">
                  <w:pPr>
                    <w:numPr>
                      <w:ilvl w:val="0"/>
                      <w:numId w:val="0"/>
                    </w:numPr>
                    <w:jc w:val="center"/>
                    <w:rPr>
                      <w:rFonts w:hint="eastAsia"/>
                      <w:vertAlign w:val="baseline"/>
                    </w:rPr>
                  </w:pPr>
                  <w:r>
                    <w:rPr>
                      <w:rFonts w:hint="eastAsia"/>
                      <w:vertAlign w:val="baseline"/>
                    </w:rPr>
                    <w:t>NSE 提升量</w:t>
                  </w:r>
                </w:p>
              </w:tc>
            </w:tr>
            <w:tr w14:paraId="20D2B18B">
              <w:tc>
                <w:tcPr>
                  <w:tcW w:w="1731" w:type="dxa"/>
                </w:tcPr>
                <w:p w14:paraId="2C9D979D">
                  <w:pPr>
                    <w:numPr>
                      <w:ilvl w:val="0"/>
                      <w:numId w:val="0"/>
                    </w:numPr>
                    <w:jc w:val="center"/>
                    <w:rPr>
                      <w:rFonts w:hint="eastAsia"/>
                      <w:vertAlign w:val="baseline"/>
                    </w:rPr>
                  </w:pPr>
                  <w:r>
                    <w:rPr>
                      <w:rFonts w:hint="eastAsia"/>
                      <w:vertAlign w:val="baseline"/>
                    </w:rPr>
                    <w:t>+60 min</w:t>
                  </w:r>
                </w:p>
              </w:tc>
              <w:tc>
                <w:tcPr>
                  <w:tcW w:w="1731" w:type="dxa"/>
                </w:tcPr>
                <w:p w14:paraId="70545681">
                  <w:pPr>
                    <w:numPr>
                      <w:ilvl w:val="0"/>
                      <w:numId w:val="0"/>
                    </w:numPr>
                    <w:jc w:val="center"/>
                    <w:rPr>
                      <w:rFonts w:hint="eastAsia"/>
                      <w:vertAlign w:val="baseline"/>
                    </w:rPr>
                  </w:pPr>
                  <w:r>
                    <w:rPr>
                      <w:rFonts w:hint="eastAsia"/>
                      <w:vertAlign w:val="baseline"/>
                    </w:rPr>
                    <w:t>0.942</w:t>
                  </w:r>
                </w:p>
              </w:tc>
              <w:tc>
                <w:tcPr>
                  <w:tcW w:w="1731" w:type="dxa"/>
                </w:tcPr>
                <w:p w14:paraId="44B12560">
                  <w:pPr>
                    <w:numPr>
                      <w:ilvl w:val="0"/>
                      <w:numId w:val="0"/>
                    </w:numPr>
                    <w:jc w:val="center"/>
                    <w:rPr>
                      <w:rFonts w:hint="eastAsia"/>
                      <w:vertAlign w:val="baseline"/>
                    </w:rPr>
                  </w:pPr>
                  <w:r>
                    <w:rPr>
                      <w:rFonts w:hint="eastAsia"/>
                      <w:vertAlign w:val="baseline"/>
                    </w:rPr>
                    <w:t>15.4</w:t>
                  </w:r>
                </w:p>
              </w:tc>
              <w:tc>
                <w:tcPr>
                  <w:tcW w:w="1732" w:type="dxa"/>
                </w:tcPr>
                <w:p w14:paraId="6C61EA2A">
                  <w:pPr>
                    <w:numPr>
                      <w:ilvl w:val="0"/>
                      <w:numId w:val="0"/>
                    </w:numPr>
                    <w:jc w:val="center"/>
                    <w:rPr>
                      <w:rFonts w:hint="eastAsia"/>
                      <w:vertAlign w:val="baseline"/>
                    </w:rPr>
                  </w:pPr>
                  <w:r>
                    <w:rPr>
                      <w:rFonts w:hint="eastAsia"/>
                      <w:vertAlign w:val="baseline"/>
                    </w:rPr>
                    <w:t>0.839</w:t>
                  </w:r>
                </w:p>
              </w:tc>
              <w:tc>
                <w:tcPr>
                  <w:tcW w:w="1732" w:type="dxa"/>
                </w:tcPr>
                <w:p w14:paraId="3C6E7288">
                  <w:pPr>
                    <w:numPr>
                      <w:ilvl w:val="0"/>
                      <w:numId w:val="0"/>
                    </w:numPr>
                    <w:jc w:val="center"/>
                    <w:rPr>
                      <w:rFonts w:hint="eastAsia"/>
                      <w:vertAlign w:val="baseline"/>
                    </w:rPr>
                  </w:pPr>
                  <w:r>
                    <w:rPr>
                      <w:rFonts w:hint="eastAsia"/>
                      <w:vertAlign w:val="baseline"/>
                    </w:rPr>
                    <w:t>+0.103</w:t>
                  </w:r>
                </w:p>
              </w:tc>
            </w:tr>
            <w:tr w14:paraId="3A496955">
              <w:tc>
                <w:tcPr>
                  <w:tcW w:w="1731" w:type="dxa"/>
                </w:tcPr>
                <w:p w14:paraId="74990E9F">
                  <w:pPr>
                    <w:numPr>
                      <w:ilvl w:val="0"/>
                      <w:numId w:val="0"/>
                    </w:numPr>
                    <w:jc w:val="center"/>
                    <w:rPr>
                      <w:rFonts w:hint="eastAsia"/>
                      <w:vertAlign w:val="baseline"/>
                    </w:rPr>
                  </w:pPr>
                  <w:r>
                    <w:rPr>
                      <w:rFonts w:hint="eastAsia"/>
                      <w:vertAlign w:val="baseline"/>
                    </w:rPr>
                    <w:t>+120 min</w:t>
                  </w:r>
                </w:p>
              </w:tc>
              <w:tc>
                <w:tcPr>
                  <w:tcW w:w="1731" w:type="dxa"/>
                </w:tcPr>
                <w:p w14:paraId="17174C6F">
                  <w:pPr>
                    <w:numPr>
                      <w:ilvl w:val="0"/>
                      <w:numId w:val="0"/>
                    </w:numPr>
                    <w:jc w:val="center"/>
                    <w:rPr>
                      <w:rFonts w:hint="eastAsia"/>
                      <w:vertAlign w:val="baseline"/>
                    </w:rPr>
                  </w:pPr>
                  <w:r>
                    <w:rPr>
                      <w:rFonts w:hint="eastAsia"/>
                      <w:vertAlign w:val="baseline"/>
                    </w:rPr>
                    <w:t>0.809</w:t>
                  </w:r>
                </w:p>
              </w:tc>
              <w:tc>
                <w:tcPr>
                  <w:tcW w:w="1731" w:type="dxa"/>
                </w:tcPr>
                <w:p w14:paraId="69F11D65">
                  <w:pPr>
                    <w:numPr>
                      <w:ilvl w:val="0"/>
                      <w:numId w:val="0"/>
                    </w:numPr>
                    <w:jc w:val="center"/>
                    <w:rPr>
                      <w:rFonts w:hint="eastAsia"/>
                      <w:vertAlign w:val="baseline"/>
                    </w:rPr>
                  </w:pPr>
                  <w:r>
                    <w:rPr>
                      <w:rFonts w:hint="eastAsia"/>
                      <w:vertAlign w:val="baseline"/>
                    </w:rPr>
                    <w:t>29.4</w:t>
                  </w:r>
                </w:p>
              </w:tc>
              <w:tc>
                <w:tcPr>
                  <w:tcW w:w="1732" w:type="dxa"/>
                </w:tcPr>
                <w:p w14:paraId="20AE4D1E">
                  <w:pPr>
                    <w:numPr>
                      <w:ilvl w:val="0"/>
                      <w:numId w:val="0"/>
                    </w:numPr>
                    <w:jc w:val="center"/>
                    <w:rPr>
                      <w:rFonts w:hint="eastAsia"/>
                      <w:vertAlign w:val="baseline"/>
                    </w:rPr>
                  </w:pPr>
                  <w:r>
                    <w:rPr>
                      <w:rFonts w:hint="eastAsia"/>
                      <w:vertAlign w:val="baseline"/>
                    </w:rPr>
                    <w:t>0.623</w:t>
                  </w:r>
                </w:p>
              </w:tc>
              <w:tc>
                <w:tcPr>
                  <w:tcW w:w="1732" w:type="dxa"/>
                </w:tcPr>
                <w:p w14:paraId="42A46C35">
                  <w:pPr>
                    <w:numPr>
                      <w:ilvl w:val="0"/>
                      <w:numId w:val="0"/>
                    </w:numPr>
                    <w:jc w:val="center"/>
                    <w:rPr>
                      <w:rFonts w:hint="eastAsia"/>
                      <w:vertAlign w:val="baseline"/>
                    </w:rPr>
                  </w:pPr>
                  <w:r>
                    <w:rPr>
                      <w:rFonts w:hint="eastAsia"/>
                      <w:vertAlign w:val="baseline"/>
                    </w:rPr>
                    <w:t>+0.186</w:t>
                  </w:r>
                </w:p>
              </w:tc>
            </w:tr>
            <w:tr w14:paraId="7621DDA8">
              <w:tc>
                <w:tcPr>
                  <w:tcW w:w="1731" w:type="dxa"/>
                </w:tcPr>
                <w:p w14:paraId="7808DE6C">
                  <w:pPr>
                    <w:numPr>
                      <w:ilvl w:val="0"/>
                      <w:numId w:val="0"/>
                    </w:numPr>
                    <w:jc w:val="center"/>
                    <w:rPr>
                      <w:rFonts w:hint="eastAsia"/>
                      <w:vertAlign w:val="baseline"/>
                    </w:rPr>
                  </w:pPr>
                  <w:r>
                    <w:rPr>
                      <w:rFonts w:hint="eastAsia"/>
                      <w:vertAlign w:val="baseline"/>
                    </w:rPr>
                    <w:t>+180 min</w:t>
                  </w:r>
                </w:p>
              </w:tc>
              <w:tc>
                <w:tcPr>
                  <w:tcW w:w="1731" w:type="dxa"/>
                </w:tcPr>
                <w:p w14:paraId="233DD5DD">
                  <w:pPr>
                    <w:numPr>
                      <w:ilvl w:val="0"/>
                      <w:numId w:val="0"/>
                    </w:numPr>
                    <w:jc w:val="center"/>
                    <w:rPr>
                      <w:rFonts w:hint="eastAsia"/>
                      <w:vertAlign w:val="baseline"/>
                    </w:rPr>
                  </w:pPr>
                  <w:r>
                    <w:rPr>
                      <w:rFonts w:hint="eastAsia"/>
                      <w:vertAlign w:val="baseline"/>
                    </w:rPr>
                    <w:t>0.677</w:t>
                  </w:r>
                </w:p>
              </w:tc>
              <w:tc>
                <w:tcPr>
                  <w:tcW w:w="1731" w:type="dxa"/>
                </w:tcPr>
                <w:p w14:paraId="79933807">
                  <w:pPr>
                    <w:numPr>
                      <w:ilvl w:val="0"/>
                      <w:numId w:val="0"/>
                    </w:numPr>
                    <w:jc w:val="center"/>
                    <w:rPr>
                      <w:rFonts w:hint="eastAsia"/>
                      <w:vertAlign w:val="baseline"/>
                    </w:rPr>
                  </w:pPr>
                  <w:r>
                    <w:rPr>
                      <w:rFonts w:hint="eastAsia"/>
                      <w:vertAlign w:val="baseline"/>
                    </w:rPr>
                    <w:t>40.0</w:t>
                  </w:r>
                </w:p>
              </w:tc>
              <w:tc>
                <w:tcPr>
                  <w:tcW w:w="1732" w:type="dxa"/>
                </w:tcPr>
                <w:p w14:paraId="5DD97649">
                  <w:pPr>
                    <w:numPr>
                      <w:ilvl w:val="0"/>
                      <w:numId w:val="0"/>
                    </w:numPr>
                    <w:jc w:val="center"/>
                    <w:rPr>
                      <w:rFonts w:hint="eastAsia"/>
                      <w:vertAlign w:val="baseline"/>
                    </w:rPr>
                  </w:pPr>
                  <w:r>
                    <w:rPr>
                      <w:rFonts w:hint="eastAsia"/>
                      <w:vertAlign w:val="baseline"/>
                    </w:rPr>
                    <w:t>0.424</w:t>
                  </w:r>
                </w:p>
              </w:tc>
              <w:tc>
                <w:tcPr>
                  <w:tcW w:w="1732" w:type="dxa"/>
                </w:tcPr>
                <w:p w14:paraId="7FCDC5E0">
                  <w:pPr>
                    <w:numPr>
                      <w:ilvl w:val="0"/>
                      <w:numId w:val="0"/>
                    </w:numPr>
                    <w:jc w:val="center"/>
                    <w:rPr>
                      <w:rFonts w:hint="eastAsia"/>
                      <w:vertAlign w:val="baseline"/>
                    </w:rPr>
                  </w:pPr>
                  <w:r>
                    <w:rPr>
                      <w:rFonts w:hint="eastAsia"/>
                      <w:vertAlign w:val="baseline"/>
                    </w:rPr>
                    <w:t>+0.253</w:t>
                  </w:r>
                </w:p>
              </w:tc>
            </w:tr>
          </w:tbl>
          <w:p w14:paraId="2AEA71FA">
            <w:pPr>
              <w:numPr>
                <w:ilvl w:val="0"/>
                <w:numId w:val="0"/>
              </w:numPr>
              <w:jc w:val="center"/>
              <w:rPr>
                <w:rFonts w:hint="eastAsia"/>
              </w:rPr>
            </w:pPr>
            <w:r>
              <w:rPr>
                <w:rFonts w:hint="eastAsia"/>
              </w:rPr>
              <w:t>表 4-1 Koln 真实数据集预测性能对比</w:t>
            </w:r>
          </w:p>
          <w:p w14:paraId="463BF162">
            <w:pPr>
              <w:numPr>
                <w:ilvl w:val="0"/>
                <w:numId w:val="0"/>
              </w:numPr>
              <w:ind w:firstLine="420" w:firstLineChars="200"/>
              <w:jc w:val="both"/>
              <w:rPr>
                <w:rFonts w:hint="eastAsia"/>
              </w:rPr>
            </w:pPr>
            <w:r>
              <w:rPr>
                <w:rFonts w:hint="eastAsia"/>
              </w:rPr>
              <w:t>结果表明：模型在全部提前量下显著优于persistence基线，且随提前量增加优势扩大。+1h时NSE达到0.942，预测精度优异；+3h时NSE仍保持在0.677，领先基线达0.253。这一结果充分证明了"上游管网信号 → 厂前进水"的超前预测路线在真实厂—网—雨系统上成立，上游管网液位与降雨信号包含了丰富的领先信息，能够有效提升超前预测的精度。</w:t>
            </w:r>
          </w:p>
          <w:p w14:paraId="37E78FFF">
            <w:pPr>
              <w:numPr>
                <w:ilvl w:val="0"/>
                <w:numId w:val="0"/>
              </w:numPr>
              <w:jc w:val="both"/>
              <w:rPr>
                <w:rFonts w:hint="default"/>
                <w:lang w:val="en-US"/>
              </w:rPr>
            </w:pPr>
            <w:r>
              <w:rPr>
                <w:rFonts w:hint="eastAsia"/>
                <w:b/>
                <w:bCs/>
                <w:lang w:val="en-US" w:eastAsia="zh-CN"/>
              </w:rPr>
              <w:t>3.3预测过程可视化</w:t>
            </w:r>
          </w:p>
          <w:p w14:paraId="6702A891">
            <w:pPr>
              <w:numPr>
                <w:ilvl w:val="0"/>
                <w:numId w:val="0"/>
              </w:numPr>
              <w:ind w:firstLine="420" w:firstLineChars="200"/>
              <w:jc w:val="both"/>
              <w:rPr>
                <w:rFonts w:hint="eastAsia" w:eastAsia="宋体"/>
                <w:lang w:eastAsia="zh-CN"/>
              </w:rPr>
            </w:pPr>
            <w:r>
              <w:rPr>
                <w:rFonts w:hint="eastAsia"/>
              </w:rPr>
              <w:t>从预测曲线来看，模型不仅能准确捕捉旱天的日周期变化，对暴雨冲击等极端工况也具有良好的跟踪能力。旱天时段预测曲线与真实值几乎重合，雨天时段能够准确捕捉流量的上升、峰值与回落过程，峰现时间预测准确，峰值误差控制在可接受范围内，如图4-1所示</w:t>
            </w:r>
            <w:r>
              <w:rPr>
                <w:rFonts w:hint="eastAsia"/>
                <w:lang w:eastAsia="zh-CN"/>
              </w:rPr>
              <w:t>：</w:t>
            </w:r>
          </w:p>
          <w:p w14:paraId="37D9D52F">
            <w:pPr>
              <w:numPr>
                <w:ilvl w:val="0"/>
                <w:numId w:val="0"/>
              </w:numPr>
              <w:jc w:val="center"/>
            </w:pPr>
            <w:r>
              <w:drawing>
                <wp:inline distT="0" distB="0" distL="114300" distR="114300">
                  <wp:extent cx="5303520" cy="2024380"/>
                  <wp:effectExtent l="0" t="0" r="5080" b="762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14"/>
                          <a:stretch>
                            <a:fillRect/>
                          </a:stretch>
                        </pic:blipFill>
                        <pic:spPr>
                          <a:xfrm>
                            <a:off x="0" y="0"/>
                            <a:ext cx="5303520" cy="2024980"/>
                          </a:xfrm>
                          <a:prstGeom prst="rect">
                            <a:avLst/>
                          </a:prstGeom>
                        </pic:spPr>
                      </pic:pic>
                    </a:graphicData>
                  </a:graphic>
                </wp:inline>
              </w:drawing>
            </w:r>
          </w:p>
          <w:p w14:paraId="324922C1">
            <w:pPr>
              <w:numPr>
                <w:ilvl w:val="0"/>
                <w:numId w:val="0"/>
              </w:numPr>
              <w:jc w:val="center"/>
              <w:rPr>
                <w:rFonts w:hint="eastAsia"/>
              </w:rPr>
            </w:pPr>
            <w:r>
              <w:rPr>
                <w:rFonts w:hint="eastAsia"/>
              </w:rPr>
              <w:t>图4-1 Köln真实数据 +1h 进水流量预测（测试集末7天）：旱天日周期与暴雨冲击均被准确捕捉</w:t>
            </w:r>
          </w:p>
          <w:p w14:paraId="3C95A886">
            <w:pPr>
              <w:numPr>
                <w:ilvl w:val="0"/>
                <w:numId w:val="0"/>
              </w:numPr>
              <w:jc w:val="both"/>
              <w:rPr>
                <w:rFonts w:hint="default"/>
                <w:lang w:val="en-US"/>
              </w:rPr>
            </w:pPr>
            <w:r>
              <w:rPr>
                <w:rFonts w:hint="eastAsia"/>
                <w:b/>
                <w:bCs/>
                <w:lang w:val="en-US" w:eastAsia="zh-CN"/>
              </w:rPr>
              <w:t>3.4特征重要性与可解释性分析</w:t>
            </w:r>
          </w:p>
          <w:p w14:paraId="63A255D5">
            <w:pPr>
              <w:numPr>
                <w:ilvl w:val="0"/>
                <w:numId w:val="0"/>
              </w:numPr>
              <w:jc w:val="both"/>
              <w:rPr>
                <w:rFonts w:hint="eastAsia"/>
                <w:lang w:val="en-US" w:eastAsia="zh-CN"/>
              </w:rPr>
            </w:pPr>
            <w:r>
              <w:rPr>
                <w:rFonts w:hint="eastAsia"/>
                <w:lang w:val="en-US" w:eastAsia="zh-CN"/>
              </w:rPr>
              <w:t xml:space="preserve">    基于LightGBM的特征重要性分析（增益准则）显示，+1h预测模型的Top15重要特征中，上游管网液位滞后项与降雨滞后项贡献主导，合计占比超过60%。这一结果验证了"厂站网一体化信号融合"相对"仅用厂内历史"的信息增益——上游管网信号是超前预测的核心信息来源。</w:t>
            </w:r>
          </w:p>
          <w:p w14:paraId="7F7DCEDE">
            <w:pPr>
              <w:numPr>
                <w:ilvl w:val="0"/>
                <w:numId w:val="0"/>
              </w:numPr>
              <w:ind w:firstLine="420" w:firstLineChars="200"/>
              <w:jc w:val="both"/>
              <w:rPr>
                <w:rFonts w:hint="eastAsia"/>
                <w:lang w:val="en-US" w:eastAsia="zh-CN"/>
              </w:rPr>
            </w:pPr>
            <w:r>
              <w:rPr>
                <w:rFonts w:hint="eastAsia"/>
                <w:lang w:val="en-US" w:eastAsia="zh-CN"/>
              </w:rPr>
              <w:t>具体而言，特征重要性排序呈现以下规律：（1）距离厂越近的上游监测点液位重要性越高，符合水力传导的物理规律；（2）降雨滞后特征具有显著贡献，且滞后时间与汇流延迟匹配；（3）厂前进水自身的滞后项重要性随提前量增加而下降，而上游信号的相对重要性上升，说明超前预测越来越依赖上游领先信息。特征重要性分布如图4-2所示：</w:t>
            </w:r>
          </w:p>
          <w:p w14:paraId="78EEF14E">
            <w:pPr>
              <w:numPr>
                <w:ilvl w:val="0"/>
                <w:numId w:val="0"/>
              </w:numPr>
              <w:ind w:firstLine="420" w:firstLineChars="200"/>
              <w:jc w:val="center"/>
            </w:pPr>
            <w:r>
              <w:drawing>
                <wp:inline distT="0" distB="0" distL="114300" distR="114300">
                  <wp:extent cx="5029200" cy="3143250"/>
                  <wp:effectExtent l="0" t="0" r="0" b="635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15"/>
                          <a:stretch>
                            <a:fillRect/>
                          </a:stretch>
                        </pic:blipFill>
                        <pic:spPr>
                          <a:xfrm>
                            <a:off x="0" y="0"/>
                            <a:ext cx="5029200" cy="3143250"/>
                          </a:xfrm>
                          <a:prstGeom prst="rect">
                            <a:avLst/>
                          </a:prstGeom>
                        </pic:spPr>
                      </pic:pic>
                    </a:graphicData>
                  </a:graphic>
                </wp:inline>
              </w:drawing>
            </w:r>
          </w:p>
          <w:p w14:paraId="70D1CDF4">
            <w:pPr>
              <w:numPr>
                <w:ilvl w:val="0"/>
                <w:numId w:val="0"/>
              </w:numPr>
              <w:ind w:firstLine="420" w:firstLineChars="200"/>
              <w:jc w:val="center"/>
              <w:rPr>
                <w:rFonts w:hint="eastAsia"/>
                <w:lang w:val="en-US" w:eastAsia="zh-CN"/>
              </w:rPr>
            </w:pPr>
            <w:r>
              <w:rPr>
                <w:rFonts w:hint="eastAsia"/>
                <w:lang w:val="en-US" w:eastAsia="zh-CN"/>
              </w:rPr>
              <w:t>图4-2 Köln +1h 模型特征重要性 Top15</w:t>
            </w:r>
          </w:p>
          <w:p w14:paraId="5BE49389">
            <w:pPr>
              <w:numPr>
                <w:ilvl w:val="0"/>
                <w:numId w:val="0"/>
              </w:numPr>
              <w:rPr>
                <w:rFonts w:hint="default" w:eastAsia="宋体"/>
                <w:b/>
                <w:bCs/>
                <w:sz w:val="24"/>
                <w:szCs w:val="24"/>
                <w:lang w:val="en-US" w:eastAsia="zh-CN"/>
              </w:rPr>
            </w:pPr>
            <w:r>
              <w:rPr>
                <w:rFonts w:hint="eastAsia" w:eastAsia="宋体"/>
                <w:b/>
                <w:bCs/>
                <w:sz w:val="24"/>
                <w:szCs w:val="24"/>
                <w:lang w:val="en-US" w:eastAsia="zh-CN"/>
              </w:rPr>
              <w:t>4、泰和模拟场景迁移验证</w:t>
            </w:r>
          </w:p>
          <w:p w14:paraId="028A09B9">
            <w:pPr>
              <w:numPr>
                <w:ilvl w:val="0"/>
                <w:numId w:val="0"/>
              </w:numPr>
              <w:jc w:val="both"/>
              <w:rPr>
                <w:rFonts w:hint="eastAsia"/>
                <w:b/>
                <w:bCs/>
                <w:lang w:val="en-US" w:eastAsia="zh-CN"/>
              </w:rPr>
            </w:pPr>
            <w:r>
              <w:rPr>
                <w:rFonts w:hint="eastAsia"/>
                <w:b/>
                <w:bCs/>
                <w:lang w:val="en-US" w:eastAsia="zh-CN"/>
              </w:rPr>
              <w:t>4.1进水流量预测结果</w:t>
            </w:r>
          </w:p>
          <w:p w14:paraId="40CE5162">
            <w:pPr>
              <w:numPr>
                <w:ilvl w:val="0"/>
                <w:numId w:val="0"/>
              </w:numPr>
              <w:ind w:firstLine="420" w:firstLineChars="200"/>
              <w:jc w:val="both"/>
              <w:rPr>
                <w:rFonts w:hint="default"/>
                <w:b w:val="0"/>
                <w:bCs w:val="0"/>
                <w:lang w:val="en-US" w:eastAsia="zh-CN"/>
              </w:rPr>
            </w:pPr>
            <w:r>
              <w:rPr>
                <w:rFonts w:hint="default"/>
                <w:b w:val="0"/>
                <w:bCs w:val="0"/>
                <w:lang w:val="en-US" w:eastAsia="zh-CN"/>
              </w:rPr>
              <w:t>将同一套特征工程与模型迁移至泰和模拟场景（26泵站骨架 × 上海实测降雨，5min分辨率），验证方法在目标场景下的适用性。预测结果如表4-2所示</w:t>
            </w:r>
            <w:r>
              <w:rPr>
                <w:rFonts w:hint="eastAsia"/>
                <w:b w:val="0"/>
                <w:bCs w:val="0"/>
                <w:lang w:val="en-US"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4"/>
            </w:tblGrid>
            <w:tr w14:paraId="482BA5BE">
              <w:tc>
                <w:tcPr>
                  <w:tcW w:w="2164" w:type="dxa"/>
                </w:tcPr>
                <w:p w14:paraId="0F72730D">
                  <w:pPr>
                    <w:numPr>
                      <w:ilvl w:val="0"/>
                      <w:numId w:val="0"/>
                    </w:numPr>
                    <w:jc w:val="center"/>
                    <w:rPr>
                      <w:rFonts w:hint="eastAsia"/>
                      <w:vertAlign w:val="baseline"/>
                      <w:lang w:val="en-US" w:eastAsia="zh-CN"/>
                    </w:rPr>
                  </w:pPr>
                  <w:r>
                    <w:rPr>
                      <w:rFonts w:hint="eastAsia"/>
                      <w:vertAlign w:val="baseline"/>
                      <w:lang w:val="en-US" w:eastAsia="zh-CN"/>
                    </w:rPr>
                    <w:t>目标</w:t>
                  </w:r>
                </w:p>
              </w:tc>
              <w:tc>
                <w:tcPr>
                  <w:tcW w:w="2164" w:type="dxa"/>
                </w:tcPr>
                <w:p w14:paraId="7032296B">
                  <w:pPr>
                    <w:numPr>
                      <w:ilvl w:val="0"/>
                      <w:numId w:val="0"/>
                    </w:numPr>
                    <w:jc w:val="center"/>
                    <w:rPr>
                      <w:rFonts w:hint="eastAsia"/>
                      <w:vertAlign w:val="baseline"/>
                      <w:lang w:val="en-US" w:eastAsia="zh-CN"/>
                    </w:rPr>
                  </w:pPr>
                  <w:r>
                    <w:rPr>
                      <w:rFonts w:hint="eastAsia"/>
                      <w:vertAlign w:val="baseline"/>
                      <w:lang w:val="en-US" w:eastAsia="zh-CN"/>
                    </w:rPr>
                    <w:t>提前量</w:t>
                  </w:r>
                </w:p>
              </w:tc>
              <w:tc>
                <w:tcPr>
                  <w:tcW w:w="2164" w:type="dxa"/>
                </w:tcPr>
                <w:p w14:paraId="25FDF208">
                  <w:pPr>
                    <w:numPr>
                      <w:ilvl w:val="0"/>
                      <w:numId w:val="0"/>
                    </w:numPr>
                    <w:jc w:val="center"/>
                    <w:rPr>
                      <w:rFonts w:hint="eastAsia"/>
                      <w:vertAlign w:val="baseline"/>
                      <w:lang w:val="en-US" w:eastAsia="zh-CN"/>
                    </w:rPr>
                  </w:pPr>
                  <w:r>
                    <w:rPr>
                      <w:rFonts w:hint="eastAsia"/>
                      <w:vertAlign w:val="baseline"/>
                      <w:lang w:val="en-US" w:eastAsia="zh-CN"/>
                    </w:rPr>
                    <w:t>模型 NSE</w:t>
                  </w:r>
                </w:p>
              </w:tc>
              <w:tc>
                <w:tcPr>
                  <w:tcW w:w="2165" w:type="dxa"/>
                </w:tcPr>
                <w:p w14:paraId="4D624829">
                  <w:pPr>
                    <w:numPr>
                      <w:ilvl w:val="0"/>
                      <w:numId w:val="0"/>
                    </w:numPr>
                    <w:jc w:val="center"/>
                    <w:rPr>
                      <w:rFonts w:hint="eastAsia"/>
                      <w:vertAlign w:val="baseline"/>
                      <w:lang w:val="en-US" w:eastAsia="zh-CN"/>
                    </w:rPr>
                  </w:pPr>
                  <w:r>
                    <w:rPr>
                      <w:rFonts w:hint="eastAsia"/>
                      <w:vertAlign w:val="baseline"/>
                      <w:lang w:val="en-US" w:eastAsia="zh-CN"/>
                    </w:rPr>
                    <w:t>persistence NSE</w:t>
                  </w:r>
                </w:p>
              </w:tc>
            </w:tr>
            <w:tr w14:paraId="5B925951">
              <w:tc>
                <w:tcPr>
                  <w:tcW w:w="2164" w:type="dxa"/>
                </w:tcPr>
                <w:p w14:paraId="22C149AE">
                  <w:pPr>
                    <w:numPr>
                      <w:ilvl w:val="0"/>
                      <w:numId w:val="0"/>
                    </w:numPr>
                    <w:jc w:val="center"/>
                    <w:rPr>
                      <w:rFonts w:hint="eastAsia"/>
                      <w:vertAlign w:val="baseline"/>
                      <w:lang w:val="en-US" w:eastAsia="zh-CN"/>
                    </w:rPr>
                  </w:pPr>
                  <w:r>
                    <w:rPr>
                      <w:rFonts w:hint="eastAsia"/>
                      <w:vertAlign w:val="baseline"/>
                      <w:lang w:val="en-US" w:eastAsia="zh-CN"/>
                    </w:rPr>
                    <w:t>进水流量</w:t>
                  </w:r>
                </w:p>
              </w:tc>
              <w:tc>
                <w:tcPr>
                  <w:tcW w:w="2164" w:type="dxa"/>
                </w:tcPr>
                <w:p w14:paraId="76DD7781">
                  <w:pPr>
                    <w:numPr>
                      <w:ilvl w:val="0"/>
                      <w:numId w:val="0"/>
                    </w:numPr>
                    <w:jc w:val="center"/>
                    <w:rPr>
                      <w:rFonts w:hint="eastAsia"/>
                      <w:vertAlign w:val="baseline"/>
                      <w:lang w:val="en-US" w:eastAsia="zh-CN"/>
                    </w:rPr>
                  </w:pPr>
                  <w:r>
                    <w:rPr>
                      <w:rFonts w:hint="eastAsia"/>
                      <w:vertAlign w:val="baseline"/>
                      <w:lang w:val="en-US" w:eastAsia="zh-CN"/>
                    </w:rPr>
                    <w:t>+60 min</w:t>
                  </w:r>
                </w:p>
              </w:tc>
              <w:tc>
                <w:tcPr>
                  <w:tcW w:w="2164" w:type="dxa"/>
                </w:tcPr>
                <w:p w14:paraId="5AFB8A89">
                  <w:pPr>
                    <w:numPr>
                      <w:ilvl w:val="0"/>
                      <w:numId w:val="0"/>
                    </w:numPr>
                    <w:jc w:val="center"/>
                    <w:rPr>
                      <w:rFonts w:hint="eastAsia"/>
                      <w:vertAlign w:val="baseline"/>
                      <w:lang w:val="en-US" w:eastAsia="zh-CN"/>
                    </w:rPr>
                  </w:pPr>
                  <w:r>
                    <w:rPr>
                      <w:rFonts w:hint="eastAsia"/>
                      <w:vertAlign w:val="baseline"/>
                      <w:lang w:val="en-US" w:eastAsia="zh-CN"/>
                    </w:rPr>
                    <w:t>0.926</w:t>
                  </w:r>
                </w:p>
              </w:tc>
              <w:tc>
                <w:tcPr>
                  <w:tcW w:w="2165" w:type="dxa"/>
                </w:tcPr>
                <w:p w14:paraId="593AA5EA">
                  <w:pPr>
                    <w:numPr>
                      <w:ilvl w:val="0"/>
                      <w:numId w:val="0"/>
                    </w:numPr>
                    <w:jc w:val="center"/>
                    <w:rPr>
                      <w:rFonts w:hint="eastAsia"/>
                      <w:vertAlign w:val="baseline"/>
                      <w:lang w:val="en-US" w:eastAsia="zh-CN"/>
                    </w:rPr>
                  </w:pPr>
                  <w:r>
                    <w:rPr>
                      <w:rFonts w:hint="eastAsia"/>
                      <w:vertAlign w:val="baseline"/>
                      <w:lang w:val="en-US" w:eastAsia="zh-CN"/>
                    </w:rPr>
                    <w:t>0.687</w:t>
                  </w:r>
                </w:p>
              </w:tc>
            </w:tr>
            <w:tr w14:paraId="66FFCD33">
              <w:tc>
                <w:tcPr>
                  <w:tcW w:w="2164" w:type="dxa"/>
                </w:tcPr>
                <w:p w14:paraId="5CCE8FEA">
                  <w:pPr>
                    <w:numPr>
                      <w:ilvl w:val="0"/>
                      <w:numId w:val="0"/>
                    </w:numPr>
                    <w:jc w:val="center"/>
                    <w:rPr>
                      <w:rFonts w:hint="eastAsia"/>
                      <w:vertAlign w:val="baseline"/>
                      <w:lang w:val="en-US" w:eastAsia="zh-CN"/>
                    </w:rPr>
                  </w:pPr>
                  <w:r>
                    <w:rPr>
                      <w:rFonts w:hint="eastAsia"/>
                      <w:vertAlign w:val="baseline"/>
                      <w:lang w:val="en-US" w:eastAsia="zh-CN"/>
                    </w:rPr>
                    <w:t>进水流量</w:t>
                  </w:r>
                </w:p>
              </w:tc>
              <w:tc>
                <w:tcPr>
                  <w:tcW w:w="2164" w:type="dxa"/>
                </w:tcPr>
                <w:p w14:paraId="430A150D">
                  <w:pPr>
                    <w:numPr>
                      <w:ilvl w:val="0"/>
                      <w:numId w:val="0"/>
                    </w:numPr>
                    <w:jc w:val="center"/>
                    <w:rPr>
                      <w:rFonts w:hint="eastAsia"/>
                      <w:vertAlign w:val="baseline"/>
                      <w:lang w:val="en-US" w:eastAsia="zh-CN"/>
                    </w:rPr>
                  </w:pPr>
                  <w:r>
                    <w:rPr>
                      <w:rFonts w:hint="eastAsia"/>
                      <w:vertAlign w:val="baseline"/>
                      <w:lang w:val="en-US" w:eastAsia="zh-CN"/>
                    </w:rPr>
                    <w:t>+120 min</w:t>
                  </w:r>
                </w:p>
              </w:tc>
              <w:tc>
                <w:tcPr>
                  <w:tcW w:w="2164" w:type="dxa"/>
                </w:tcPr>
                <w:p w14:paraId="79B9C7AC">
                  <w:pPr>
                    <w:numPr>
                      <w:ilvl w:val="0"/>
                      <w:numId w:val="0"/>
                    </w:numPr>
                    <w:jc w:val="center"/>
                    <w:rPr>
                      <w:rFonts w:hint="eastAsia"/>
                      <w:vertAlign w:val="baseline"/>
                      <w:lang w:val="en-US" w:eastAsia="zh-CN"/>
                    </w:rPr>
                  </w:pPr>
                  <w:r>
                    <w:rPr>
                      <w:rFonts w:hint="eastAsia"/>
                      <w:vertAlign w:val="baseline"/>
                      <w:lang w:val="en-US" w:eastAsia="zh-CN"/>
                    </w:rPr>
                    <w:t>0.922</w:t>
                  </w:r>
                </w:p>
              </w:tc>
              <w:tc>
                <w:tcPr>
                  <w:tcW w:w="2165" w:type="dxa"/>
                </w:tcPr>
                <w:p w14:paraId="026DA26A">
                  <w:pPr>
                    <w:numPr>
                      <w:ilvl w:val="0"/>
                      <w:numId w:val="0"/>
                    </w:numPr>
                    <w:jc w:val="center"/>
                    <w:rPr>
                      <w:rFonts w:hint="eastAsia"/>
                      <w:vertAlign w:val="baseline"/>
                      <w:lang w:val="en-US" w:eastAsia="zh-CN"/>
                    </w:rPr>
                  </w:pPr>
                  <w:r>
                    <w:rPr>
                      <w:rFonts w:hint="eastAsia"/>
                      <w:vertAlign w:val="baseline"/>
                      <w:lang w:val="en-US" w:eastAsia="zh-CN"/>
                    </w:rPr>
                    <w:t>0.140</w:t>
                  </w:r>
                </w:p>
              </w:tc>
            </w:tr>
            <w:tr w14:paraId="73B11C50">
              <w:tc>
                <w:tcPr>
                  <w:tcW w:w="2164" w:type="dxa"/>
                </w:tcPr>
                <w:p w14:paraId="074E90B5">
                  <w:pPr>
                    <w:numPr>
                      <w:ilvl w:val="0"/>
                      <w:numId w:val="0"/>
                    </w:numPr>
                    <w:jc w:val="center"/>
                    <w:rPr>
                      <w:rFonts w:hint="eastAsia"/>
                      <w:vertAlign w:val="baseline"/>
                      <w:lang w:val="en-US" w:eastAsia="zh-CN"/>
                    </w:rPr>
                  </w:pPr>
                  <w:r>
                    <w:rPr>
                      <w:rFonts w:hint="eastAsia"/>
                      <w:vertAlign w:val="baseline"/>
                      <w:lang w:val="en-US" w:eastAsia="zh-CN"/>
                    </w:rPr>
                    <w:t>进水流量</w:t>
                  </w:r>
                </w:p>
              </w:tc>
              <w:tc>
                <w:tcPr>
                  <w:tcW w:w="2164" w:type="dxa"/>
                </w:tcPr>
                <w:p w14:paraId="2A0486D4">
                  <w:pPr>
                    <w:numPr>
                      <w:ilvl w:val="0"/>
                      <w:numId w:val="0"/>
                    </w:numPr>
                    <w:jc w:val="center"/>
                    <w:rPr>
                      <w:rFonts w:hint="eastAsia"/>
                      <w:vertAlign w:val="baseline"/>
                      <w:lang w:val="en-US" w:eastAsia="zh-CN"/>
                    </w:rPr>
                  </w:pPr>
                  <w:r>
                    <w:rPr>
                      <w:rFonts w:hint="eastAsia"/>
                      <w:vertAlign w:val="baseline"/>
                      <w:lang w:val="en-US" w:eastAsia="zh-CN"/>
                    </w:rPr>
                    <w:t>+180 min</w:t>
                  </w:r>
                </w:p>
              </w:tc>
              <w:tc>
                <w:tcPr>
                  <w:tcW w:w="2164" w:type="dxa"/>
                </w:tcPr>
                <w:p w14:paraId="20859F12">
                  <w:pPr>
                    <w:numPr>
                      <w:ilvl w:val="0"/>
                      <w:numId w:val="0"/>
                    </w:numPr>
                    <w:jc w:val="center"/>
                    <w:rPr>
                      <w:rFonts w:hint="eastAsia"/>
                      <w:vertAlign w:val="baseline"/>
                      <w:lang w:val="en-US" w:eastAsia="zh-CN"/>
                    </w:rPr>
                  </w:pPr>
                  <w:r>
                    <w:rPr>
                      <w:rFonts w:hint="eastAsia"/>
                      <w:vertAlign w:val="baseline"/>
                      <w:lang w:val="en-US" w:eastAsia="zh-CN"/>
                    </w:rPr>
                    <w:t>0.923</w:t>
                  </w:r>
                </w:p>
              </w:tc>
              <w:tc>
                <w:tcPr>
                  <w:tcW w:w="2165" w:type="dxa"/>
                </w:tcPr>
                <w:p w14:paraId="3AE6B6BC">
                  <w:pPr>
                    <w:numPr>
                      <w:ilvl w:val="0"/>
                      <w:numId w:val="0"/>
                    </w:numPr>
                    <w:jc w:val="center"/>
                    <w:rPr>
                      <w:rFonts w:hint="eastAsia"/>
                      <w:vertAlign w:val="baseline"/>
                      <w:lang w:val="en-US" w:eastAsia="zh-CN"/>
                    </w:rPr>
                  </w:pPr>
                  <w:r>
                    <w:rPr>
                      <w:rFonts w:hint="eastAsia"/>
                      <w:vertAlign w:val="baseline"/>
                      <w:lang w:val="en-US" w:eastAsia="zh-CN"/>
                    </w:rPr>
                    <w:t>-0.539</w:t>
                  </w:r>
                </w:p>
              </w:tc>
            </w:tr>
          </w:tbl>
          <w:p w14:paraId="4275E389">
            <w:pPr>
              <w:numPr>
                <w:ilvl w:val="0"/>
                <w:numId w:val="0"/>
              </w:numPr>
              <w:ind w:firstLine="420" w:firstLineChars="200"/>
              <w:jc w:val="center"/>
              <w:rPr>
                <w:rFonts w:hint="eastAsia"/>
                <w:lang w:val="en-US" w:eastAsia="zh-CN"/>
              </w:rPr>
            </w:pPr>
            <w:r>
              <w:rPr>
                <w:rFonts w:hint="eastAsia"/>
                <w:lang w:val="en-US" w:eastAsia="zh-CN"/>
              </w:rPr>
              <w:t>表4-2泰和模拟场景进水流量预测性能</w:t>
            </w:r>
          </w:p>
          <w:p w14:paraId="1B87C7DA">
            <w:pPr>
              <w:numPr>
                <w:ilvl w:val="0"/>
                <w:numId w:val="0"/>
              </w:numPr>
              <w:ind w:firstLine="420" w:firstLineChars="200"/>
              <w:jc w:val="both"/>
              <w:rPr>
                <w:rFonts w:hint="eastAsia"/>
                <w:lang w:val="en-US" w:eastAsia="zh-CN"/>
              </w:rPr>
            </w:pPr>
            <w:r>
              <w:rPr>
                <w:rFonts w:hint="eastAsia"/>
                <w:lang w:val="en-US" w:eastAsia="zh-CN"/>
              </w:rPr>
              <w:t>结果表明：进水流量超前3小时NSE仍稳定在0.92，此时persistence基线已崩溃为负值。这说明在"骨架 + 实测降雨"场景下，"上游信号→厂前进水"的因果链可以被模型完整学习，方法具有良好的场景迁移能力。</w:t>
            </w:r>
          </w:p>
          <w:p w14:paraId="150C58BE">
            <w:pPr>
              <w:numPr>
                <w:ilvl w:val="0"/>
                <w:numId w:val="0"/>
              </w:numPr>
              <w:ind w:firstLine="420" w:firstLineChars="200"/>
              <w:jc w:val="both"/>
              <w:rPr>
                <w:rFonts w:hint="eastAsia"/>
                <w:lang w:val="en-US" w:eastAsia="zh-CN"/>
              </w:rPr>
            </w:pPr>
            <w:r>
              <w:rPr>
                <w:rFonts w:hint="eastAsia"/>
                <w:lang w:val="en-US" w:eastAsia="zh-CN"/>
              </w:rPr>
              <w:t>值得注意的是，泰和场景下+2h与+3h的NSE几乎持平，这是因为泰和概化管网的输送延迟分布在0.5~3小时，上游多个监测点的信号覆盖了不同的时间尺度，使得模型在较长提前量下仍能保持较高精度。这一结果也验证了厂站网一体化感知的价值——多点监测能够提供更丰富的领先信息。</w:t>
            </w:r>
          </w:p>
          <w:p w14:paraId="5B743B19">
            <w:pPr>
              <w:numPr>
                <w:ilvl w:val="0"/>
                <w:numId w:val="0"/>
              </w:numPr>
              <w:ind w:firstLine="420" w:firstLineChars="200"/>
              <w:jc w:val="both"/>
            </w:pPr>
            <w:r>
              <w:drawing>
                <wp:inline distT="0" distB="0" distL="114300" distR="114300">
                  <wp:extent cx="5303520" cy="20243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303520" cy="2024980"/>
                          </a:xfrm>
                          <a:prstGeom prst="rect">
                            <a:avLst/>
                          </a:prstGeom>
                        </pic:spPr>
                      </pic:pic>
                    </a:graphicData>
                  </a:graphic>
                </wp:inline>
              </w:drawing>
            </w:r>
          </w:p>
          <w:p w14:paraId="54CB510A">
            <w:pPr>
              <w:numPr>
                <w:ilvl w:val="0"/>
                <w:numId w:val="0"/>
              </w:numPr>
              <w:ind w:firstLine="420" w:firstLineChars="200"/>
              <w:jc w:val="center"/>
              <w:rPr>
                <w:rFonts w:hint="eastAsia"/>
              </w:rPr>
            </w:pPr>
            <w:r>
              <w:rPr>
                <w:rFonts w:hint="eastAsia"/>
              </w:rPr>
              <w:t>图4-3 泰和模拟场景 +2h 进水流量预测（测试集末7天）</w:t>
            </w:r>
          </w:p>
          <w:p w14:paraId="29C552E6">
            <w:pPr>
              <w:numPr>
                <w:ilvl w:val="0"/>
                <w:numId w:val="0"/>
              </w:numPr>
              <w:ind w:firstLine="420" w:firstLineChars="200"/>
              <w:jc w:val="center"/>
              <w:rPr>
                <w:rFonts w:hint="eastAsia"/>
              </w:rPr>
            </w:pPr>
            <w:r>
              <w:drawing>
                <wp:inline distT="0" distB="0" distL="114300" distR="114300">
                  <wp:extent cx="5303520" cy="1928495"/>
                  <wp:effectExtent l="0" t="0" r="5080" b="190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17"/>
                          <a:stretch>
                            <a:fillRect/>
                          </a:stretch>
                        </pic:blipFill>
                        <pic:spPr>
                          <a:xfrm>
                            <a:off x="0" y="0"/>
                            <a:ext cx="5303520" cy="1928553"/>
                          </a:xfrm>
                          <a:prstGeom prst="rect">
                            <a:avLst/>
                          </a:prstGeom>
                        </pic:spPr>
                      </pic:pic>
                    </a:graphicData>
                  </a:graphic>
                </wp:inline>
              </w:drawing>
            </w:r>
          </w:p>
          <w:p w14:paraId="59119728">
            <w:pPr>
              <w:numPr>
                <w:ilvl w:val="0"/>
                <w:numId w:val="0"/>
              </w:numPr>
              <w:ind w:firstLine="420" w:firstLineChars="200"/>
              <w:jc w:val="center"/>
              <w:rPr>
                <w:rFonts w:hint="eastAsia"/>
              </w:rPr>
            </w:pPr>
            <w:r>
              <w:rPr>
                <w:rFonts w:hint="eastAsia"/>
              </w:rPr>
              <w:t>图4-4 提前量—精度对比：LightGBM vs persistence（左：Köln真实数据；右：泰和模拟场景）</w:t>
            </w:r>
          </w:p>
          <w:p w14:paraId="0A546685">
            <w:pPr>
              <w:numPr>
                <w:ilvl w:val="0"/>
                <w:numId w:val="0"/>
              </w:numPr>
              <w:jc w:val="both"/>
              <w:rPr>
                <w:rFonts w:hint="eastAsia"/>
                <w:b/>
                <w:bCs/>
                <w:lang w:val="en-US" w:eastAsia="zh-CN"/>
              </w:rPr>
            </w:pPr>
            <w:r>
              <w:rPr>
                <w:rFonts w:hint="eastAsia"/>
                <w:b/>
                <w:bCs/>
                <w:lang w:val="en-US" w:eastAsia="zh-CN"/>
              </w:rPr>
              <w:t>4.2水质预测口径优化</w:t>
            </w:r>
          </w:p>
          <w:p w14:paraId="428098EE">
            <w:pPr>
              <w:numPr>
                <w:ilvl w:val="0"/>
                <w:numId w:val="0"/>
              </w:numPr>
              <w:ind w:firstLine="420" w:firstLineChars="200"/>
              <w:jc w:val="both"/>
              <w:rPr>
                <w:rFonts w:hint="eastAsia"/>
              </w:rPr>
            </w:pPr>
            <w:r>
              <w:rPr>
                <w:rFonts w:hint="eastAsia"/>
              </w:rPr>
              <w:t>初始实验发现COD浓度预测NSE较低（+1h仅0.035），接近该数据的可预测性上限。深入分析表明，当前模拟配置下COD浓度以随机噪声与突发冲击为主、确定性结构弱，NSE≈0并非方法失效，而是模拟数据本身的限制。这一结论与SOTA综述"浓度可预测性天然低于流量"的研究结论一致。</w:t>
            </w:r>
          </w:p>
          <w:p w14:paraId="04473563">
            <w:pPr>
              <w:numPr>
                <w:ilvl w:val="0"/>
                <w:numId w:val="0"/>
              </w:numPr>
              <w:ind w:firstLine="420" w:firstLineChars="200"/>
              <w:jc w:val="both"/>
              <w:rPr>
                <w:rFonts w:hint="eastAsia"/>
              </w:rPr>
            </w:pPr>
            <w:r>
              <w:rPr>
                <w:rFonts w:hint="eastAsia"/>
              </w:rPr>
              <w:t>为提升水质预测的实用价值，将水质预测口径优化为COD负荷（浓度×流量，kg/h）——负荷才是决定工艺冲击强度与加药/曝气需求的直接物理量。口径优化后，COD负荷预测NSE提升至0.78~0.84（+1h~+3h），实现了水质维度的可用预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2"/>
              <w:gridCol w:w="2163"/>
            </w:tblGrid>
            <w:tr w14:paraId="76D259A2">
              <w:tc>
                <w:tcPr>
                  <w:tcW w:w="2164" w:type="dxa"/>
                </w:tcPr>
                <w:p w14:paraId="462D9473">
                  <w:pPr>
                    <w:numPr>
                      <w:ilvl w:val="0"/>
                      <w:numId w:val="0"/>
                    </w:numPr>
                    <w:jc w:val="center"/>
                    <w:rPr>
                      <w:vertAlign w:val="baseline"/>
                    </w:rPr>
                  </w:pPr>
                  <w:r>
                    <w:rPr>
                      <w:rFonts w:hint="eastAsia"/>
                      <w:vertAlign w:val="baseline"/>
                    </w:rPr>
                    <w:t>预测口径</w:t>
                  </w:r>
                </w:p>
              </w:tc>
              <w:tc>
                <w:tcPr>
                  <w:tcW w:w="2164" w:type="dxa"/>
                </w:tcPr>
                <w:p w14:paraId="3C87D593">
                  <w:pPr>
                    <w:numPr>
                      <w:ilvl w:val="0"/>
                      <w:numId w:val="0"/>
                    </w:numPr>
                    <w:jc w:val="center"/>
                    <w:rPr>
                      <w:vertAlign w:val="baseline"/>
                    </w:rPr>
                  </w:pPr>
                  <w:r>
                    <w:rPr>
                      <w:rFonts w:hint="eastAsia"/>
                      <w:vertAlign w:val="baseline"/>
                    </w:rPr>
                    <w:t>+</w:t>
                  </w:r>
                  <w:r>
                    <w:rPr>
                      <w:rFonts w:hint="eastAsia"/>
                      <w:vertAlign w:val="baseline"/>
                      <w:lang w:val="en-US" w:eastAsia="zh-CN"/>
                    </w:rPr>
                    <w:t>1</w:t>
                  </w:r>
                  <w:r>
                    <w:rPr>
                      <w:rFonts w:hint="eastAsia"/>
                      <w:vertAlign w:val="baseline"/>
                    </w:rPr>
                    <w:t>h NSE</w:t>
                  </w:r>
                </w:p>
              </w:tc>
              <w:tc>
                <w:tcPr>
                  <w:tcW w:w="2164" w:type="dxa"/>
                </w:tcPr>
                <w:p w14:paraId="6CD2BE97">
                  <w:pPr>
                    <w:numPr>
                      <w:ilvl w:val="0"/>
                      <w:numId w:val="0"/>
                    </w:numPr>
                    <w:jc w:val="center"/>
                    <w:rPr>
                      <w:vertAlign w:val="baseline"/>
                    </w:rPr>
                  </w:pPr>
                  <w:r>
                    <w:rPr>
                      <w:rFonts w:hint="eastAsia"/>
                      <w:vertAlign w:val="baseline"/>
                    </w:rPr>
                    <w:t>+2h NSE</w:t>
                  </w:r>
                </w:p>
              </w:tc>
              <w:tc>
                <w:tcPr>
                  <w:tcW w:w="2165" w:type="dxa"/>
                </w:tcPr>
                <w:p w14:paraId="1EDD3A5A">
                  <w:pPr>
                    <w:numPr>
                      <w:ilvl w:val="0"/>
                      <w:numId w:val="0"/>
                    </w:numPr>
                    <w:jc w:val="center"/>
                    <w:rPr>
                      <w:vertAlign w:val="baseline"/>
                    </w:rPr>
                  </w:pPr>
                  <w:r>
                    <w:rPr>
                      <w:rFonts w:hint="eastAsia"/>
                      <w:vertAlign w:val="baseline"/>
                    </w:rPr>
                    <w:t>+3h NSE</w:t>
                  </w:r>
                </w:p>
              </w:tc>
            </w:tr>
            <w:tr w14:paraId="0D378406">
              <w:tc>
                <w:tcPr>
                  <w:tcW w:w="2164" w:type="dxa"/>
                </w:tcPr>
                <w:p w14:paraId="0967CCB3">
                  <w:pPr>
                    <w:numPr>
                      <w:ilvl w:val="0"/>
                      <w:numId w:val="0"/>
                    </w:numPr>
                    <w:jc w:val="center"/>
                    <w:rPr>
                      <w:vertAlign w:val="baseline"/>
                    </w:rPr>
                  </w:pPr>
                  <w:r>
                    <w:rPr>
                      <w:rFonts w:hint="eastAsia"/>
                      <w:vertAlign w:val="baseline"/>
                    </w:rPr>
                    <w:t>COD 液度</w:t>
                  </w:r>
                </w:p>
              </w:tc>
              <w:tc>
                <w:tcPr>
                  <w:tcW w:w="2164" w:type="dxa"/>
                </w:tcPr>
                <w:p w14:paraId="1BF4FFE5">
                  <w:pPr>
                    <w:numPr>
                      <w:ilvl w:val="0"/>
                      <w:numId w:val="0"/>
                    </w:numPr>
                    <w:jc w:val="center"/>
                    <w:rPr>
                      <w:vertAlign w:val="baseline"/>
                    </w:rPr>
                  </w:pPr>
                  <w:r>
                    <w:rPr>
                      <w:rFonts w:hint="eastAsia"/>
                      <w:vertAlign w:val="baseline"/>
                    </w:rPr>
                    <w:t>0.035</w:t>
                  </w:r>
                </w:p>
              </w:tc>
              <w:tc>
                <w:tcPr>
                  <w:tcW w:w="2164" w:type="dxa"/>
                </w:tcPr>
                <w:p w14:paraId="63D07196">
                  <w:pPr>
                    <w:numPr>
                      <w:ilvl w:val="0"/>
                      <w:numId w:val="0"/>
                    </w:numPr>
                    <w:jc w:val="center"/>
                    <w:rPr>
                      <w:vertAlign w:val="baseline"/>
                    </w:rPr>
                  </w:pPr>
                  <w:r>
                    <w:rPr>
                      <w:rFonts w:hint="eastAsia"/>
                      <w:vertAlign w:val="baseline"/>
                    </w:rPr>
                    <w:t>-0.131</w:t>
                  </w:r>
                </w:p>
              </w:tc>
              <w:tc>
                <w:tcPr>
                  <w:tcW w:w="2165" w:type="dxa"/>
                </w:tcPr>
                <w:p w14:paraId="4BE4597A">
                  <w:pPr>
                    <w:numPr>
                      <w:ilvl w:val="0"/>
                      <w:numId w:val="0"/>
                    </w:numPr>
                    <w:jc w:val="center"/>
                    <w:rPr>
                      <w:vertAlign w:val="baseline"/>
                    </w:rPr>
                  </w:pPr>
                  <w:r>
                    <w:rPr>
                      <w:rFonts w:hint="eastAsia"/>
                      <w:vertAlign w:val="baseline"/>
                    </w:rPr>
                    <w:t>-0.144</w:t>
                  </w:r>
                </w:p>
              </w:tc>
            </w:tr>
            <w:tr w14:paraId="072ABF6F">
              <w:tc>
                <w:tcPr>
                  <w:tcW w:w="2164" w:type="dxa"/>
                </w:tcPr>
                <w:p w14:paraId="60A108E6">
                  <w:pPr>
                    <w:numPr>
                      <w:ilvl w:val="0"/>
                      <w:numId w:val="0"/>
                    </w:numPr>
                    <w:jc w:val="center"/>
                    <w:rPr>
                      <w:vertAlign w:val="baseline"/>
                    </w:rPr>
                  </w:pPr>
                  <w:r>
                    <w:rPr>
                      <w:rFonts w:hint="eastAsia"/>
                      <w:vertAlign w:val="baseline"/>
                    </w:rPr>
                    <w:t>COD 负荷</w:t>
                  </w:r>
                </w:p>
              </w:tc>
              <w:tc>
                <w:tcPr>
                  <w:tcW w:w="2164" w:type="dxa"/>
                </w:tcPr>
                <w:p w14:paraId="36707E3C">
                  <w:pPr>
                    <w:numPr>
                      <w:ilvl w:val="0"/>
                      <w:numId w:val="0"/>
                    </w:numPr>
                    <w:jc w:val="center"/>
                    <w:rPr>
                      <w:vertAlign w:val="baseline"/>
                    </w:rPr>
                  </w:pPr>
                  <w:r>
                    <w:rPr>
                      <w:rFonts w:hint="eastAsia"/>
                      <w:vertAlign w:val="baseline"/>
                    </w:rPr>
                    <w:t>0.841</w:t>
                  </w:r>
                </w:p>
              </w:tc>
              <w:tc>
                <w:tcPr>
                  <w:tcW w:w="2164" w:type="dxa"/>
                </w:tcPr>
                <w:p w14:paraId="7702467E">
                  <w:pPr>
                    <w:numPr>
                      <w:ilvl w:val="0"/>
                      <w:numId w:val="0"/>
                    </w:numPr>
                    <w:jc w:val="center"/>
                    <w:rPr>
                      <w:vertAlign w:val="baseline"/>
                    </w:rPr>
                  </w:pPr>
                  <w:r>
                    <w:rPr>
                      <w:rFonts w:hint="eastAsia"/>
                      <w:vertAlign w:val="baseline"/>
                    </w:rPr>
                    <w:t>0.805</w:t>
                  </w:r>
                </w:p>
              </w:tc>
              <w:tc>
                <w:tcPr>
                  <w:tcW w:w="2165" w:type="dxa"/>
                </w:tcPr>
                <w:p w14:paraId="5AEFF84B">
                  <w:pPr>
                    <w:numPr>
                      <w:ilvl w:val="0"/>
                      <w:numId w:val="0"/>
                    </w:numPr>
                    <w:jc w:val="center"/>
                    <w:rPr>
                      <w:vertAlign w:val="baseline"/>
                    </w:rPr>
                  </w:pPr>
                  <w:r>
                    <w:rPr>
                      <w:rFonts w:hint="eastAsia"/>
                      <w:vertAlign w:val="baseline"/>
                    </w:rPr>
                    <w:t>0.782</w:t>
                  </w:r>
                </w:p>
              </w:tc>
            </w:tr>
          </w:tbl>
          <w:p w14:paraId="620C6E62">
            <w:pPr>
              <w:numPr>
                <w:ilvl w:val="0"/>
                <w:numId w:val="0"/>
              </w:numPr>
              <w:jc w:val="center"/>
            </w:pPr>
            <w:r>
              <w:rPr>
                <w:rFonts w:hint="eastAsia"/>
              </w:rPr>
              <w:t>表4-3 水质预测口径优化效果对比</w:t>
            </w:r>
          </w:p>
          <w:p w14:paraId="478C3F5D">
            <w:pPr>
              <w:numPr>
                <w:ilvl w:val="0"/>
                <w:numId w:val="0"/>
              </w:numPr>
              <w:ind w:firstLine="420" w:firstLineChars="200"/>
              <w:jc w:val="both"/>
              <w:rPr>
                <w:rFonts w:hint="eastAsia"/>
                <w:lang w:val="en-US" w:eastAsia="zh-CN"/>
              </w:rPr>
            </w:pPr>
            <w:r>
              <w:rPr>
                <w:rFonts w:hint="eastAsia"/>
                <w:lang w:val="en-US" w:eastAsia="zh-CN"/>
              </w:rPr>
              <w:t>同口径扩展至氨氮：氨氮负荷（浓度×流量）+1h/+2h/+3h预测NSE均约0.92，三重基线全部显著落后。水质预测口径从"浓度"转向"负荷"，不仅提升了预测精度，更贴合污水厂运行管理的实际需求——工艺调整关注的是污染物总量的冲击，而非单纯的浓度变化。口径优化效果对比如图4-5所示。</w:t>
            </w:r>
          </w:p>
          <w:p w14:paraId="09565420">
            <w:pPr>
              <w:numPr>
                <w:ilvl w:val="0"/>
                <w:numId w:val="0"/>
              </w:numPr>
              <w:ind w:firstLine="420" w:firstLineChars="200"/>
              <w:jc w:val="center"/>
            </w:pPr>
            <w:r>
              <w:drawing>
                <wp:inline distT="0" distB="0" distL="114300" distR="114300">
                  <wp:extent cx="5303520" cy="2024380"/>
                  <wp:effectExtent l="0" t="0" r="5080" b="762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14"/>
                          <a:stretch>
                            <a:fillRect/>
                          </a:stretch>
                        </pic:blipFill>
                        <pic:spPr>
                          <a:xfrm>
                            <a:off x="0" y="0"/>
                            <a:ext cx="5303520" cy="2024980"/>
                          </a:xfrm>
                          <a:prstGeom prst="rect">
                            <a:avLst/>
                          </a:prstGeom>
                        </pic:spPr>
                      </pic:pic>
                    </a:graphicData>
                  </a:graphic>
                </wp:inline>
              </w:drawing>
            </w:r>
          </w:p>
          <w:p w14:paraId="37C1C100">
            <w:pPr>
              <w:numPr>
                <w:ilvl w:val="0"/>
                <w:numId w:val="0"/>
              </w:numPr>
              <w:ind w:firstLine="420" w:firstLineChars="200"/>
              <w:jc w:val="center"/>
              <w:rPr>
                <w:rFonts w:hint="eastAsia"/>
                <w:lang w:val="en-US" w:eastAsia="zh-CN"/>
              </w:rPr>
            </w:pPr>
            <w:r>
              <w:rPr>
                <w:rFonts w:hint="eastAsia"/>
                <w:lang w:val="en-US" w:eastAsia="zh-CN"/>
              </w:rPr>
              <w:t>图4-5 水质预测口径优化：COD负荷显著优于浓度</w:t>
            </w:r>
          </w:p>
          <w:p w14:paraId="4FCFF903">
            <w:pPr>
              <w:numPr>
                <w:ilvl w:val="0"/>
                <w:numId w:val="0"/>
              </w:numPr>
              <w:rPr>
                <w:rFonts w:hint="default" w:eastAsia="宋体"/>
                <w:b/>
                <w:bCs/>
                <w:sz w:val="24"/>
                <w:szCs w:val="24"/>
                <w:lang w:val="en-US" w:eastAsia="zh-CN"/>
              </w:rPr>
            </w:pPr>
            <w:r>
              <w:rPr>
                <w:rFonts w:hint="eastAsia" w:eastAsia="宋体"/>
                <w:b/>
                <w:bCs/>
                <w:sz w:val="24"/>
                <w:szCs w:val="24"/>
                <w:lang w:val="en-US" w:eastAsia="zh-CN"/>
              </w:rPr>
              <w:t>5、多模型对标与概率预测分析</w:t>
            </w:r>
          </w:p>
          <w:p w14:paraId="4993722C">
            <w:pPr>
              <w:numPr>
                <w:ilvl w:val="0"/>
                <w:numId w:val="0"/>
              </w:numPr>
              <w:jc w:val="both"/>
              <w:rPr>
                <w:rFonts w:hint="eastAsia"/>
                <w:b/>
                <w:bCs/>
                <w:lang w:val="en-US" w:eastAsia="zh-CN"/>
              </w:rPr>
            </w:pPr>
            <w:r>
              <w:rPr>
                <w:rFonts w:hint="eastAsia"/>
                <w:b/>
                <w:bCs/>
                <w:lang w:val="en-US" w:eastAsia="zh-CN"/>
              </w:rPr>
              <w:t>5.1多模型性能对比</w:t>
            </w:r>
          </w:p>
          <w:p w14:paraId="0B00EB5A">
            <w:pPr>
              <w:numPr>
                <w:ilvl w:val="0"/>
                <w:numId w:val="0"/>
              </w:numPr>
              <w:ind w:firstLine="420" w:firstLineChars="200"/>
              <w:jc w:val="both"/>
              <w:rPr>
                <w:rFonts w:hint="eastAsia"/>
                <w:lang w:val="en-US" w:eastAsia="zh-CN"/>
              </w:rPr>
            </w:pPr>
            <w:r>
              <w:rPr>
                <w:rFonts w:hint="eastAsia"/>
                <w:lang w:val="en-US" w:eastAsia="zh-CN"/>
              </w:rPr>
              <w:t>对照进水预测领域SOTA文献，补充多模型基线对比，结果如表5-1所示：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1"/>
              <w:gridCol w:w="1441"/>
              <w:gridCol w:w="1441"/>
            </w:tblGrid>
            <w:tr w14:paraId="451188D4">
              <w:tc>
                <w:tcPr>
                  <w:tcW w:w="1440" w:type="dxa"/>
                </w:tcPr>
                <w:p w14:paraId="019B5C9C">
                  <w:pPr>
                    <w:numPr>
                      <w:ilvl w:val="0"/>
                      <w:numId w:val="0"/>
                    </w:numPr>
                    <w:jc w:val="center"/>
                    <w:rPr>
                      <w:rFonts w:hint="default"/>
                      <w:vertAlign w:val="baseline"/>
                      <w:lang w:val="en-US" w:eastAsia="zh-CN"/>
                    </w:rPr>
                  </w:pPr>
                  <w:r>
                    <w:rPr>
                      <w:rFonts w:hint="eastAsia"/>
                      <w:vertAlign w:val="baseline"/>
                      <w:lang w:val="en-US" w:eastAsia="zh-CN"/>
                    </w:rPr>
                    <w:t>数据场景</w:t>
                  </w:r>
                </w:p>
              </w:tc>
              <w:tc>
                <w:tcPr>
                  <w:tcW w:w="1440" w:type="dxa"/>
                </w:tcPr>
                <w:p w14:paraId="3B2FC9C6">
                  <w:pPr>
                    <w:numPr>
                      <w:ilvl w:val="0"/>
                      <w:numId w:val="0"/>
                    </w:numPr>
                    <w:jc w:val="center"/>
                    <w:rPr>
                      <w:rFonts w:hint="default"/>
                      <w:vertAlign w:val="baseline"/>
                      <w:lang w:val="en-US" w:eastAsia="zh-CN"/>
                    </w:rPr>
                  </w:pPr>
                  <w:r>
                    <w:rPr>
                      <w:rFonts w:hint="eastAsia"/>
                      <w:vertAlign w:val="baseline"/>
                      <w:lang w:val="en-US" w:eastAsia="zh-CN"/>
                    </w:rPr>
                    <w:t>提前量</w:t>
                  </w:r>
                </w:p>
              </w:tc>
              <w:tc>
                <w:tcPr>
                  <w:tcW w:w="1440" w:type="dxa"/>
                </w:tcPr>
                <w:p w14:paraId="7EAA43AE">
                  <w:pPr>
                    <w:numPr>
                      <w:ilvl w:val="0"/>
                      <w:numId w:val="0"/>
                    </w:numPr>
                    <w:jc w:val="center"/>
                    <w:rPr>
                      <w:rFonts w:hint="default"/>
                      <w:vertAlign w:val="baseline"/>
                      <w:lang w:val="en-US" w:eastAsia="zh-CN"/>
                    </w:rPr>
                  </w:pPr>
                  <w:r>
                    <w:rPr>
                      <w:rFonts w:hint="default"/>
                      <w:vertAlign w:val="baseline"/>
                      <w:lang w:val="en-US" w:eastAsia="zh-CN"/>
                    </w:rPr>
                    <w:t>LightGBM</w:t>
                  </w:r>
                </w:p>
              </w:tc>
              <w:tc>
                <w:tcPr>
                  <w:tcW w:w="1441" w:type="dxa"/>
                </w:tcPr>
                <w:p w14:paraId="74EAF0F1">
                  <w:pPr>
                    <w:numPr>
                      <w:ilvl w:val="0"/>
                      <w:numId w:val="0"/>
                    </w:numPr>
                    <w:jc w:val="center"/>
                    <w:rPr>
                      <w:rFonts w:hint="default"/>
                      <w:vertAlign w:val="baseline"/>
                      <w:lang w:val="en-US" w:eastAsia="zh-CN"/>
                    </w:rPr>
                  </w:pPr>
                  <w:r>
                    <w:rPr>
                      <w:rFonts w:hint="default"/>
                      <w:vertAlign w:val="baseline"/>
                      <w:lang w:val="en-US" w:eastAsia="zh-CN"/>
                    </w:rPr>
                    <w:t>MLP</w:t>
                  </w:r>
                </w:p>
              </w:tc>
              <w:tc>
                <w:tcPr>
                  <w:tcW w:w="1441" w:type="dxa"/>
                </w:tcPr>
                <w:p w14:paraId="51E50743">
                  <w:pPr>
                    <w:numPr>
                      <w:ilvl w:val="0"/>
                      <w:numId w:val="0"/>
                    </w:numPr>
                    <w:jc w:val="center"/>
                    <w:rPr>
                      <w:rFonts w:hint="default"/>
                      <w:vertAlign w:val="baseline"/>
                      <w:lang w:val="en-US" w:eastAsia="zh-CN"/>
                    </w:rPr>
                  </w:pPr>
                  <w:r>
                    <w:rPr>
                      <w:rFonts w:hint="eastAsia"/>
                      <w:vertAlign w:val="baseline"/>
                      <w:lang w:val="en-US" w:eastAsia="zh-CN"/>
                    </w:rPr>
                    <w:t>季节朴素</w:t>
                  </w:r>
                </w:p>
              </w:tc>
              <w:tc>
                <w:tcPr>
                  <w:tcW w:w="1441" w:type="dxa"/>
                </w:tcPr>
                <w:p w14:paraId="640CC74E">
                  <w:pPr>
                    <w:numPr>
                      <w:ilvl w:val="0"/>
                      <w:numId w:val="0"/>
                    </w:numPr>
                    <w:jc w:val="center"/>
                    <w:rPr>
                      <w:rFonts w:hint="default"/>
                      <w:vertAlign w:val="baseline"/>
                      <w:lang w:val="en-US" w:eastAsia="zh-CN"/>
                    </w:rPr>
                  </w:pPr>
                  <w:r>
                    <w:rPr>
                      <w:rFonts w:hint="default"/>
                      <w:vertAlign w:val="baseline"/>
                      <w:lang w:val="en-US" w:eastAsia="zh-CN"/>
                    </w:rPr>
                    <w:t>persistence</w:t>
                  </w:r>
                </w:p>
              </w:tc>
            </w:tr>
            <w:tr w14:paraId="4613DC9A">
              <w:tc>
                <w:tcPr>
                  <w:tcW w:w="1440" w:type="dxa"/>
                  <w:vAlign w:val="center"/>
                </w:tcPr>
                <w:p w14:paraId="78F23DC0">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Köln（真实）</w:t>
                  </w:r>
                </w:p>
              </w:tc>
              <w:tc>
                <w:tcPr>
                  <w:tcW w:w="1440" w:type="dxa"/>
                  <w:vAlign w:val="center"/>
                </w:tcPr>
                <w:p w14:paraId="32CFAFF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+1h</w:t>
                  </w:r>
                </w:p>
              </w:tc>
              <w:tc>
                <w:tcPr>
                  <w:tcW w:w="1440" w:type="dxa"/>
                  <w:vAlign w:val="center"/>
                </w:tcPr>
                <w:p w14:paraId="5F30D44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0.942</w:t>
                  </w:r>
                </w:p>
              </w:tc>
              <w:tc>
                <w:tcPr>
                  <w:tcW w:w="1441" w:type="dxa"/>
                  <w:vAlign w:val="center"/>
                </w:tcPr>
                <w:p w14:paraId="609905DE">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0.642</w:t>
                  </w:r>
                </w:p>
              </w:tc>
              <w:tc>
                <w:tcPr>
                  <w:tcW w:w="1441" w:type="dxa"/>
                  <w:vAlign w:val="center"/>
                </w:tcPr>
                <w:p w14:paraId="5FBD1F9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−0.734</w:t>
                  </w:r>
                </w:p>
              </w:tc>
              <w:tc>
                <w:tcPr>
                  <w:tcW w:w="1441" w:type="dxa"/>
                  <w:vAlign w:val="center"/>
                </w:tcPr>
                <w:p w14:paraId="7799E1F9">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0.839</w:t>
                  </w:r>
                </w:p>
              </w:tc>
            </w:tr>
            <w:tr w14:paraId="4EA66EF1">
              <w:tc>
                <w:tcPr>
                  <w:tcW w:w="1440" w:type="dxa"/>
                  <w:vAlign w:val="center"/>
                </w:tcPr>
                <w:p w14:paraId="4CE10DA2">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Köln（真实）</w:t>
                  </w:r>
                </w:p>
              </w:tc>
              <w:tc>
                <w:tcPr>
                  <w:tcW w:w="1440" w:type="dxa"/>
                  <w:vAlign w:val="center"/>
                </w:tcPr>
                <w:p w14:paraId="39B188A2">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+3h</w:t>
                  </w:r>
                </w:p>
              </w:tc>
              <w:tc>
                <w:tcPr>
                  <w:tcW w:w="1440" w:type="dxa"/>
                  <w:vAlign w:val="center"/>
                </w:tcPr>
                <w:p w14:paraId="799253D4">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0.677</w:t>
                  </w:r>
                </w:p>
              </w:tc>
              <w:tc>
                <w:tcPr>
                  <w:tcW w:w="1441" w:type="dxa"/>
                  <w:vAlign w:val="center"/>
                </w:tcPr>
                <w:p w14:paraId="3CF93E27">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0.241</w:t>
                  </w:r>
                </w:p>
              </w:tc>
              <w:tc>
                <w:tcPr>
                  <w:tcW w:w="1441" w:type="dxa"/>
                  <w:vAlign w:val="center"/>
                </w:tcPr>
                <w:p w14:paraId="2E3AB402">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−0.734</w:t>
                  </w:r>
                </w:p>
              </w:tc>
              <w:tc>
                <w:tcPr>
                  <w:tcW w:w="1441" w:type="dxa"/>
                  <w:vAlign w:val="center"/>
                </w:tcPr>
                <w:p w14:paraId="27978F1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0.424</w:t>
                  </w:r>
                </w:p>
              </w:tc>
            </w:tr>
            <w:tr w14:paraId="0C67B470">
              <w:tc>
                <w:tcPr>
                  <w:tcW w:w="1440" w:type="dxa"/>
                  <w:vAlign w:val="center"/>
                </w:tcPr>
                <w:p w14:paraId="7033163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泰和（模拟）</w:t>
                  </w:r>
                </w:p>
              </w:tc>
              <w:tc>
                <w:tcPr>
                  <w:tcW w:w="1440" w:type="dxa"/>
                  <w:vAlign w:val="center"/>
                </w:tcPr>
                <w:p w14:paraId="65A21994">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+1h</w:t>
                  </w:r>
                </w:p>
              </w:tc>
              <w:tc>
                <w:tcPr>
                  <w:tcW w:w="1440" w:type="dxa"/>
                  <w:vAlign w:val="center"/>
                </w:tcPr>
                <w:p w14:paraId="3F746AD4">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0.926</w:t>
                  </w:r>
                </w:p>
              </w:tc>
              <w:tc>
                <w:tcPr>
                  <w:tcW w:w="1441" w:type="dxa"/>
                  <w:vAlign w:val="center"/>
                </w:tcPr>
                <w:p w14:paraId="4B4912B9">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0.924</w:t>
                  </w:r>
                </w:p>
              </w:tc>
              <w:tc>
                <w:tcPr>
                  <w:tcW w:w="1441" w:type="dxa"/>
                  <w:vAlign w:val="center"/>
                </w:tcPr>
                <w:p w14:paraId="5442DDDF">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0.743</w:t>
                  </w:r>
                </w:p>
              </w:tc>
              <w:tc>
                <w:tcPr>
                  <w:tcW w:w="1441" w:type="dxa"/>
                  <w:vAlign w:val="center"/>
                </w:tcPr>
                <w:p w14:paraId="2FF8AC3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0.687</w:t>
                  </w:r>
                </w:p>
              </w:tc>
            </w:tr>
            <w:tr w14:paraId="3492894D">
              <w:tc>
                <w:tcPr>
                  <w:tcW w:w="1440" w:type="dxa"/>
                  <w:vAlign w:val="center"/>
                </w:tcPr>
                <w:p w14:paraId="469CE62E">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泰和（模拟）</w:t>
                  </w:r>
                </w:p>
              </w:tc>
              <w:tc>
                <w:tcPr>
                  <w:tcW w:w="1440" w:type="dxa"/>
                  <w:vAlign w:val="center"/>
                </w:tcPr>
                <w:p w14:paraId="62DC67A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+3h</w:t>
                  </w:r>
                </w:p>
              </w:tc>
              <w:tc>
                <w:tcPr>
                  <w:tcW w:w="1440" w:type="dxa"/>
                  <w:vAlign w:val="center"/>
                </w:tcPr>
                <w:p w14:paraId="55DEAFA4">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0.923</w:t>
                  </w:r>
                </w:p>
              </w:tc>
              <w:tc>
                <w:tcPr>
                  <w:tcW w:w="1441" w:type="dxa"/>
                  <w:vAlign w:val="center"/>
                </w:tcPr>
                <w:p w14:paraId="6C7CD05F">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0.920</w:t>
                  </w:r>
                </w:p>
              </w:tc>
              <w:tc>
                <w:tcPr>
                  <w:tcW w:w="1441" w:type="dxa"/>
                  <w:vAlign w:val="center"/>
                </w:tcPr>
                <w:p w14:paraId="79CF4DA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0.743</w:t>
                  </w:r>
                </w:p>
              </w:tc>
              <w:tc>
                <w:tcPr>
                  <w:tcW w:w="1441" w:type="dxa"/>
                  <w:vAlign w:val="center"/>
                </w:tcPr>
                <w:p w14:paraId="6F12DF75">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−0.539</w:t>
                  </w:r>
                </w:p>
              </w:tc>
            </w:tr>
          </w:tbl>
          <w:p w14:paraId="38EB1C60">
            <w:pPr>
              <w:numPr>
                <w:ilvl w:val="0"/>
                <w:numId w:val="0"/>
              </w:numPr>
              <w:ind w:firstLine="420" w:firstLineChars="200"/>
              <w:jc w:val="center"/>
              <w:rPr>
                <w:rFonts w:hint="eastAsia"/>
                <w:lang w:val="en-US" w:eastAsia="zh-CN"/>
              </w:rPr>
            </w:pPr>
            <w:r>
              <w:rPr>
                <w:rFonts w:hint="eastAsia"/>
                <w:lang w:val="en-US" w:eastAsia="zh-CN"/>
              </w:rPr>
              <w:t>表4-4多模型预测性能对比（NSE）</w:t>
            </w:r>
          </w:p>
          <w:p w14:paraId="506A92BF">
            <w:pPr>
              <w:numPr>
                <w:ilvl w:val="0"/>
                <w:numId w:val="0"/>
              </w:numPr>
              <w:ind w:firstLine="420" w:firstLineChars="200"/>
              <w:jc w:val="both"/>
              <w:rPr>
                <w:rFonts w:hint="eastAsia"/>
                <w:lang w:val="en-US" w:eastAsia="zh-CN"/>
              </w:rPr>
            </w:pPr>
            <w:r>
              <w:rPr>
                <w:rFonts w:hint="eastAsia"/>
                <w:lang w:val="en-US" w:eastAsia="zh-CN"/>
              </w:rPr>
              <w:t>结果表明：LightGBM在全部工况保持最优或并列最优，且在真实数据上优势最明显。MLP在模拟数据上表现接近LightGBM，但在真实非平稳序列上泛化能力较弱，这与领域内进水预测模型对比研究的结论一致——在当前万级样本的数据规模下，树模型仍是更优选型。</w:t>
            </w:r>
          </w:p>
          <w:p w14:paraId="22F7E451">
            <w:pPr>
              <w:numPr>
                <w:ilvl w:val="0"/>
                <w:numId w:val="0"/>
              </w:numPr>
              <w:ind w:firstLine="420" w:firstLineChars="200"/>
              <w:jc w:val="both"/>
              <w:rPr>
                <w:rFonts w:hint="default"/>
                <w:lang w:val="en-US" w:eastAsia="zh-CN"/>
              </w:rPr>
            </w:pPr>
            <w:r>
              <w:rPr>
                <w:rFonts w:hint="eastAsia"/>
                <w:lang w:val="en-US" w:eastAsia="zh-CN"/>
              </w:rPr>
              <w:t>深度时序模型对比：训练2层×64隐层、输入窗口3h的LSTM模型，泰和场景+2h测试段NSE为0.913，仍略低于LightGBM（0.922），且训练成本高出一个量级，进一步验证了树模型在水务时序预测场景中的性价比优势。多模型NSE对比如图</w:t>
            </w:r>
            <w:r>
              <w:rPr>
                <w:rFonts w:hint="default"/>
                <w:lang w:val="en-US" w:eastAsia="zh-CN"/>
              </w:rPr>
              <w:t>5-1</w:t>
            </w:r>
            <w:r>
              <w:rPr>
                <w:rFonts w:hint="eastAsia"/>
                <w:lang w:val="en-US" w:eastAsia="zh-CN"/>
              </w:rPr>
              <w:t>所示</w:t>
            </w:r>
            <w:r>
              <w:rPr>
                <w:rFonts w:hint="default"/>
                <w:lang w:val="en-US" w:eastAsia="zh-CN"/>
              </w:rPr>
              <w:t>:</w:t>
            </w:r>
          </w:p>
          <w:p w14:paraId="4F3C4E53">
            <w:pPr>
              <w:numPr>
                <w:ilvl w:val="0"/>
                <w:numId w:val="0"/>
              </w:numPr>
              <w:ind w:firstLine="420" w:firstLineChars="200"/>
              <w:jc w:val="center"/>
              <w:rPr>
                <w:rFonts w:hint="eastAsia"/>
                <w:lang w:val="en-US" w:eastAsia="zh-CN"/>
              </w:rPr>
            </w:pPr>
            <w:r>
              <w:drawing>
                <wp:inline distT="0" distB="0" distL="114300" distR="114300">
                  <wp:extent cx="5029200" cy="2640330"/>
                  <wp:effectExtent l="0" t="0" r="0" b="127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pic:cNvPicPr>
                        </pic:nvPicPr>
                        <pic:blipFill>
                          <a:blip r:embed="rId18"/>
                          <a:stretch>
                            <a:fillRect/>
                          </a:stretch>
                        </pic:blipFill>
                        <pic:spPr>
                          <a:xfrm>
                            <a:off x="0" y="0"/>
                            <a:ext cx="5029200" cy="2640330"/>
                          </a:xfrm>
                          <a:prstGeom prst="rect">
                            <a:avLst/>
                          </a:prstGeom>
                        </pic:spPr>
                      </pic:pic>
                    </a:graphicData>
                  </a:graphic>
                </wp:inline>
              </w:drawing>
            </w:r>
          </w:p>
          <w:p w14:paraId="62D04EB2">
            <w:pPr>
              <w:numPr>
                <w:ilvl w:val="0"/>
                <w:numId w:val="0"/>
              </w:numPr>
              <w:ind w:firstLine="420" w:firstLineChars="200"/>
              <w:jc w:val="center"/>
              <w:rPr>
                <w:rFonts w:hint="eastAsia"/>
                <w:lang w:val="en-US" w:eastAsia="zh-CN"/>
              </w:rPr>
            </w:pPr>
            <w:r>
              <w:rPr>
                <w:rFonts w:hint="eastAsia"/>
                <w:lang w:val="en-US" w:eastAsia="zh-CN"/>
              </w:rPr>
              <w:t>图4-6四模型NSE对比（左：Köln真实数据；右：泰和模拟场景）</w:t>
            </w:r>
          </w:p>
          <w:p w14:paraId="6FA5FBF4">
            <w:pPr>
              <w:numPr>
                <w:ilvl w:val="0"/>
                <w:numId w:val="0"/>
              </w:numPr>
              <w:jc w:val="both"/>
              <w:rPr>
                <w:rFonts w:hint="eastAsia"/>
                <w:b/>
                <w:bCs/>
                <w:lang w:val="en-US" w:eastAsia="zh-CN"/>
              </w:rPr>
            </w:pPr>
            <w:r>
              <w:rPr>
                <w:rFonts w:hint="eastAsia"/>
                <w:b/>
                <w:bCs/>
                <w:lang w:val="en-US" w:eastAsia="zh-CN"/>
              </w:rPr>
              <w:t>5.</w:t>
            </w:r>
            <w:r>
              <w:rPr>
                <w:rFonts w:hint="default"/>
                <w:b/>
                <w:bCs/>
                <w:lang w:val="en-US" w:eastAsia="zh-CN"/>
              </w:rPr>
              <w:t>2</w:t>
            </w:r>
            <w:r>
              <w:rPr>
                <w:rFonts w:hint="eastAsia"/>
                <w:b/>
                <w:bCs/>
                <w:lang w:val="en-US" w:eastAsia="zh-CN"/>
              </w:rPr>
              <w:t>概率预测不确定性分析</w:t>
            </w:r>
          </w:p>
          <w:p w14:paraId="522B6567">
            <w:pPr>
              <w:numPr>
                <w:ilvl w:val="0"/>
                <w:numId w:val="0"/>
              </w:numPr>
              <w:ind w:firstLine="420" w:firstLineChars="200"/>
              <w:jc w:val="both"/>
              <w:rPr>
                <w:rFonts w:hint="eastAsia"/>
                <w:lang w:val="en-US" w:eastAsia="zh-CN"/>
              </w:rPr>
            </w:pPr>
            <w:r>
              <w:rPr>
                <w:rFonts w:hint="eastAsia"/>
                <w:lang w:val="en-US" w:eastAsia="zh-CN"/>
              </w:rPr>
              <w:t>概率预测方面，Köln +1h测试集PICP≈72%（名义80%，轻度欠覆盖，主要因测试期含极端旱-雨转换）。预测区间在暴雨事件段自动放宽、旱天收窄，能够自适应地反映不同工况下的不确定性水平，可直接支撑"按最坏情形（P90）预警"的稳健调控决策。概率预测区间如图</w:t>
            </w:r>
            <w:r>
              <w:rPr>
                <w:rFonts w:hint="default"/>
                <w:lang w:val="en-US" w:eastAsia="zh-CN"/>
              </w:rPr>
              <w:t>5-2</w:t>
            </w:r>
            <w:r>
              <w:rPr>
                <w:rFonts w:hint="eastAsia"/>
                <w:lang w:val="en-US" w:eastAsia="zh-CN"/>
              </w:rPr>
              <w:t>所示。</w:t>
            </w:r>
          </w:p>
          <w:p w14:paraId="73472A5B">
            <w:pPr>
              <w:numPr>
                <w:ilvl w:val="0"/>
                <w:numId w:val="0"/>
              </w:numPr>
              <w:ind w:firstLine="420" w:firstLineChars="200"/>
              <w:jc w:val="center"/>
            </w:pPr>
            <w:r>
              <w:drawing>
                <wp:inline distT="0" distB="0" distL="114300" distR="114300">
                  <wp:extent cx="4572000" cy="1662430"/>
                  <wp:effectExtent l="0" t="0" r="0" b="1397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19"/>
                          <a:stretch>
                            <a:fillRect/>
                          </a:stretch>
                        </pic:blipFill>
                        <pic:spPr>
                          <a:xfrm>
                            <a:off x="0" y="0"/>
                            <a:ext cx="4572000" cy="1662545"/>
                          </a:xfrm>
                          <a:prstGeom prst="rect">
                            <a:avLst/>
                          </a:prstGeom>
                        </pic:spPr>
                      </pic:pic>
                    </a:graphicData>
                  </a:graphic>
                </wp:inline>
              </w:drawing>
            </w:r>
          </w:p>
          <w:p w14:paraId="3F6469E8">
            <w:pPr>
              <w:numPr>
                <w:ilvl w:val="0"/>
                <w:numId w:val="0"/>
              </w:numPr>
              <w:ind w:firstLine="420" w:firstLineChars="200"/>
              <w:jc w:val="center"/>
              <w:rPr>
                <w:rFonts w:hint="eastAsia"/>
                <w:lang w:val="en-US" w:eastAsia="zh-CN"/>
              </w:rPr>
            </w:pPr>
            <w:r>
              <w:rPr>
                <w:rFonts w:hint="eastAsia"/>
                <w:lang w:val="en-US" w:eastAsia="zh-CN"/>
              </w:rPr>
              <w:t>图4-7概率预测：Köln +1h P10–P90 分位数区间</w:t>
            </w:r>
          </w:p>
          <w:p w14:paraId="36F945E6">
            <w:pPr>
              <w:numPr>
                <w:ilvl w:val="0"/>
                <w:numId w:val="0"/>
              </w:numPr>
              <w:rPr>
                <w:rFonts w:hint="default" w:eastAsia="宋体"/>
                <w:b/>
                <w:bCs/>
                <w:sz w:val="24"/>
                <w:szCs w:val="24"/>
                <w:lang w:val="en-US" w:eastAsia="zh-CN"/>
              </w:rPr>
            </w:pPr>
            <w:r>
              <w:rPr>
                <w:rFonts w:hint="default" w:eastAsia="宋体"/>
                <w:b/>
                <w:bCs/>
                <w:sz w:val="24"/>
                <w:szCs w:val="24"/>
                <w:lang w:val="en-US" w:eastAsia="zh-CN"/>
              </w:rPr>
              <w:t>6</w:t>
            </w:r>
            <w:r>
              <w:rPr>
                <w:rFonts w:hint="eastAsia" w:eastAsia="宋体"/>
                <w:b/>
                <w:bCs/>
                <w:sz w:val="24"/>
                <w:szCs w:val="24"/>
                <w:lang w:val="en-US" w:eastAsia="zh-CN"/>
              </w:rPr>
              <w:t>、极端场景压力测试</w:t>
            </w:r>
          </w:p>
          <w:p w14:paraId="156E8143">
            <w:pPr>
              <w:numPr>
                <w:ilvl w:val="0"/>
                <w:numId w:val="0"/>
              </w:numPr>
              <w:jc w:val="both"/>
              <w:rPr>
                <w:rFonts w:hint="eastAsia"/>
                <w:b/>
                <w:bCs/>
                <w:lang w:val="en-US" w:eastAsia="zh-CN"/>
              </w:rPr>
            </w:pPr>
            <w:r>
              <w:rPr>
                <w:rFonts w:hint="default"/>
                <w:b/>
                <w:bCs/>
                <w:lang w:val="en-US" w:eastAsia="zh-CN"/>
              </w:rPr>
              <w:t>6</w:t>
            </w:r>
            <w:r>
              <w:rPr>
                <w:rFonts w:hint="eastAsia"/>
                <w:b/>
                <w:bCs/>
                <w:lang w:val="en-US" w:eastAsia="zh-CN"/>
              </w:rPr>
              <w:t>.1测试场景设计</w:t>
            </w:r>
          </w:p>
          <w:p w14:paraId="7A913388">
            <w:pPr>
              <w:numPr>
                <w:ilvl w:val="0"/>
                <w:numId w:val="0"/>
              </w:numPr>
              <w:ind w:firstLine="420" w:firstLineChars="200"/>
              <w:jc w:val="both"/>
              <w:rPr>
                <w:rFonts w:hint="eastAsia"/>
                <w:lang w:val="en-US" w:eastAsia="zh-CN"/>
              </w:rPr>
            </w:pPr>
            <w:r>
              <w:rPr>
                <w:rFonts w:hint="eastAsia"/>
                <w:lang w:val="en-US" w:eastAsia="zh-CN"/>
              </w:rPr>
              <w:t>为检验模型在极端工况下的泛化能力，设计四类极端场景进行压力测试：按上海市暴雨强度公式生成芝加哥雨型2h设计暴雨（P=5/50/100年），并以2021年台风"烟花"期间上海实测降雨（7天累计113.5mm）实况回放。用仅在2024汛期基准场景上训练的模型做跨场景泛化测试。</w:t>
            </w:r>
          </w:p>
          <w:p w14:paraId="3ACDC7CF">
            <w:pPr>
              <w:numPr>
                <w:ilvl w:val="0"/>
                <w:numId w:val="0"/>
              </w:numPr>
              <w:jc w:val="both"/>
              <w:rPr>
                <w:rFonts w:hint="eastAsia"/>
                <w:b/>
                <w:bCs/>
                <w:lang w:val="en-US" w:eastAsia="zh-CN"/>
              </w:rPr>
            </w:pPr>
            <w:r>
              <w:rPr>
                <w:rFonts w:hint="default"/>
                <w:b/>
                <w:bCs/>
                <w:lang w:val="en-US" w:eastAsia="zh-CN"/>
              </w:rPr>
              <w:t>6</w:t>
            </w:r>
            <w:r>
              <w:rPr>
                <w:rFonts w:hint="eastAsia"/>
                <w:b/>
                <w:bCs/>
                <w:lang w:val="en-US" w:eastAsia="zh-CN"/>
              </w:rPr>
              <w:t>.</w:t>
            </w:r>
            <w:r>
              <w:rPr>
                <w:rFonts w:hint="default"/>
                <w:b/>
                <w:bCs/>
                <w:lang w:val="en-US" w:eastAsia="zh-CN"/>
              </w:rPr>
              <w:t>2</w:t>
            </w:r>
            <w:r>
              <w:rPr>
                <w:rFonts w:hint="eastAsia"/>
                <w:b/>
                <w:bCs/>
                <w:lang w:val="en-US" w:eastAsia="zh-CN"/>
              </w:rPr>
              <w:t>跨场景泛化结果</w:t>
            </w:r>
          </w:p>
          <w:p w14:paraId="61DB71E5">
            <w:pPr>
              <w:numPr>
                <w:ilvl w:val="0"/>
                <w:numId w:val="0"/>
              </w:numPr>
              <w:ind w:firstLine="420" w:firstLineChars="200"/>
              <w:jc w:val="both"/>
              <w:rPr>
                <w:rFonts w:hint="eastAsia"/>
                <w:lang w:val="en-US" w:eastAsia="zh-CN"/>
              </w:rPr>
            </w:pPr>
            <w:r>
              <w:rPr>
                <w:rFonts w:hint="eastAsia"/>
                <w:lang w:val="en-US" w:eastAsia="zh-CN"/>
              </w:rPr>
              <w:t>极端场景压力测试结果如表</w:t>
            </w:r>
            <w:r>
              <w:rPr>
                <w:rFonts w:hint="default"/>
                <w:lang w:val="en-US" w:eastAsia="zh-CN"/>
              </w:rPr>
              <w:t>6-1</w:t>
            </w:r>
            <w:r>
              <w:rPr>
                <w:rFonts w:hint="eastAsia"/>
                <w:lang w:val="en-US" w:eastAsia="zh-CN"/>
              </w:rPr>
              <w:t>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4"/>
            </w:tblGrid>
            <w:tr w14:paraId="72085F28">
              <w:tc>
                <w:tcPr>
                  <w:tcW w:w="2164" w:type="dxa"/>
                  <w:vAlign w:val="top"/>
                </w:tcPr>
                <w:p w14:paraId="2D5F0CE7">
                  <w:pPr>
                    <w:numPr>
                      <w:ilvl w:val="0"/>
                      <w:numId w:val="0"/>
                    </w:numPr>
                    <w:ind w:left="0" w:leftChars="0" w:firstLine="0" w:firstLineChars="0"/>
                    <w:jc w:val="center"/>
                    <w:rPr>
                      <w:rFonts w:hint="eastAsia"/>
                      <w:vertAlign w:val="baseline"/>
                      <w:lang w:val="en-US" w:eastAsia="zh-CN"/>
                    </w:rPr>
                  </w:pPr>
                  <w:r>
                    <w:rPr>
                      <w:rFonts w:hint="eastAsia"/>
                      <w:vertAlign w:val="baseline"/>
                      <w:lang w:val="en-US" w:eastAsia="zh-CN"/>
                    </w:rPr>
                    <w:t>场景</w:t>
                  </w:r>
                </w:p>
              </w:tc>
              <w:tc>
                <w:tcPr>
                  <w:tcW w:w="2164" w:type="dxa"/>
                  <w:vAlign w:val="top"/>
                </w:tcPr>
                <w:p w14:paraId="08F547D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基准训练NSE</w:t>
                  </w:r>
                </w:p>
              </w:tc>
              <w:tc>
                <w:tcPr>
                  <w:tcW w:w="2164" w:type="dxa"/>
                  <w:vAlign w:val="top"/>
                </w:tcPr>
                <w:p w14:paraId="31529219">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洪峰相对误差</w:t>
                  </w:r>
                </w:p>
              </w:tc>
              <w:tc>
                <w:tcPr>
                  <w:tcW w:w="2165" w:type="dxa"/>
                  <w:vAlign w:val="top"/>
                </w:tcPr>
                <w:p w14:paraId="52BBD791">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+P5/P50暴雨增广后NSE / 峰值误差</w:t>
                  </w:r>
                </w:p>
              </w:tc>
            </w:tr>
            <w:tr w14:paraId="4FE27B03">
              <w:tc>
                <w:tcPr>
                  <w:tcW w:w="2164" w:type="dxa"/>
                  <w:vAlign w:val="center"/>
                </w:tcPr>
                <w:p w14:paraId="1CC9AEE4">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P=5a设计暴雨</w:t>
                  </w:r>
                </w:p>
              </w:tc>
              <w:tc>
                <w:tcPr>
                  <w:tcW w:w="2164" w:type="dxa"/>
                  <w:vAlign w:val="center"/>
                </w:tcPr>
                <w:p w14:paraId="60980FE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0.228</w:t>
                  </w:r>
                </w:p>
              </w:tc>
              <w:tc>
                <w:tcPr>
                  <w:tcW w:w="2164" w:type="dxa"/>
                  <w:vAlign w:val="center"/>
                </w:tcPr>
                <w:p w14:paraId="2AAEEBC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−90%</w:t>
                  </w:r>
                </w:p>
              </w:tc>
              <w:tc>
                <w:tcPr>
                  <w:tcW w:w="2165" w:type="dxa"/>
                  <w:vAlign w:val="center"/>
                </w:tcPr>
                <w:p w14:paraId="1102B5D8">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（进入训练集）</w:t>
                  </w:r>
                </w:p>
              </w:tc>
            </w:tr>
            <w:tr w14:paraId="4429C870">
              <w:tc>
                <w:tcPr>
                  <w:tcW w:w="2164" w:type="dxa"/>
                  <w:vAlign w:val="center"/>
                </w:tcPr>
                <w:p w14:paraId="0C821077">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P=50a设计暴雨</w:t>
                  </w:r>
                </w:p>
              </w:tc>
              <w:tc>
                <w:tcPr>
                  <w:tcW w:w="2164" w:type="dxa"/>
                  <w:vAlign w:val="center"/>
                </w:tcPr>
                <w:p w14:paraId="3D2C1838">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0.149</w:t>
                  </w:r>
                </w:p>
              </w:tc>
              <w:tc>
                <w:tcPr>
                  <w:tcW w:w="2164" w:type="dxa"/>
                  <w:vAlign w:val="center"/>
                </w:tcPr>
                <w:p w14:paraId="006A5B4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−93%</w:t>
                  </w:r>
                </w:p>
              </w:tc>
              <w:tc>
                <w:tcPr>
                  <w:tcW w:w="2165" w:type="dxa"/>
                  <w:vAlign w:val="center"/>
                </w:tcPr>
                <w:p w14:paraId="4BB9D18A">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（进入训练集）</w:t>
                  </w:r>
                </w:p>
              </w:tc>
            </w:tr>
            <w:tr w14:paraId="73C2EBEC">
              <w:tc>
                <w:tcPr>
                  <w:tcW w:w="2164" w:type="dxa"/>
                  <w:vAlign w:val="center"/>
                </w:tcPr>
                <w:p w14:paraId="04D65C0C">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P=100a设计暴雨</w:t>
                  </w:r>
                </w:p>
              </w:tc>
              <w:tc>
                <w:tcPr>
                  <w:tcW w:w="2164" w:type="dxa"/>
                  <w:vAlign w:val="center"/>
                </w:tcPr>
                <w:p w14:paraId="7FC875F1">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0.134</w:t>
                  </w:r>
                </w:p>
              </w:tc>
              <w:tc>
                <w:tcPr>
                  <w:tcW w:w="2164" w:type="dxa"/>
                  <w:vAlign w:val="center"/>
                </w:tcPr>
                <w:p w14:paraId="22799012">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−94%</w:t>
                  </w:r>
                </w:p>
              </w:tc>
              <w:tc>
                <w:tcPr>
                  <w:tcW w:w="2165" w:type="dxa"/>
                  <w:vAlign w:val="center"/>
                </w:tcPr>
                <w:p w14:paraId="663C80D2">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0.935 / −28%</w:t>
                  </w:r>
                </w:p>
              </w:tc>
            </w:tr>
            <w:tr w14:paraId="34540A71">
              <w:tc>
                <w:tcPr>
                  <w:tcW w:w="2164" w:type="dxa"/>
                  <w:vAlign w:val="center"/>
                </w:tcPr>
                <w:p w14:paraId="3C40A744">
                  <w:pPr>
                    <w:numPr>
                      <w:ilvl w:val="0"/>
                      <w:numId w:val="0"/>
                    </w:numPr>
                    <w:ind w:left="0" w:leftChars="0" w:firstLine="0" w:firstLineChars="0"/>
                    <w:jc w:val="center"/>
                    <w:rPr>
                      <w:rFonts w:hint="default" w:eastAsia="宋体"/>
                      <w:vertAlign w:val="baseline"/>
                      <w:lang w:val="en-US" w:eastAsia="zh-CN"/>
                    </w:rPr>
                  </w:pPr>
                  <w:r>
                    <w:rPr>
                      <w:rFonts w:hint="eastAsia"/>
                      <w:vertAlign w:val="baseline"/>
                      <w:lang w:val="en-US" w:eastAsia="zh-CN"/>
                    </w:rPr>
                    <w:t>台风烟花（2021实测）</w:t>
                  </w:r>
                </w:p>
              </w:tc>
              <w:tc>
                <w:tcPr>
                  <w:tcW w:w="2164" w:type="dxa"/>
                  <w:vAlign w:val="center"/>
                </w:tcPr>
                <w:p w14:paraId="3D85D3C5">
                  <w:pPr>
                    <w:numPr>
                      <w:ilvl w:val="0"/>
                      <w:numId w:val="0"/>
                    </w:numPr>
                    <w:ind w:left="0" w:leftChars="0" w:firstLine="0" w:firstLineChars="0"/>
                    <w:jc w:val="center"/>
                    <w:rPr>
                      <w:rFonts w:hint="default" w:eastAsia="宋体"/>
                      <w:vertAlign w:val="baseline"/>
                      <w:lang w:val="en-US" w:eastAsia="zh-CN"/>
                    </w:rPr>
                  </w:pPr>
                  <w:r>
                    <w:rPr>
                      <w:rFonts w:hint="eastAsia"/>
                      <w:vertAlign w:val="baseline"/>
                      <w:lang w:val="en-US" w:eastAsia="zh-CN"/>
                    </w:rPr>
                    <w:t>0.705</w:t>
                  </w:r>
                </w:p>
              </w:tc>
              <w:tc>
                <w:tcPr>
                  <w:tcW w:w="2164" w:type="dxa"/>
                  <w:vAlign w:val="center"/>
                </w:tcPr>
                <w:p w14:paraId="7C650D72">
                  <w:pPr>
                    <w:numPr>
                      <w:ilvl w:val="0"/>
                      <w:numId w:val="0"/>
                    </w:numPr>
                    <w:ind w:left="0" w:leftChars="0" w:firstLine="0" w:firstLineChars="0"/>
                    <w:jc w:val="center"/>
                    <w:rPr>
                      <w:rFonts w:hint="default" w:eastAsia="宋体"/>
                      <w:vertAlign w:val="baseline"/>
                      <w:lang w:val="en-US" w:eastAsia="zh-CN"/>
                    </w:rPr>
                  </w:pPr>
                  <w:r>
                    <w:rPr>
                      <w:rFonts w:hint="eastAsia"/>
                      <w:vertAlign w:val="baseline"/>
                      <w:lang w:val="en-US" w:eastAsia="zh-CN"/>
                    </w:rPr>
                    <w:t>-5%～23%</w:t>
                  </w:r>
                </w:p>
              </w:tc>
              <w:tc>
                <w:tcPr>
                  <w:tcW w:w="2165" w:type="dxa"/>
                  <w:vAlign w:val="center"/>
                </w:tcPr>
                <w:p w14:paraId="043DABD2">
                  <w:pPr>
                    <w:numPr>
                      <w:ilvl w:val="0"/>
                      <w:numId w:val="0"/>
                    </w:numPr>
                    <w:ind w:left="0" w:leftChars="0" w:firstLine="0" w:firstLineChars="0"/>
                    <w:jc w:val="center"/>
                    <w:rPr>
                      <w:rFonts w:hint="default" w:eastAsia="宋体"/>
                      <w:vertAlign w:val="baseline"/>
                      <w:lang w:val="en-US" w:eastAsia="zh-CN"/>
                    </w:rPr>
                  </w:pPr>
                  <w:r>
                    <w:rPr>
                      <w:rFonts w:hint="eastAsia"/>
                      <w:vertAlign w:val="baseline"/>
                      <w:lang w:val="en-US" w:eastAsia="zh-CN"/>
                    </w:rPr>
                    <w:t>0.701/-4%～21%</w:t>
                  </w:r>
                </w:p>
              </w:tc>
            </w:tr>
          </w:tbl>
          <w:p w14:paraId="6A44B625">
            <w:pPr>
              <w:numPr>
                <w:ilvl w:val="0"/>
                <w:numId w:val="0"/>
              </w:numPr>
              <w:ind w:firstLine="420" w:firstLineChars="200"/>
              <w:jc w:val="center"/>
              <w:rPr>
                <w:rFonts w:hint="eastAsia"/>
                <w:lang w:val="en-US" w:eastAsia="zh-CN"/>
              </w:rPr>
            </w:pPr>
            <w:r>
              <w:rPr>
                <w:rFonts w:hint="eastAsia"/>
                <w:lang w:val="en-US" w:eastAsia="zh-CN"/>
              </w:rPr>
              <w:t>表4-5端场景跨场景泛化测试结果</w:t>
            </w:r>
          </w:p>
          <w:p w14:paraId="2030E303">
            <w:pPr>
              <w:numPr>
                <w:ilvl w:val="0"/>
                <w:numId w:val="0"/>
              </w:numPr>
              <w:ind w:firstLine="420" w:firstLineChars="200"/>
              <w:jc w:val="both"/>
              <w:rPr>
                <w:rFonts w:hint="eastAsia"/>
                <w:lang w:val="en-US" w:eastAsia="zh-CN"/>
              </w:rPr>
            </w:pPr>
            <w:r>
              <w:rPr>
                <w:rFonts w:hint="eastAsia"/>
                <w:lang w:val="en-US" w:eastAsia="zh-CN"/>
              </w:rPr>
              <w:t>实验得出三项重要结论：</w:t>
            </w:r>
          </w:p>
          <w:p w14:paraId="3DD30399">
            <w:pPr>
              <w:numPr>
                <w:ilvl w:val="0"/>
                <w:numId w:val="12"/>
              </w:numPr>
              <w:ind w:left="0" w:leftChars="0" w:firstLine="420" w:firstLineChars="0"/>
              <w:jc w:val="both"/>
              <w:rPr>
                <w:rFonts w:hint="eastAsia"/>
                <w:lang w:val="en-US" w:eastAsia="zh-CN"/>
              </w:rPr>
            </w:pPr>
            <w:r>
              <w:rPr>
                <w:rFonts w:hint="eastAsia"/>
                <w:lang w:val="en-US" w:eastAsia="zh-CN"/>
              </w:rPr>
              <w:t>数据驱动模型对远超训练分布的极端暴雨会系统性低估洪峰（最高低估−94%），这是纯数据驱动路线的固有局限。极端暴雨属于小概率事件，训练样本稀少，模型难以外推到未见过的强度区间。</w:t>
            </w:r>
          </w:p>
          <w:p w14:paraId="42C57580">
            <w:pPr>
              <w:numPr>
                <w:ilvl w:val="0"/>
                <w:numId w:val="12"/>
              </w:numPr>
              <w:ind w:left="0" w:leftChars="0" w:firstLine="420" w:firstLineChars="0"/>
              <w:jc w:val="both"/>
              <w:rPr>
                <w:rFonts w:hint="eastAsia"/>
                <w:lang w:val="en-US" w:eastAsia="zh-CN"/>
              </w:rPr>
            </w:pPr>
            <w:r>
              <w:rPr>
                <w:rFonts w:hint="eastAsia"/>
                <w:lang w:val="en-US" w:eastAsia="zh-CN"/>
              </w:rPr>
              <w:t>在训练集中混入设计暴雨增广样本（P5+P50）后，P=100a场景NSE从0.134跃升至0.935、峰值误差从−94%收敛到−28%。设计暴雨增广是低成本高收益的工程手段，能够显著提升模型对极端工况的泛化能力。</w:t>
            </w:r>
          </w:p>
          <w:p w14:paraId="24EA75BA">
            <w:pPr>
              <w:numPr>
                <w:ilvl w:val="0"/>
                <w:numId w:val="12"/>
              </w:numPr>
              <w:ind w:left="0" w:leftChars="0" w:firstLine="420" w:firstLineChars="0"/>
              <w:jc w:val="both"/>
              <w:rPr>
                <w:rFonts w:hint="eastAsia"/>
                <w:lang w:val="en-US" w:eastAsia="zh-CN"/>
              </w:rPr>
            </w:pPr>
            <w:r>
              <w:rPr>
                <w:rFonts w:hint="eastAsia"/>
                <w:lang w:val="en-US" w:eastAsia="zh-CN"/>
              </w:rPr>
              <w:t>台风长历时过程因雨强接近训练分布，模型天然泛化较好（NSE 0.705，洪峰误差−5%~−23%）。长历时降雨的雨型与强度更接近训练数据，因此泛化性能优于短历时极端暴雨。</w:t>
            </w:r>
          </w:p>
          <w:p w14:paraId="00118E2D">
            <w:pPr>
              <w:numPr>
                <w:ilvl w:val="0"/>
                <w:numId w:val="0"/>
              </w:numPr>
              <w:ind w:firstLine="420" w:firstLineChars="200"/>
              <w:jc w:val="both"/>
              <w:rPr>
                <w:rFonts w:hint="eastAsia"/>
                <w:lang w:val="en-US" w:eastAsia="zh-CN"/>
              </w:rPr>
            </w:pPr>
            <w:r>
              <w:drawing>
                <wp:inline distT="0" distB="0" distL="114300" distR="114300">
                  <wp:extent cx="5303520" cy="1856105"/>
                  <wp:effectExtent l="0" t="0" r="5080" b="23495"/>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2"/>
                          <pic:cNvPicPr>
                            <a:picLocks noChangeAspect="1"/>
                          </pic:cNvPicPr>
                        </pic:nvPicPr>
                        <pic:blipFill>
                          <a:blip r:embed="rId20"/>
                          <a:stretch>
                            <a:fillRect/>
                          </a:stretch>
                        </pic:blipFill>
                        <pic:spPr>
                          <a:xfrm>
                            <a:off x="0" y="0"/>
                            <a:ext cx="5303520" cy="1856232"/>
                          </a:xfrm>
                          <a:prstGeom prst="rect">
                            <a:avLst/>
                          </a:prstGeom>
                        </pic:spPr>
                      </pic:pic>
                    </a:graphicData>
                  </a:graphic>
                </wp:inline>
              </w:drawing>
            </w:r>
          </w:p>
          <w:p w14:paraId="12D37E21">
            <w:pPr>
              <w:numPr>
                <w:ilvl w:val="0"/>
                <w:numId w:val="0"/>
              </w:numPr>
              <w:ind w:firstLine="420" w:firstLineChars="200"/>
              <w:jc w:val="center"/>
              <w:rPr>
                <w:rFonts w:hint="eastAsia"/>
                <w:lang w:val="en-US" w:eastAsia="zh-CN"/>
              </w:rPr>
            </w:pPr>
            <w:r>
              <w:rPr>
                <w:rFonts w:hint="eastAsia"/>
                <w:lang w:val="en-US" w:eastAsia="zh-CN"/>
              </w:rPr>
              <w:t>图4-8极端场景压力测试：P=100a设计暴雨过程（左）与跨场景泛化NSE（右）</w:t>
            </w:r>
          </w:p>
          <w:p w14:paraId="5E40C6AC">
            <w:pPr>
              <w:numPr>
                <w:ilvl w:val="0"/>
                <w:numId w:val="0"/>
              </w:numPr>
              <w:rPr>
                <w:rFonts w:hint="default" w:eastAsia="宋体"/>
                <w:b/>
                <w:bCs/>
                <w:sz w:val="24"/>
                <w:szCs w:val="24"/>
                <w:lang w:val="en-US" w:eastAsia="zh-CN"/>
              </w:rPr>
            </w:pPr>
            <w:r>
              <w:rPr>
                <w:rFonts w:hint="eastAsia" w:eastAsia="宋体"/>
                <w:b/>
                <w:bCs/>
                <w:sz w:val="24"/>
                <w:szCs w:val="24"/>
                <w:lang w:val="en-US" w:eastAsia="zh-CN"/>
              </w:rPr>
              <w:t>7、降雨预报输入增益实验</w:t>
            </w:r>
          </w:p>
          <w:p w14:paraId="05E283A8">
            <w:pPr>
              <w:numPr>
                <w:ilvl w:val="0"/>
                <w:numId w:val="0"/>
              </w:numPr>
              <w:ind w:firstLine="420" w:firstLineChars="200"/>
              <w:jc w:val="both"/>
              <w:rPr>
                <w:rFonts w:hint="eastAsia"/>
                <w:lang w:val="en-US" w:eastAsia="zh-CN"/>
              </w:rPr>
            </w:pPr>
            <w:r>
              <w:rPr>
                <w:rFonts w:hint="eastAsia"/>
                <w:lang w:val="en-US" w:eastAsia="zh-CN"/>
              </w:rPr>
              <w:t>极端场景分析发现，短历时降雨尖峰的致因降雨发生在预测发布时刻之后，仅凭历史信号原理上不可预知。为此，在特征中加入未来0~2h累计雨量，探索降雨预报输入对预测性能的提升作用。实验设置三种配置：无雨预报（仅历史）、含噪雨预报（近似业务短临预报误差水平）、理想雨预报（真值降雨作上限）。</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2"/>
              <w:gridCol w:w="2162"/>
              <w:gridCol w:w="2163"/>
            </w:tblGrid>
            <w:tr w14:paraId="2AD6889E">
              <w:tc>
                <w:tcPr>
                  <w:tcW w:w="2164" w:type="dxa"/>
                </w:tcPr>
                <w:p w14:paraId="35B3DC19">
                  <w:pPr>
                    <w:numPr>
                      <w:ilvl w:val="0"/>
                      <w:numId w:val="0"/>
                    </w:numPr>
                    <w:jc w:val="center"/>
                    <w:rPr>
                      <w:rFonts w:hint="default"/>
                      <w:vertAlign w:val="baseline"/>
                      <w:lang w:val="en-US" w:eastAsia="zh-CN"/>
                    </w:rPr>
                  </w:pPr>
                  <w:r>
                    <w:rPr>
                      <w:rFonts w:hint="eastAsia"/>
                      <w:vertAlign w:val="baseline"/>
                      <w:lang w:val="en-US" w:eastAsia="zh-CN"/>
                    </w:rPr>
                    <w:t>配置</w:t>
                  </w:r>
                </w:p>
              </w:tc>
              <w:tc>
                <w:tcPr>
                  <w:tcW w:w="2164" w:type="dxa"/>
                </w:tcPr>
                <w:p w14:paraId="31057274">
                  <w:pPr>
                    <w:numPr>
                      <w:ilvl w:val="0"/>
                      <w:numId w:val="0"/>
                    </w:numPr>
                    <w:jc w:val="center"/>
                    <w:rPr>
                      <w:rFonts w:hint="eastAsia"/>
                      <w:vertAlign w:val="baseline"/>
                      <w:lang w:val="en-US" w:eastAsia="zh-CN"/>
                    </w:rPr>
                  </w:pPr>
                  <w:r>
                    <w:rPr>
                      <w:rFonts w:hint="eastAsia" w:eastAsia="宋体"/>
                      <w:vertAlign w:val="baseline"/>
                      <w:lang w:val="en-US" w:eastAsia="zh-CN"/>
                    </w:rPr>
                    <w:t>+2h NSE</w:t>
                  </w:r>
                </w:p>
              </w:tc>
              <w:tc>
                <w:tcPr>
                  <w:tcW w:w="2164" w:type="dxa"/>
                </w:tcPr>
                <w:p w14:paraId="4C703846">
                  <w:pPr>
                    <w:numPr>
                      <w:ilvl w:val="0"/>
                      <w:numId w:val="0"/>
                    </w:numPr>
                    <w:jc w:val="center"/>
                    <w:rPr>
                      <w:rFonts w:hint="eastAsia" w:eastAsia="宋体"/>
                      <w:vertAlign w:val="baseline"/>
                      <w:lang w:val="en-US" w:eastAsia="zh-CN"/>
                    </w:rPr>
                  </w:pPr>
                  <w:r>
                    <w:rPr>
                      <w:rFonts w:hint="eastAsia" w:eastAsia="宋体"/>
                      <w:vertAlign w:val="baseline"/>
                      <w:lang w:val="en-US" w:eastAsia="zh-CN"/>
                    </w:rPr>
                    <w:t>黄色事件召回</w:t>
                  </w:r>
                </w:p>
                <w:p w14:paraId="258909EB">
                  <w:pPr>
                    <w:numPr>
                      <w:ilvl w:val="0"/>
                      <w:numId w:val="0"/>
                    </w:numPr>
                    <w:jc w:val="center"/>
                    <w:rPr>
                      <w:rFonts w:hint="eastAsia"/>
                      <w:vertAlign w:val="baseline"/>
                      <w:lang w:val="en-US" w:eastAsia="zh-CN"/>
                    </w:rPr>
                  </w:pPr>
                  <w:r>
                    <w:rPr>
                      <w:rFonts w:hint="eastAsia" w:eastAsia="宋体"/>
                      <w:vertAlign w:val="baseline"/>
                      <w:lang w:val="en-US" w:eastAsia="zh-CN"/>
                    </w:rPr>
                    <w:t>（运行口径）</w:t>
                  </w:r>
                </w:p>
              </w:tc>
              <w:tc>
                <w:tcPr>
                  <w:tcW w:w="2165" w:type="dxa"/>
                </w:tcPr>
                <w:p w14:paraId="43781B94">
                  <w:pPr>
                    <w:numPr>
                      <w:ilvl w:val="0"/>
                      <w:numId w:val="0"/>
                    </w:numPr>
                    <w:jc w:val="center"/>
                    <w:rPr>
                      <w:rFonts w:hint="eastAsia"/>
                      <w:vertAlign w:val="baseline"/>
                      <w:lang w:val="en-US" w:eastAsia="zh-CN"/>
                    </w:rPr>
                  </w:pPr>
                  <w:r>
                    <w:rPr>
                      <w:rFonts w:hint="eastAsia" w:eastAsia="宋体"/>
                      <w:vertAlign w:val="baseline"/>
                      <w:lang w:val="en-US" w:eastAsia="zh-CN"/>
                    </w:rPr>
                    <w:t>橙色事件召回</w:t>
                  </w:r>
                </w:p>
              </w:tc>
            </w:tr>
            <w:tr w14:paraId="1C62BC0F">
              <w:tc>
                <w:tcPr>
                  <w:tcW w:w="2164" w:type="dxa"/>
                  <w:vAlign w:val="center"/>
                </w:tcPr>
                <w:p w14:paraId="1CCE5C1E">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无雨预报</w:t>
                  </w:r>
                </w:p>
              </w:tc>
              <w:tc>
                <w:tcPr>
                  <w:tcW w:w="2164" w:type="dxa"/>
                  <w:vAlign w:val="center"/>
                </w:tcPr>
                <w:p w14:paraId="7360A3EB">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0.922</w:t>
                  </w:r>
                </w:p>
              </w:tc>
              <w:tc>
                <w:tcPr>
                  <w:tcW w:w="2164" w:type="dxa"/>
                  <w:vAlign w:val="center"/>
                </w:tcPr>
                <w:p w14:paraId="1A4FF4EF">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69%</w:t>
                  </w:r>
                </w:p>
              </w:tc>
              <w:tc>
                <w:tcPr>
                  <w:tcW w:w="2165" w:type="dxa"/>
                  <w:vAlign w:val="center"/>
                </w:tcPr>
                <w:p w14:paraId="6D1DDB60">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25%</w:t>
                  </w:r>
                </w:p>
              </w:tc>
            </w:tr>
            <w:tr w14:paraId="3E19433C">
              <w:tc>
                <w:tcPr>
                  <w:tcW w:w="2164" w:type="dxa"/>
                  <w:vAlign w:val="center"/>
                </w:tcPr>
                <w:p w14:paraId="3C7D7F18">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含噪雨预报</w:t>
                  </w:r>
                </w:p>
              </w:tc>
              <w:tc>
                <w:tcPr>
                  <w:tcW w:w="2164" w:type="dxa"/>
                  <w:vAlign w:val="center"/>
                </w:tcPr>
                <w:p w14:paraId="6F474137">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0.949</w:t>
                  </w:r>
                </w:p>
              </w:tc>
              <w:tc>
                <w:tcPr>
                  <w:tcW w:w="2164" w:type="dxa"/>
                  <w:vAlign w:val="center"/>
                </w:tcPr>
                <w:p w14:paraId="46521BCA">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100%</w:t>
                  </w:r>
                </w:p>
              </w:tc>
              <w:tc>
                <w:tcPr>
                  <w:tcW w:w="2165" w:type="dxa"/>
                  <w:vAlign w:val="center"/>
                </w:tcPr>
                <w:p w14:paraId="6157781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100%</w:t>
                  </w:r>
                </w:p>
              </w:tc>
            </w:tr>
            <w:tr w14:paraId="4DCCAA96">
              <w:tc>
                <w:tcPr>
                  <w:tcW w:w="2164" w:type="dxa"/>
                  <w:vAlign w:val="center"/>
                </w:tcPr>
                <w:p w14:paraId="60588A5B">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理想雨预报</w:t>
                  </w:r>
                </w:p>
              </w:tc>
              <w:tc>
                <w:tcPr>
                  <w:tcW w:w="2164" w:type="dxa"/>
                  <w:vAlign w:val="center"/>
                </w:tcPr>
                <w:p w14:paraId="17256778">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0.956</w:t>
                  </w:r>
                </w:p>
              </w:tc>
              <w:tc>
                <w:tcPr>
                  <w:tcW w:w="2164" w:type="dxa"/>
                  <w:vAlign w:val="center"/>
                </w:tcPr>
                <w:p w14:paraId="1EC4ABDE">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100%</w:t>
                  </w:r>
                </w:p>
              </w:tc>
              <w:tc>
                <w:tcPr>
                  <w:tcW w:w="2165" w:type="dxa"/>
                  <w:vAlign w:val="center"/>
                </w:tcPr>
                <w:p w14:paraId="573F646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100%</w:t>
                  </w:r>
                </w:p>
              </w:tc>
            </w:tr>
          </w:tbl>
          <w:p w14:paraId="4B6D9165">
            <w:pPr>
              <w:numPr>
                <w:ilvl w:val="0"/>
                <w:numId w:val="0"/>
              </w:numPr>
              <w:ind w:firstLine="420" w:firstLineChars="200"/>
              <w:jc w:val="center"/>
              <w:rPr>
                <w:rFonts w:hint="eastAsia"/>
                <w:lang w:val="en-US" w:eastAsia="zh-CN"/>
              </w:rPr>
            </w:pPr>
            <w:r>
              <w:rPr>
                <w:rFonts w:hint="eastAsia"/>
                <w:lang w:val="en-US" w:eastAsia="zh-CN"/>
              </w:rPr>
              <w:t>表4-6降雨预报输入对预警性能的提升效果</w:t>
            </w:r>
          </w:p>
          <w:p w14:paraId="61ECC446">
            <w:pPr>
              <w:numPr>
                <w:ilvl w:val="0"/>
                <w:numId w:val="0"/>
              </w:numPr>
              <w:ind w:firstLine="420" w:firstLineChars="200"/>
              <w:jc w:val="both"/>
              <w:rPr>
                <w:rFonts w:hint="eastAsia"/>
                <w:lang w:val="en-US" w:eastAsia="zh-CN"/>
              </w:rPr>
            </w:pPr>
            <w:r>
              <w:rPr>
                <w:rFonts w:hint="eastAsia"/>
                <w:lang w:val="en-US" w:eastAsia="zh-CN"/>
              </w:rPr>
              <w:t>结果表明：即使是含误差的短临雨预报，也能把黄/橙色预警事件召回从69%/25%提升到100%。这一结论具有重要的工程指导意义——接入气象部门短临降雨预报（如上海市气象局CMA-SH9 / 雷达外推产品）是本系统实用化部署的第一优先级工程接口，且收益已经量化。</w:t>
            </w:r>
          </w:p>
          <w:p w14:paraId="1038733C">
            <w:pPr>
              <w:numPr>
                <w:ilvl w:val="0"/>
                <w:numId w:val="0"/>
              </w:numPr>
              <w:jc w:val="left"/>
              <w:rPr>
                <w:rFonts w:hint="default" w:eastAsia="宋体"/>
                <w:b/>
                <w:bCs/>
                <w:sz w:val="28"/>
                <w:szCs w:val="28"/>
                <w:lang w:val="en-US" w:eastAsia="zh-CN"/>
              </w:rPr>
            </w:pPr>
            <w:r>
              <w:rPr>
                <w:rFonts w:hint="eastAsia" w:eastAsia="宋体"/>
                <w:b/>
                <w:bCs/>
                <w:sz w:val="28"/>
                <w:szCs w:val="28"/>
                <w:lang w:val="en-US" w:eastAsia="zh-CN"/>
              </w:rPr>
              <w:t>五、预警与协同调控体系</w:t>
            </w:r>
          </w:p>
          <w:p w14:paraId="2DDD5BF8">
            <w:pPr>
              <w:numPr>
                <w:ilvl w:val="0"/>
                <w:numId w:val="0"/>
              </w:numPr>
              <w:rPr>
                <w:rFonts w:hint="default" w:eastAsia="宋体"/>
                <w:b/>
                <w:bCs/>
                <w:sz w:val="24"/>
                <w:szCs w:val="24"/>
                <w:lang w:val="en-US" w:eastAsia="zh-CN"/>
              </w:rPr>
            </w:pPr>
            <w:r>
              <w:rPr>
                <w:rFonts w:hint="eastAsia" w:eastAsia="宋体"/>
                <w:b/>
                <w:bCs/>
                <w:sz w:val="24"/>
                <w:szCs w:val="24"/>
                <w:lang w:val="en-US" w:eastAsia="zh-CN"/>
              </w:rPr>
              <w:t>1、四级预警体系构建</w:t>
            </w:r>
          </w:p>
          <w:p w14:paraId="01DA6A44">
            <w:pPr>
              <w:numPr>
                <w:ilvl w:val="0"/>
                <w:numId w:val="0"/>
              </w:numPr>
              <w:ind w:firstLine="420" w:firstLineChars="200"/>
              <w:jc w:val="both"/>
              <w:rPr>
                <w:rFonts w:hint="eastAsia"/>
                <w:lang w:val="en-US" w:eastAsia="zh-CN"/>
              </w:rPr>
            </w:pPr>
            <w:r>
              <w:rPr>
                <w:rFonts w:hint="eastAsia"/>
                <w:lang w:val="en-US" w:eastAsia="zh-CN"/>
              </w:rPr>
              <w:t>基于超前预测结果，建立按厂设计能力占比分级的四级预警体系，预警级别与调控建议一一对应，便于运行人员理解与执行。厂设计能力概化为8000 m³/h，各级预警阈值与调控建议如表5-1所示。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2"/>
              <w:gridCol w:w="2161"/>
              <w:gridCol w:w="2163"/>
            </w:tblGrid>
            <w:tr w14:paraId="50AC120C">
              <w:tc>
                <w:tcPr>
                  <w:tcW w:w="2164" w:type="dxa"/>
                </w:tcPr>
                <w:p w14:paraId="1F64F243">
                  <w:pPr>
                    <w:numPr>
                      <w:ilvl w:val="0"/>
                      <w:numId w:val="0"/>
                    </w:numPr>
                    <w:jc w:val="center"/>
                    <w:rPr>
                      <w:rFonts w:hint="default"/>
                      <w:vertAlign w:val="baseline"/>
                      <w:lang w:val="en-US" w:eastAsia="zh-CN"/>
                    </w:rPr>
                  </w:pPr>
                  <w:r>
                    <w:rPr>
                      <w:rFonts w:hint="eastAsia"/>
                      <w:vertAlign w:val="baseline"/>
                      <w:lang w:val="en-US" w:eastAsia="zh-CN"/>
                    </w:rPr>
                    <w:t>预警级别</w:t>
                  </w:r>
                </w:p>
              </w:tc>
              <w:tc>
                <w:tcPr>
                  <w:tcW w:w="2164" w:type="dxa"/>
                </w:tcPr>
                <w:p w14:paraId="00732497">
                  <w:pPr>
                    <w:numPr>
                      <w:ilvl w:val="0"/>
                      <w:numId w:val="0"/>
                    </w:numPr>
                    <w:jc w:val="center"/>
                    <w:rPr>
                      <w:rFonts w:hint="eastAsia"/>
                      <w:vertAlign w:val="baseline"/>
                      <w:lang w:val="en-US" w:eastAsia="zh-CN"/>
                    </w:rPr>
                  </w:pPr>
                  <w:r>
                    <w:rPr>
                      <w:rFonts w:hint="eastAsia" w:eastAsia="宋体"/>
                      <w:vertAlign w:val="baseline"/>
                      <w:lang w:val="en-US" w:eastAsia="zh-CN"/>
                    </w:rPr>
                    <w:t>阈值（占设计能力）</w:t>
                  </w:r>
                </w:p>
              </w:tc>
              <w:tc>
                <w:tcPr>
                  <w:tcW w:w="2164" w:type="dxa"/>
                </w:tcPr>
                <w:p w14:paraId="51FE9446">
                  <w:pPr>
                    <w:numPr>
                      <w:ilvl w:val="0"/>
                      <w:numId w:val="0"/>
                    </w:numPr>
                    <w:jc w:val="center"/>
                    <w:rPr>
                      <w:rFonts w:hint="eastAsia"/>
                      <w:vertAlign w:val="baseline"/>
                      <w:lang w:val="en-US" w:eastAsia="zh-CN"/>
                    </w:rPr>
                  </w:pPr>
                  <w:r>
                    <w:rPr>
                      <w:rFonts w:hint="eastAsia" w:eastAsia="宋体"/>
                      <w:vertAlign w:val="baseline"/>
                      <w:lang w:val="en-US" w:eastAsia="zh-CN"/>
                    </w:rPr>
                    <w:t>颜色标识</w:t>
                  </w:r>
                </w:p>
              </w:tc>
              <w:tc>
                <w:tcPr>
                  <w:tcW w:w="2165" w:type="dxa"/>
                </w:tcPr>
                <w:p w14:paraId="2E28F948">
                  <w:pPr>
                    <w:numPr>
                      <w:ilvl w:val="0"/>
                      <w:numId w:val="0"/>
                    </w:numPr>
                    <w:jc w:val="center"/>
                    <w:rPr>
                      <w:rFonts w:hint="eastAsia"/>
                      <w:vertAlign w:val="baseline"/>
                      <w:lang w:val="en-US" w:eastAsia="zh-CN"/>
                    </w:rPr>
                  </w:pPr>
                  <w:r>
                    <w:rPr>
                      <w:rFonts w:hint="eastAsia" w:eastAsia="宋体"/>
                      <w:vertAlign w:val="baseline"/>
                      <w:lang w:val="en-US" w:eastAsia="zh-CN"/>
                    </w:rPr>
                    <w:t>协同调控建议</w:t>
                  </w:r>
                </w:p>
              </w:tc>
            </w:tr>
            <w:tr w14:paraId="1A21E967">
              <w:tc>
                <w:tcPr>
                  <w:tcW w:w="2164" w:type="dxa"/>
                  <w:vAlign w:val="center"/>
                </w:tcPr>
                <w:p w14:paraId="67040819">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蓝色</w:t>
                  </w:r>
                </w:p>
              </w:tc>
              <w:tc>
                <w:tcPr>
                  <w:tcW w:w="2164" w:type="dxa"/>
                  <w:vAlign w:val="center"/>
                </w:tcPr>
                <w:p w14:paraId="1FDF05B5">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 60%</w:t>
                  </w:r>
                </w:p>
              </w:tc>
              <w:tc>
                <w:tcPr>
                  <w:tcW w:w="2164" w:type="dxa"/>
                  <w:vAlign w:val="center"/>
                </w:tcPr>
                <w:p w14:paraId="11B09890">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蓝色</w:t>
                  </w:r>
                </w:p>
              </w:tc>
              <w:tc>
                <w:tcPr>
                  <w:tcW w:w="2165" w:type="dxa"/>
                  <w:vAlign w:val="center"/>
                </w:tcPr>
                <w:p w14:paraId="316F5AC8">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加强监视：关注上游液位与雨量变化趋势</w:t>
                  </w:r>
                </w:p>
              </w:tc>
            </w:tr>
            <w:tr w14:paraId="75182022">
              <w:tc>
                <w:tcPr>
                  <w:tcW w:w="2164" w:type="dxa"/>
                  <w:vAlign w:val="center"/>
                </w:tcPr>
                <w:p w14:paraId="531B4F2E">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黄色</w:t>
                  </w:r>
                </w:p>
              </w:tc>
              <w:tc>
                <w:tcPr>
                  <w:tcW w:w="2164" w:type="dxa"/>
                  <w:vAlign w:val="center"/>
                </w:tcPr>
                <w:p w14:paraId="00710917">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 80%</w:t>
                  </w:r>
                </w:p>
              </w:tc>
              <w:tc>
                <w:tcPr>
                  <w:tcW w:w="2164" w:type="dxa"/>
                  <w:vAlign w:val="center"/>
                </w:tcPr>
                <w:p w14:paraId="4E15E471">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黄色</w:t>
                  </w:r>
                </w:p>
              </w:tc>
              <w:tc>
                <w:tcPr>
                  <w:tcW w:w="2165" w:type="dxa"/>
                  <w:vAlign w:val="center"/>
                </w:tcPr>
                <w:p w14:paraId="676434CA">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雨前预抽空：预降各泵站前池液位，腾出调蓄容积</w:t>
                  </w:r>
                </w:p>
              </w:tc>
            </w:tr>
            <w:tr w14:paraId="197F8D04">
              <w:tc>
                <w:tcPr>
                  <w:tcW w:w="2164" w:type="dxa"/>
                  <w:vAlign w:val="center"/>
                </w:tcPr>
                <w:p w14:paraId="4AC2385C">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橙色</w:t>
                  </w:r>
                </w:p>
              </w:tc>
              <w:tc>
                <w:tcPr>
                  <w:tcW w:w="2164" w:type="dxa"/>
                  <w:vAlign w:val="center"/>
                </w:tcPr>
                <w:p w14:paraId="79E531C1">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 95%</w:t>
                  </w:r>
                </w:p>
              </w:tc>
              <w:tc>
                <w:tcPr>
                  <w:tcW w:w="2164" w:type="dxa"/>
                  <w:vAlign w:val="center"/>
                </w:tcPr>
                <w:p w14:paraId="2C693FBA">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橙色</w:t>
                  </w:r>
                </w:p>
              </w:tc>
              <w:tc>
                <w:tcPr>
                  <w:tcW w:w="2165" w:type="dxa"/>
                  <w:vAlign w:val="center"/>
                </w:tcPr>
                <w:p w14:paraId="17132472">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彭越浦总站错峰：上游支线泵站延迟30~60 min开泵，削峰错时进厂</w:t>
                  </w:r>
                </w:p>
              </w:tc>
            </w:tr>
            <w:tr w14:paraId="20A1B3A1">
              <w:tc>
                <w:tcPr>
                  <w:tcW w:w="2164" w:type="dxa"/>
                  <w:vAlign w:val="center"/>
                </w:tcPr>
                <w:p w14:paraId="136ADB9A">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红色</w:t>
                  </w:r>
                </w:p>
              </w:tc>
              <w:tc>
                <w:tcPr>
                  <w:tcW w:w="2164" w:type="dxa"/>
                  <w:vAlign w:val="center"/>
                </w:tcPr>
                <w:p w14:paraId="3AB4CDF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 110%</w:t>
                  </w:r>
                </w:p>
              </w:tc>
              <w:tc>
                <w:tcPr>
                  <w:tcW w:w="2164" w:type="dxa"/>
                  <w:vAlign w:val="center"/>
                </w:tcPr>
                <w:p w14:paraId="220D9D89">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红色</w:t>
                  </w:r>
                </w:p>
              </w:tc>
              <w:tc>
                <w:tcPr>
                  <w:tcW w:w="2165" w:type="dxa"/>
                  <w:vAlign w:val="center"/>
                </w:tcPr>
                <w:p w14:paraId="2AE5D745">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全网限流：上游泵站按能力70%限排，启用调蓄，厂内超越预案待命</w:t>
                  </w:r>
                </w:p>
              </w:tc>
            </w:tr>
          </w:tbl>
          <w:p w14:paraId="2B3E3985">
            <w:pPr>
              <w:numPr>
                <w:ilvl w:val="0"/>
                <w:numId w:val="0"/>
              </w:numPr>
              <w:ind w:firstLine="420" w:firstLineChars="200"/>
              <w:jc w:val="center"/>
              <w:rPr>
                <w:rFonts w:hint="eastAsia"/>
                <w:lang w:val="en-US" w:eastAsia="zh-CN"/>
              </w:rPr>
            </w:pPr>
            <w:r>
              <w:rPr>
                <w:rFonts w:hint="eastAsia"/>
                <w:lang w:val="en-US" w:eastAsia="zh-CN"/>
              </w:rPr>
              <w:t>表5-1 四级预警阈值与调控建议</w:t>
            </w:r>
          </w:p>
          <w:p w14:paraId="2EE89752">
            <w:pPr>
              <w:numPr>
                <w:ilvl w:val="0"/>
                <w:numId w:val="0"/>
              </w:numPr>
              <w:ind w:firstLine="420" w:firstLineChars="200"/>
              <w:jc w:val="both"/>
              <w:rPr>
                <w:rFonts w:hint="eastAsia"/>
                <w:lang w:val="en-US" w:eastAsia="zh-CN"/>
              </w:rPr>
            </w:pPr>
            <w:r>
              <w:rPr>
                <w:rFonts w:hint="eastAsia"/>
                <w:lang w:val="en-US" w:eastAsia="zh-CN"/>
              </w:rPr>
              <w:t>预警体系的设计遵循"分级响应、逐级升级"的原则，从监视到预控、从局部调整到全网联动，匹配不同程度的进水风险。预警采用模型P90稳健口径驱动，即按预测区间的上界进行预警判断，以牺牲一定的误报率为代价换取更低的漏报率，符合水务安全"宁预警、勿漏报"的运行原则。</w:t>
            </w:r>
          </w:p>
          <w:p w14:paraId="0A5C4775">
            <w:pPr>
              <w:numPr>
                <w:ilvl w:val="0"/>
                <w:numId w:val="0"/>
              </w:numPr>
              <w:rPr>
                <w:rFonts w:hint="default" w:eastAsia="宋体"/>
                <w:b/>
                <w:bCs/>
                <w:sz w:val="24"/>
                <w:szCs w:val="24"/>
                <w:lang w:val="en-US" w:eastAsia="zh-CN"/>
              </w:rPr>
            </w:pPr>
            <w:r>
              <w:rPr>
                <w:rFonts w:hint="eastAsia" w:eastAsia="宋体"/>
                <w:b/>
                <w:bCs/>
                <w:sz w:val="24"/>
                <w:szCs w:val="24"/>
                <w:lang w:val="en-US" w:eastAsia="zh-CN"/>
              </w:rPr>
              <w:t>2、分级协同调控策略设计</w:t>
            </w:r>
          </w:p>
          <w:p w14:paraId="607D2857">
            <w:pPr>
              <w:numPr>
                <w:ilvl w:val="0"/>
                <w:numId w:val="0"/>
              </w:numPr>
              <w:ind w:firstLine="420" w:firstLineChars="200"/>
              <w:jc w:val="both"/>
              <w:rPr>
                <w:rFonts w:hint="eastAsia"/>
                <w:lang w:val="en-US" w:eastAsia="zh-CN"/>
              </w:rPr>
            </w:pPr>
            <w:r>
              <w:rPr>
                <w:rFonts w:hint="eastAsia"/>
                <w:lang w:val="en-US" w:eastAsia="zh-CN"/>
              </w:rPr>
              <w:t>调控策略与26泵站骨架的能力约束一致，预警升级路径对应"时间换空间"的三步策略：</w:t>
            </w:r>
          </w:p>
          <w:p w14:paraId="720B2E0A">
            <w:pPr>
              <w:numPr>
                <w:ilvl w:val="0"/>
                <w:numId w:val="13"/>
              </w:numPr>
              <w:ind w:left="0" w:leftChars="0" w:firstLine="420" w:firstLineChars="0"/>
              <w:jc w:val="both"/>
              <w:rPr>
                <w:rFonts w:hint="eastAsia"/>
                <w:lang w:val="en-US" w:eastAsia="zh-CN"/>
              </w:rPr>
            </w:pPr>
            <w:r>
              <w:rPr>
                <w:rFonts w:hint="eastAsia"/>
                <w:lang w:val="en-US" w:eastAsia="zh-CN"/>
              </w:rPr>
              <w:t>雨前预抽空（黄色预警触发）：利用降雨到达前的时间窗口与管网输送延迟，提前降低各泵站前池液位，腾出调蓄容积。预抽空的核心是"用时间换空间"——在雨量尚小时提前排水，为后续的降雨峰值预留调蓄能力。</w:t>
            </w:r>
          </w:p>
          <w:p w14:paraId="20EBB8DF">
            <w:pPr>
              <w:numPr>
                <w:ilvl w:val="0"/>
                <w:numId w:val="13"/>
              </w:numPr>
              <w:ind w:left="0" w:leftChars="0" w:firstLine="420" w:firstLineChars="0"/>
              <w:jc w:val="both"/>
              <w:rPr>
                <w:rFonts w:hint="eastAsia"/>
                <w:lang w:val="en-US" w:eastAsia="zh-CN"/>
              </w:rPr>
            </w:pPr>
            <w:r>
              <w:rPr>
                <w:rFonts w:hint="eastAsia"/>
                <w:lang w:val="en-US" w:eastAsia="zh-CN"/>
              </w:rPr>
              <w:t>峰中错峰（橙色预警触发）：利用支线泵站与干线泵站的组合调度，实现错峰进厂。具体而言，上游支线泵站延迟30~60分钟开泵，让峰值错开到达，降低厂前进水的峰值流量。错峰调度的前提是管网与泵站有足够的调蓄能力承接延迟的水量。</w:t>
            </w:r>
          </w:p>
          <w:p w14:paraId="45473AFE">
            <w:pPr>
              <w:numPr>
                <w:ilvl w:val="0"/>
                <w:numId w:val="13"/>
              </w:numPr>
              <w:ind w:left="0" w:leftChars="0" w:firstLine="420" w:firstLineChars="0"/>
              <w:jc w:val="both"/>
              <w:rPr>
                <w:rFonts w:hint="eastAsia"/>
                <w:lang w:val="en-US" w:eastAsia="zh-CN"/>
              </w:rPr>
            </w:pPr>
            <w:r>
              <w:rPr>
                <w:rFonts w:hint="eastAsia"/>
                <w:lang w:val="en-US" w:eastAsia="zh-CN"/>
              </w:rPr>
              <w:t>极端限流（红色预警触发）：当进水峰值可能超过厂设计能力时，上游泵站按能力70%限排，充分利用管网调蓄容积，同时厂内超越预案待命。限流是最后的保护手段，以管网侧的暂时蓄存换取厂内工艺的安全稳定。</w:t>
            </w:r>
          </w:p>
          <w:p w14:paraId="5B93C3BC">
            <w:pPr>
              <w:numPr>
                <w:ilvl w:val="0"/>
                <w:numId w:val="0"/>
              </w:numPr>
              <w:ind w:firstLine="420" w:firstLineChars="200"/>
              <w:jc w:val="both"/>
              <w:rPr>
                <w:rFonts w:hint="eastAsia"/>
                <w:lang w:val="en-US" w:eastAsia="zh-CN"/>
              </w:rPr>
            </w:pPr>
            <w:r>
              <w:rPr>
                <w:rFonts w:hint="eastAsia"/>
                <w:lang w:val="en-US" w:eastAsia="zh-CN"/>
              </w:rPr>
              <w:t>三步策略形成了递进式的调控体系，从轻度调整到重度干预，匹配不同等级的风险。所有调控策略均考虑了管网水力约束与泵站运行约束，确保工程可落地。</w:t>
            </w:r>
          </w:p>
          <w:p w14:paraId="664C020D">
            <w:pPr>
              <w:numPr>
                <w:ilvl w:val="0"/>
                <w:numId w:val="0"/>
              </w:numPr>
              <w:rPr>
                <w:rFonts w:hint="default" w:eastAsia="宋体"/>
                <w:b/>
                <w:bCs/>
                <w:sz w:val="24"/>
                <w:szCs w:val="24"/>
                <w:lang w:val="en-US" w:eastAsia="zh-CN"/>
              </w:rPr>
            </w:pPr>
            <w:r>
              <w:rPr>
                <w:rFonts w:hint="eastAsia" w:eastAsia="宋体"/>
                <w:b/>
                <w:bCs/>
                <w:sz w:val="24"/>
                <w:szCs w:val="24"/>
                <w:lang w:val="en-US" w:eastAsia="zh-CN"/>
              </w:rPr>
              <w:t>3、汛期预警演示与效益量化</w:t>
            </w:r>
          </w:p>
          <w:p w14:paraId="3B9401DE">
            <w:pPr>
              <w:numPr>
                <w:ilvl w:val="0"/>
                <w:numId w:val="0"/>
              </w:numPr>
              <w:jc w:val="both"/>
              <w:rPr>
                <w:rFonts w:hint="eastAsia"/>
                <w:b/>
                <w:bCs/>
                <w:lang w:val="en-US" w:eastAsia="zh-CN"/>
              </w:rPr>
            </w:pPr>
            <w:r>
              <w:rPr>
                <w:rFonts w:hint="eastAsia"/>
                <w:b/>
                <w:bCs/>
                <w:lang w:val="en-US" w:eastAsia="zh-CN"/>
              </w:rPr>
              <w:t>3.1预警时间线演示</w:t>
            </w:r>
          </w:p>
          <w:p w14:paraId="06BD62D9">
            <w:pPr>
              <w:numPr>
                <w:ilvl w:val="0"/>
                <w:numId w:val="0"/>
              </w:numPr>
              <w:ind w:firstLine="420" w:firstLineChars="200"/>
              <w:jc w:val="both"/>
              <w:rPr>
                <w:rFonts w:hint="eastAsia"/>
                <w:lang w:val="en-US" w:eastAsia="zh-CN"/>
              </w:rPr>
            </w:pPr>
            <w:r>
              <w:rPr>
                <w:rFonts w:hint="eastAsia"/>
                <w:lang w:val="en-US" w:eastAsia="zh-CN"/>
              </w:rPr>
              <w:t>预警链路由模型在线预测（P90稳健口径）驱动，在测试段（2024-08-08~31，约23天，模型未见样本）上、提前量120 min的结果显示：蓝色预警2953步、黄色预警15步。一次典型强降雨过程中，预警在进水峰值到达前2小时逐级升级，为工艺调整留出了宝贵的准备窗口，预警时间线如图5-1所示。</w:t>
            </w:r>
          </w:p>
          <w:p w14:paraId="4CDBA4DE">
            <w:pPr>
              <w:numPr>
                <w:ilvl w:val="0"/>
                <w:numId w:val="0"/>
              </w:numPr>
              <w:ind w:firstLine="420" w:firstLineChars="200"/>
              <w:jc w:val="center"/>
            </w:pPr>
            <w:r>
              <w:drawing>
                <wp:inline distT="0" distB="0" distL="114300" distR="114300">
                  <wp:extent cx="5303520" cy="2024380"/>
                  <wp:effectExtent l="0" t="0" r="5080" b="762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21"/>
                          <a:stretch>
                            <a:fillRect/>
                          </a:stretch>
                        </pic:blipFill>
                        <pic:spPr>
                          <a:xfrm>
                            <a:off x="0" y="0"/>
                            <a:ext cx="5303520" cy="2024980"/>
                          </a:xfrm>
                          <a:prstGeom prst="rect">
                            <a:avLst/>
                          </a:prstGeom>
                        </pic:spPr>
                      </pic:pic>
                    </a:graphicData>
                  </a:graphic>
                </wp:inline>
              </w:drawing>
            </w:r>
          </w:p>
          <w:p w14:paraId="0399EC9B">
            <w:pPr>
              <w:numPr>
                <w:ilvl w:val="0"/>
                <w:numId w:val="0"/>
              </w:numPr>
              <w:ind w:firstLine="420" w:firstLineChars="200"/>
              <w:jc w:val="center"/>
              <w:rPr>
                <w:rFonts w:hint="eastAsia"/>
                <w:lang w:val="en-US" w:eastAsia="zh-CN"/>
              </w:rPr>
            </w:pPr>
            <w:r>
              <w:rPr>
                <w:rFonts w:hint="eastAsia"/>
                <w:lang w:val="en-US" w:eastAsia="zh-CN"/>
              </w:rPr>
              <w:t>图5-1 四级预警时间线（模型P90预测驱动，2024-08测试段强降雨过程，提前量120 min）</w:t>
            </w:r>
          </w:p>
          <w:p w14:paraId="5109489B">
            <w:pPr>
              <w:numPr>
                <w:ilvl w:val="0"/>
                <w:numId w:val="0"/>
              </w:numPr>
              <w:jc w:val="both"/>
              <w:rPr>
                <w:rFonts w:hint="eastAsia"/>
                <w:b/>
                <w:bCs/>
                <w:lang w:val="en-US" w:eastAsia="zh-CN"/>
              </w:rPr>
            </w:pPr>
            <w:r>
              <w:rPr>
                <w:rFonts w:hint="eastAsia"/>
                <w:b/>
                <w:bCs/>
                <w:lang w:val="en-US" w:eastAsia="zh-CN"/>
              </w:rPr>
              <w:t>3.2预警命中评估</w:t>
            </w:r>
          </w:p>
          <w:p w14:paraId="106D5179">
            <w:pPr>
              <w:numPr>
                <w:ilvl w:val="0"/>
                <w:numId w:val="0"/>
              </w:numPr>
              <w:ind w:firstLine="420" w:firstLineChars="200"/>
              <w:jc w:val="both"/>
              <w:rPr>
                <w:rFonts w:hint="eastAsia"/>
                <w:lang w:val="en-US" w:eastAsia="zh-CN"/>
              </w:rPr>
            </w:pPr>
            <w:r>
              <w:rPr>
                <w:rFonts w:hint="eastAsia"/>
                <w:lang w:val="en-US" w:eastAsia="zh-CN"/>
              </w:rPr>
              <w:t>以测试段（约23天）为样本做事件级评估，结果如表5-2所示。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2"/>
              <w:gridCol w:w="2161"/>
              <w:gridCol w:w="2161"/>
              <w:gridCol w:w="2163"/>
            </w:tblGrid>
            <w:tr w14:paraId="1730987B">
              <w:tc>
                <w:tcPr>
                  <w:tcW w:w="2164" w:type="dxa"/>
                </w:tcPr>
                <w:p w14:paraId="270A5A0F">
                  <w:pPr>
                    <w:numPr>
                      <w:ilvl w:val="0"/>
                      <w:numId w:val="0"/>
                    </w:numPr>
                    <w:jc w:val="center"/>
                    <w:rPr>
                      <w:rFonts w:hint="default"/>
                      <w:vertAlign w:val="baseline"/>
                      <w:lang w:val="en-US" w:eastAsia="zh-CN"/>
                    </w:rPr>
                  </w:pPr>
                  <w:r>
                    <w:rPr>
                      <w:rFonts w:hint="eastAsia"/>
                      <w:vertAlign w:val="baseline"/>
                      <w:lang w:val="en-US" w:eastAsia="zh-CN"/>
                    </w:rPr>
                    <w:t>预警级别</w:t>
                  </w:r>
                </w:p>
              </w:tc>
              <w:tc>
                <w:tcPr>
                  <w:tcW w:w="2164" w:type="dxa"/>
                </w:tcPr>
                <w:p w14:paraId="5455EC4D">
                  <w:pPr>
                    <w:numPr>
                      <w:ilvl w:val="0"/>
                      <w:numId w:val="0"/>
                    </w:numPr>
                    <w:jc w:val="center"/>
                    <w:rPr>
                      <w:rFonts w:hint="eastAsia"/>
                      <w:vertAlign w:val="baseline"/>
                      <w:lang w:val="en-US" w:eastAsia="zh-CN"/>
                    </w:rPr>
                  </w:pPr>
                  <w:r>
                    <w:rPr>
                      <w:rFonts w:hint="eastAsia" w:eastAsia="宋体"/>
                      <w:vertAlign w:val="baseline"/>
                      <w:lang w:val="en-US" w:eastAsia="zh-CN"/>
                    </w:rPr>
                    <w:t>事件数</w:t>
                  </w:r>
                </w:p>
              </w:tc>
              <w:tc>
                <w:tcPr>
                  <w:tcW w:w="2164" w:type="dxa"/>
                </w:tcPr>
                <w:p w14:paraId="57B5D3EC">
                  <w:pPr>
                    <w:numPr>
                      <w:ilvl w:val="0"/>
                      <w:numId w:val="0"/>
                    </w:numPr>
                    <w:jc w:val="center"/>
                    <w:rPr>
                      <w:rFonts w:hint="eastAsia"/>
                      <w:vertAlign w:val="baseline"/>
                      <w:lang w:val="en-US" w:eastAsia="zh-CN"/>
                    </w:rPr>
                  </w:pPr>
                  <w:r>
                    <w:rPr>
                      <w:rFonts w:hint="eastAsia" w:eastAsia="宋体"/>
                      <w:vertAlign w:val="baseline"/>
                      <w:lang w:val="en-US" w:eastAsia="zh-CN"/>
                    </w:rPr>
                    <w:t>P90严格口径召回</w:t>
                  </w:r>
                </w:p>
              </w:tc>
              <w:tc>
                <w:tcPr>
                  <w:tcW w:w="2165" w:type="dxa"/>
                </w:tcPr>
                <w:p w14:paraId="3DE02FF6">
                  <w:pPr>
                    <w:numPr>
                      <w:ilvl w:val="0"/>
                      <w:numId w:val="0"/>
                    </w:numPr>
                    <w:jc w:val="center"/>
                    <w:rPr>
                      <w:rFonts w:hint="eastAsia"/>
                      <w:vertAlign w:val="baseline"/>
                      <w:lang w:val="en-US" w:eastAsia="zh-CN"/>
                    </w:rPr>
                  </w:pPr>
                  <w:r>
                    <w:rPr>
                      <w:rFonts w:hint="eastAsia" w:eastAsia="宋体"/>
                      <w:vertAlign w:val="baseline"/>
                      <w:lang w:val="en-US" w:eastAsia="zh-CN"/>
                    </w:rPr>
                    <w:t>P90运行口径召回（触发系数0.85、±60min容差）</w:t>
                  </w:r>
                </w:p>
              </w:tc>
            </w:tr>
            <w:tr w14:paraId="15BF742B">
              <w:tc>
                <w:tcPr>
                  <w:tcW w:w="2164" w:type="dxa"/>
                  <w:vAlign w:val="center"/>
                </w:tcPr>
                <w:p w14:paraId="628F0631">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黄色（≥0.80）</w:t>
                  </w:r>
                </w:p>
              </w:tc>
              <w:tc>
                <w:tcPr>
                  <w:tcW w:w="2164" w:type="dxa"/>
                  <w:vAlign w:val="center"/>
                </w:tcPr>
                <w:p w14:paraId="5A882EC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13</w:t>
                  </w:r>
                </w:p>
              </w:tc>
              <w:tc>
                <w:tcPr>
                  <w:tcW w:w="2164" w:type="dxa"/>
                  <w:vAlign w:val="center"/>
                </w:tcPr>
                <w:p w14:paraId="38ECF9D8">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23%</w:t>
                  </w:r>
                </w:p>
              </w:tc>
              <w:tc>
                <w:tcPr>
                  <w:tcW w:w="2165" w:type="dxa"/>
                  <w:vAlign w:val="center"/>
                </w:tcPr>
                <w:p w14:paraId="41E148CA">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69%</w:t>
                  </w:r>
                </w:p>
              </w:tc>
            </w:tr>
            <w:tr w14:paraId="4DB1F576">
              <w:tc>
                <w:tcPr>
                  <w:tcW w:w="2164" w:type="dxa"/>
                  <w:vAlign w:val="center"/>
                </w:tcPr>
                <w:p w14:paraId="4110A55F">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橙色（≥0.95）</w:t>
                  </w:r>
                </w:p>
              </w:tc>
              <w:tc>
                <w:tcPr>
                  <w:tcW w:w="2164" w:type="dxa"/>
                  <w:vAlign w:val="center"/>
                </w:tcPr>
                <w:p w14:paraId="06E39A2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4</w:t>
                  </w:r>
                </w:p>
              </w:tc>
              <w:tc>
                <w:tcPr>
                  <w:tcW w:w="2164" w:type="dxa"/>
                  <w:vAlign w:val="center"/>
                </w:tcPr>
                <w:p w14:paraId="77E18CD1">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w:t>
                  </w:r>
                </w:p>
              </w:tc>
              <w:tc>
                <w:tcPr>
                  <w:tcW w:w="2165" w:type="dxa"/>
                  <w:vAlign w:val="center"/>
                </w:tcPr>
                <w:p w14:paraId="65E48EBB">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25%</w:t>
                  </w:r>
                </w:p>
              </w:tc>
            </w:tr>
          </w:tbl>
          <w:p w14:paraId="3331B9EB">
            <w:pPr>
              <w:numPr>
                <w:ilvl w:val="0"/>
                <w:numId w:val="0"/>
              </w:numPr>
              <w:ind w:firstLine="420" w:firstLineChars="200"/>
              <w:jc w:val="center"/>
              <w:rPr>
                <w:rFonts w:hint="eastAsia"/>
                <w:lang w:val="en-US" w:eastAsia="zh-CN"/>
              </w:rPr>
            </w:pPr>
            <w:r>
              <w:rPr>
                <w:rFonts w:hint="eastAsia"/>
                <w:lang w:val="en-US" w:eastAsia="zh-CN"/>
              </w:rPr>
              <w:t>表5-2 预警事件命中评估（测试段，P90运行口径）</w:t>
            </w:r>
          </w:p>
          <w:p w14:paraId="470DF9B0">
            <w:pPr>
              <w:numPr>
                <w:ilvl w:val="0"/>
                <w:numId w:val="0"/>
              </w:numPr>
              <w:ind w:firstLine="420" w:firstLineChars="200"/>
              <w:jc w:val="both"/>
              <w:rPr>
                <w:rFonts w:hint="eastAsia"/>
                <w:lang w:val="en-US" w:eastAsia="zh-CN"/>
              </w:rPr>
            </w:pPr>
            <w:r>
              <w:rPr>
                <w:rFonts w:hint="eastAsia"/>
                <w:lang w:val="en-US" w:eastAsia="zh-CN"/>
              </w:rPr>
              <w:t>诚实分析：未命中事件均为持续5~85分钟的短历时降雨尖峰——其致因降雨发生在预测发布时刻之后，模型仅凭历史信号原理上不可预知。这与SOTA结论一致（实时降雨预报输入是实用化的必要条件），已列为后续迭代方向。</w:t>
            </w:r>
          </w:p>
          <w:p w14:paraId="1F5A5D10">
            <w:pPr>
              <w:numPr>
                <w:ilvl w:val="0"/>
                <w:numId w:val="0"/>
              </w:numPr>
              <w:jc w:val="both"/>
              <w:rPr>
                <w:rFonts w:hint="eastAsia"/>
                <w:b/>
                <w:bCs/>
                <w:lang w:val="en-US" w:eastAsia="zh-CN"/>
              </w:rPr>
            </w:pPr>
            <w:r>
              <w:rPr>
                <w:rFonts w:hint="eastAsia"/>
                <w:b/>
                <w:bCs/>
                <w:lang w:val="en-US" w:eastAsia="zh-CN"/>
              </w:rPr>
              <w:t>3.3调控效益推算</w:t>
            </w:r>
          </w:p>
          <w:p w14:paraId="71AE2DAE">
            <w:pPr>
              <w:numPr>
                <w:ilvl w:val="0"/>
                <w:numId w:val="0"/>
              </w:numPr>
              <w:ind w:firstLine="420" w:firstLineChars="200"/>
              <w:jc w:val="both"/>
              <w:rPr>
                <w:rFonts w:hint="eastAsia"/>
                <w:lang w:val="en-US" w:eastAsia="zh-CN"/>
              </w:rPr>
            </w:pPr>
            <w:r>
              <w:rPr>
                <w:rFonts w:hint="eastAsia"/>
                <w:lang w:val="en-US" w:eastAsia="zh-CN"/>
              </w:rPr>
              <w:t>效益推算（120min提前量，26站合计40.5 m³/s，可预降调蓄比例保守取α=0.15）：预警触发后雨前预抽空可腾出调蓄容积约4.4万m³；测试段4次橙色超阈事件的超阈体积全部可被该容积错峰消纳（拦截率100%），无红色超越事件。以上为模拟场景推算，非泰和实测结果。</w:t>
            </w:r>
          </w:p>
          <w:p w14:paraId="2257DAFA">
            <w:pPr>
              <w:numPr>
                <w:ilvl w:val="0"/>
                <w:numId w:val="0"/>
              </w:numPr>
              <w:rPr>
                <w:rFonts w:hint="default" w:eastAsia="宋体"/>
                <w:b/>
                <w:bCs/>
                <w:sz w:val="24"/>
                <w:szCs w:val="24"/>
                <w:lang w:val="en-US" w:eastAsia="zh-CN"/>
              </w:rPr>
            </w:pPr>
            <w:r>
              <w:rPr>
                <w:rFonts w:hint="eastAsia" w:eastAsia="宋体"/>
                <w:b/>
                <w:bCs/>
                <w:sz w:val="24"/>
                <w:szCs w:val="24"/>
                <w:lang w:val="en-US" w:eastAsia="zh-CN"/>
              </w:rPr>
              <w:t>4、SWMM物理模型在环调度验证</w:t>
            </w:r>
          </w:p>
          <w:p w14:paraId="3DD58362">
            <w:pPr>
              <w:numPr>
                <w:ilvl w:val="0"/>
                <w:numId w:val="0"/>
              </w:numPr>
              <w:ind w:firstLine="420" w:firstLineChars="200"/>
              <w:jc w:val="both"/>
              <w:rPr>
                <w:rFonts w:hint="eastAsia"/>
                <w:lang w:val="en-US" w:eastAsia="zh-CN"/>
              </w:rPr>
            </w:pPr>
            <w:r>
              <w:rPr>
                <w:rFonts w:hint="eastAsia"/>
                <w:lang w:val="en-US" w:eastAsia="zh-CN"/>
              </w:rPr>
              <w:t>为把协同调控从"规则建议"升级为"物理模型验证的调度回路"，构建了概化EPA-SWMM 5模型：6泵站汇流单元，子汇水区+旱天污水+前池调蓄+可控泵+干线管道级联→厂前节点，采用动力波演算。用P=50a设计暴雨驱动、pyswmm逐步仿真、每5min下发泵指令，对比四种调度策略。</w:t>
            </w:r>
          </w:p>
          <w:p w14:paraId="0CA31539">
            <w:pPr>
              <w:numPr>
                <w:ilvl w:val="0"/>
                <w:numId w:val="0"/>
              </w:numPr>
              <w:jc w:val="both"/>
              <w:rPr>
                <w:rFonts w:hint="eastAsia"/>
                <w:b/>
                <w:bCs/>
                <w:lang w:val="en-US" w:eastAsia="zh-CN"/>
              </w:rPr>
            </w:pPr>
            <w:r>
              <w:rPr>
                <w:rFonts w:hint="eastAsia"/>
                <w:lang w:val="en-US" w:eastAsia="zh-CN"/>
              </w:rPr>
              <w:t>4.1</w:t>
            </w:r>
            <w:r>
              <w:rPr>
                <w:rFonts w:hint="eastAsia"/>
                <w:b/>
                <w:bCs/>
                <w:lang w:val="en-US" w:eastAsia="zh-CN"/>
              </w:rPr>
              <w:t>多策略调度对比结果</w:t>
            </w:r>
          </w:p>
          <w:p w14:paraId="65CF1815">
            <w:pPr>
              <w:numPr>
                <w:ilvl w:val="0"/>
                <w:numId w:val="0"/>
              </w:numPr>
              <w:ind w:firstLine="420" w:firstLineChars="200"/>
              <w:jc w:val="both"/>
              <w:rPr>
                <w:rFonts w:hint="eastAsia"/>
                <w:lang w:val="en-US" w:eastAsia="zh-CN"/>
              </w:rPr>
            </w:pPr>
            <w:r>
              <w:rPr>
                <w:rFonts w:hint="eastAsia"/>
                <w:lang w:val="en-US" w:eastAsia="zh-CN"/>
              </w:rPr>
              <w:t>四种调度策略的性能对比如表5-3所示：</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1729"/>
              <w:gridCol w:w="1728"/>
              <w:gridCol w:w="1730"/>
              <w:gridCol w:w="1731"/>
            </w:tblGrid>
            <w:tr w14:paraId="3C7155E8">
              <w:tc>
                <w:tcPr>
                  <w:tcW w:w="1731" w:type="dxa"/>
                </w:tcPr>
                <w:p w14:paraId="51ADBD2D">
                  <w:pPr>
                    <w:numPr>
                      <w:ilvl w:val="0"/>
                      <w:numId w:val="0"/>
                    </w:numPr>
                    <w:jc w:val="center"/>
                    <w:rPr>
                      <w:rFonts w:hint="default"/>
                      <w:vertAlign w:val="baseline"/>
                      <w:lang w:val="en-US" w:eastAsia="zh-CN"/>
                    </w:rPr>
                  </w:pPr>
                  <w:bookmarkStart w:id="0" w:name="_GoBack" w:colFirst="0" w:colLast="4"/>
                  <w:r>
                    <w:rPr>
                      <w:rFonts w:hint="eastAsia"/>
                      <w:vertAlign w:val="baseline"/>
                      <w:lang w:val="en-US" w:eastAsia="zh-CN"/>
                    </w:rPr>
                    <w:t>策略</w:t>
                  </w:r>
                </w:p>
              </w:tc>
              <w:tc>
                <w:tcPr>
                  <w:tcW w:w="1731" w:type="dxa"/>
                </w:tcPr>
                <w:p w14:paraId="1CD2DEA8">
                  <w:pPr>
                    <w:numPr>
                      <w:ilvl w:val="0"/>
                      <w:numId w:val="0"/>
                    </w:numPr>
                    <w:jc w:val="center"/>
                    <w:rPr>
                      <w:rFonts w:hint="eastAsia"/>
                      <w:vertAlign w:val="baseline"/>
                      <w:lang w:val="en-US" w:eastAsia="zh-CN"/>
                    </w:rPr>
                  </w:pPr>
                  <w:r>
                    <w:rPr>
                      <w:rFonts w:hint="eastAsia" w:eastAsia="宋体"/>
                      <w:vertAlign w:val="baseline"/>
                      <w:lang w:val="en-US" w:eastAsia="zh-CN"/>
                    </w:rPr>
                    <w:t>峰值入流(m³/s)</w:t>
                  </w:r>
                </w:p>
              </w:tc>
              <w:tc>
                <w:tcPr>
                  <w:tcW w:w="1731" w:type="dxa"/>
                </w:tcPr>
                <w:p w14:paraId="1AC4BB89">
                  <w:pPr>
                    <w:numPr>
                      <w:ilvl w:val="0"/>
                      <w:numId w:val="0"/>
                    </w:numPr>
                    <w:jc w:val="center"/>
                    <w:rPr>
                      <w:rFonts w:hint="eastAsia"/>
                      <w:vertAlign w:val="baseline"/>
                      <w:lang w:val="en-US" w:eastAsia="zh-CN"/>
                    </w:rPr>
                  </w:pPr>
                  <w:r>
                    <w:rPr>
                      <w:rFonts w:hint="eastAsia" w:eastAsia="宋体"/>
                      <w:vertAlign w:val="baseline"/>
                      <w:lang w:val="en-US" w:eastAsia="zh-CN"/>
                    </w:rPr>
                    <w:t>超安全阈值历时</w:t>
                  </w:r>
                </w:p>
              </w:tc>
              <w:tc>
                <w:tcPr>
                  <w:tcW w:w="1732" w:type="dxa"/>
                </w:tcPr>
                <w:p w14:paraId="1D7009CF">
                  <w:pPr>
                    <w:numPr>
                      <w:ilvl w:val="0"/>
                      <w:numId w:val="0"/>
                    </w:numPr>
                    <w:jc w:val="center"/>
                    <w:rPr>
                      <w:rFonts w:hint="eastAsia"/>
                      <w:vertAlign w:val="baseline"/>
                      <w:lang w:val="en-US" w:eastAsia="zh-CN"/>
                    </w:rPr>
                  </w:pPr>
                  <w:r>
                    <w:rPr>
                      <w:rFonts w:hint="eastAsia" w:eastAsia="宋体"/>
                      <w:vertAlign w:val="baseline"/>
                      <w:lang w:val="en-US" w:eastAsia="zh-CN"/>
                    </w:rPr>
                    <w:t>超阈体积</w:t>
                  </w:r>
                </w:p>
              </w:tc>
              <w:tc>
                <w:tcPr>
                  <w:tcW w:w="1732" w:type="dxa"/>
                </w:tcPr>
                <w:p w14:paraId="38431D81">
                  <w:pPr>
                    <w:numPr>
                      <w:ilvl w:val="0"/>
                      <w:numId w:val="0"/>
                    </w:numPr>
                    <w:jc w:val="center"/>
                    <w:rPr>
                      <w:rFonts w:hint="eastAsia"/>
                      <w:vertAlign w:val="baseline"/>
                      <w:lang w:val="en-US" w:eastAsia="zh-CN"/>
                    </w:rPr>
                  </w:pPr>
                  <w:r>
                    <w:rPr>
                      <w:rFonts w:hint="eastAsia" w:eastAsia="宋体"/>
                      <w:vertAlign w:val="baseline"/>
                      <w:lang w:val="en-US" w:eastAsia="zh-CN"/>
                    </w:rPr>
                    <w:t>前池冒溢体积</w:t>
                  </w:r>
                </w:p>
              </w:tc>
            </w:tr>
            <w:tr w14:paraId="6FC0E23A">
              <w:tc>
                <w:tcPr>
                  <w:tcW w:w="1731" w:type="dxa"/>
                  <w:vAlign w:val="center"/>
                </w:tcPr>
                <w:p w14:paraId="506C218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无调控（泵常开）</w:t>
                  </w:r>
                </w:p>
              </w:tc>
              <w:tc>
                <w:tcPr>
                  <w:tcW w:w="1731" w:type="dxa"/>
                  <w:vAlign w:val="center"/>
                </w:tcPr>
                <w:p w14:paraId="0E402774">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5.80</w:t>
                  </w:r>
                </w:p>
              </w:tc>
              <w:tc>
                <w:tcPr>
                  <w:tcW w:w="1731" w:type="dxa"/>
                  <w:vAlign w:val="center"/>
                </w:tcPr>
                <w:p w14:paraId="7F92156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5.6 h</w:t>
                  </w:r>
                </w:p>
              </w:tc>
              <w:tc>
                <w:tcPr>
                  <w:tcW w:w="1732" w:type="dxa"/>
                  <w:vAlign w:val="center"/>
                </w:tcPr>
                <w:p w14:paraId="11E305A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2.09万m³</w:t>
                  </w:r>
                </w:p>
              </w:tc>
              <w:tc>
                <w:tcPr>
                  <w:tcW w:w="1732" w:type="dxa"/>
                  <w:vAlign w:val="center"/>
                </w:tcPr>
                <w:p w14:paraId="3C3715F0">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19.73万m³</w:t>
                  </w:r>
                </w:p>
              </w:tc>
            </w:tr>
            <w:tr w14:paraId="265A9D17">
              <w:tc>
                <w:tcPr>
                  <w:tcW w:w="1731" w:type="dxa"/>
                  <w:vAlign w:val="center"/>
                </w:tcPr>
                <w:p w14:paraId="058210D5">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本地液位规则</w:t>
                  </w:r>
                </w:p>
              </w:tc>
              <w:tc>
                <w:tcPr>
                  <w:tcW w:w="1731" w:type="dxa"/>
                  <w:vAlign w:val="center"/>
                </w:tcPr>
                <w:p w14:paraId="16E6822E">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5.80</w:t>
                  </w:r>
                </w:p>
              </w:tc>
              <w:tc>
                <w:tcPr>
                  <w:tcW w:w="1731" w:type="dxa"/>
                  <w:vAlign w:val="center"/>
                </w:tcPr>
                <w:p w14:paraId="30AD01EA">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4.9 h</w:t>
                  </w:r>
                </w:p>
              </w:tc>
              <w:tc>
                <w:tcPr>
                  <w:tcW w:w="1732" w:type="dxa"/>
                  <w:vAlign w:val="center"/>
                </w:tcPr>
                <w:p w14:paraId="3B5237A9">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1.76万m³</w:t>
                  </w:r>
                </w:p>
              </w:tc>
              <w:tc>
                <w:tcPr>
                  <w:tcW w:w="1732" w:type="dxa"/>
                  <w:vAlign w:val="center"/>
                </w:tcPr>
                <w:p w14:paraId="1AD1D63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20.38万m³</w:t>
                  </w:r>
                </w:p>
              </w:tc>
            </w:tr>
            <w:tr w14:paraId="1B4929F0">
              <w:tc>
                <w:tcPr>
                  <w:tcW w:w="1731" w:type="dxa"/>
                  <w:vAlign w:val="center"/>
                </w:tcPr>
                <w:p w14:paraId="5BC0A4A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预见性滚动调度（带防冒溢保护）</w:t>
                  </w:r>
                </w:p>
              </w:tc>
              <w:tc>
                <w:tcPr>
                  <w:tcW w:w="1731" w:type="dxa"/>
                  <w:vAlign w:val="center"/>
                </w:tcPr>
                <w:p w14:paraId="79A1E615">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5.80</w:t>
                  </w:r>
                </w:p>
              </w:tc>
              <w:tc>
                <w:tcPr>
                  <w:tcW w:w="1731" w:type="dxa"/>
                  <w:vAlign w:val="center"/>
                </w:tcPr>
                <w:p w14:paraId="4B44189E">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4.6 h</w:t>
                  </w:r>
                </w:p>
              </w:tc>
              <w:tc>
                <w:tcPr>
                  <w:tcW w:w="1732" w:type="dxa"/>
                  <w:vAlign w:val="center"/>
                </w:tcPr>
                <w:p w14:paraId="5440667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1.50万m³（−28%）</w:t>
                  </w:r>
                </w:p>
              </w:tc>
              <w:tc>
                <w:tcPr>
                  <w:tcW w:w="1732" w:type="dxa"/>
                  <w:vAlign w:val="center"/>
                </w:tcPr>
                <w:p w14:paraId="5FBA2B7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19.73万m³（不增）</w:t>
                  </w:r>
                </w:p>
              </w:tc>
            </w:tr>
            <w:tr w14:paraId="64A55EAC">
              <w:tc>
                <w:tcPr>
                  <w:tcW w:w="1731" w:type="dxa"/>
                  <w:vAlign w:val="center"/>
                </w:tcPr>
                <w:p w14:paraId="1B8E5266">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预见性滚动调度（激进限排）</w:t>
                  </w:r>
                </w:p>
              </w:tc>
              <w:tc>
                <w:tcPr>
                  <w:tcW w:w="1731" w:type="dxa"/>
                  <w:vAlign w:val="center"/>
                </w:tcPr>
                <w:p w14:paraId="385EF78B">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4.99</w:t>
                  </w:r>
                </w:p>
              </w:tc>
              <w:tc>
                <w:tcPr>
                  <w:tcW w:w="1731" w:type="dxa"/>
                  <w:vAlign w:val="center"/>
                </w:tcPr>
                <w:p w14:paraId="2A4127DF">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2.8 h</w:t>
                  </w:r>
                </w:p>
              </w:tc>
              <w:tc>
                <w:tcPr>
                  <w:tcW w:w="1732" w:type="dxa"/>
                  <w:vAlign w:val="center"/>
                </w:tcPr>
                <w:p w14:paraId="7DEC1BA4">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0.22万m³（−89%）</w:t>
                  </w:r>
                </w:p>
              </w:tc>
              <w:tc>
                <w:tcPr>
                  <w:tcW w:w="1732" w:type="dxa"/>
                  <w:vAlign w:val="center"/>
                </w:tcPr>
                <w:p w14:paraId="5C2E5E40">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20.95万m³（+6.2%）</w:t>
                  </w:r>
                </w:p>
              </w:tc>
            </w:tr>
            <w:tr w14:paraId="022490F2">
              <w:tc>
                <w:tcPr>
                  <w:tcW w:w="1731" w:type="dxa"/>
                  <w:vAlign w:val="center"/>
                </w:tcPr>
                <w:p w14:paraId="36CFFCB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无调控（泵常开）</w:t>
                  </w:r>
                </w:p>
              </w:tc>
              <w:tc>
                <w:tcPr>
                  <w:tcW w:w="1731" w:type="dxa"/>
                  <w:vAlign w:val="center"/>
                </w:tcPr>
                <w:p w14:paraId="5533643B">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5.80</w:t>
                  </w:r>
                </w:p>
              </w:tc>
              <w:tc>
                <w:tcPr>
                  <w:tcW w:w="1731" w:type="dxa"/>
                  <w:vAlign w:val="center"/>
                </w:tcPr>
                <w:p w14:paraId="775A295D">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5.6 h</w:t>
                  </w:r>
                </w:p>
              </w:tc>
              <w:tc>
                <w:tcPr>
                  <w:tcW w:w="1732" w:type="dxa"/>
                  <w:vAlign w:val="center"/>
                </w:tcPr>
                <w:p w14:paraId="3F5DE997">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2.09万m³</w:t>
                  </w:r>
                </w:p>
              </w:tc>
              <w:tc>
                <w:tcPr>
                  <w:tcW w:w="1732" w:type="dxa"/>
                  <w:vAlign w:val="center"/>
                </w:tcPr>
                <w:p w14:paraId="37C4FC33">
                  <w:pPr>
                    <w:numPr>
                      <w:ilvl w:val="0"/>
                      <w:numId w:val="0"/>
                    </w:numPr>
                    <w:ind w:left="0" w:leftChars="0" w:firstLine="0" w:firstLineChars="0"/>
                    <w:jc w:val="center"/>
                    <w:rPr>
                      <w:rFonts w:hint="eastAsia"/>
                      <w:vertAlign w:val="baseline"/>
                      <w:lang w:val="en-US" w:eastAsia="zh-CN"/>
                    </w:rPr>
                  </w:pPr>
                  <w:r>
                    <w:rPr>
                      <w:rFonts w:hint="eastAsia" w:eastAsia="宋体"/>
                      <w:vertAlign w:val="baseline"/>
                      <w:lang w:val="en-US" w:eastAsia="zh-CN"/>
                    </w:rPr>
                    <w:t>19.73万m³</w:t>
                  </w:r>
                </w:p>
              </w:tc>
            </w:tr>
            <w:bookmarkEnd w:id="0"/>
          </w:tbl>
          <w:p w14:paraId="4899290B">
            <w:pPr>
              <w:numPr>
                <w:ilvl w:val="0"/>
                <w:numId w:val="0"/>
              </w:numPr>
              <w:ind w:firstLine="420" w:firstLineChars="200"/>
              <w:jc w:val="center"/>
              <w:rPr>
                <w:rFonts w:hint="eastAsia"/>
                <w:lang w:val="en-US" w:eastAsia="zh-CN"/>
              </w:rPr>
            </w:pPr>
            <w:r>
              <w:rPr>
                <w:rFonts w:hint="eastAsia"/>
                <w:lang w:val="en-US" w:eastAsia="zh-CN"/>
              </w:rPr>
              <w:t>表5-3 SWMM在环调度策略对比（P=50a设计暴雨）</w:t>
            </w:r>
          </w:p>
          <w:p w14:paraId="145A0099">
            <w:pPr>
              <w:numPr>
                <w:ilvl w:val="0"/>
                <w:numId w:val="0"/>
              </w:numPr>
              <w:ind w:firstLine="420" w:firstLineChars="200"/>
              <w:jc w:val="both"/>
              <w:rPr>
                <w:rFonts w:hint="eastAsia"/>
                <w:lang w:val="en-US" w:eastAsia="zh-CN"/>
              </w:rPr>
            </w:pPr>
            <w:r>
              <w:rPr>
                <w:rFonts w:hint="eastAsia"/>
                <w:lang w:val="en-US" w:eastAsia="zh-CN"/>
              </w:rPr>
              <w:t>预见性策略包含三段逻辑：雨前预抽空（未来2h累计雨量超阈→全网预降前池）→ 峰中错峰（厂前超安全阈值→上游泵限排、前池调蓄）→ 峰后恢复排空。结果揭示了工程上真实存在的削峰—冒溢权衡：激进限排可削减89%超阈体积但上游冒溢+6.2%；带85%液位防冒溢保护的稳健版则在冒溢不增的约束下削减28%超阈体积。该权衡前沿可供运行方按受纳水体敏感性选择运行点。</w:t>
            </w:r>
          </w:p>
          <w:p w14:paraId="6F80D367">
            <w:pPr>
              <w:numPr>
                <w:ilvl w:val="0"/>
                <w:numId w:val="0"/>
              </w:numPr>
              <w:ind w:firstLine="420" w:firstLineChars="200"/>
              <w:jc w:val="both"/>
              <w:rPr>
                <w:rFonts w:hint="eastAsia"/>
                <w:lang w:val="en-US" w:eastAsia="zh-CN"/>
              </w:rPr>
            </w:pPr>
            <w:r>
              <w:rPr>
                <w:rFonts w:hint="eastAsia"/>
                <w:lang w:val="en-US" w:eastAsia="zh-CN"/>
              </w:rPr>
              <w:t>诚实声明：SWMM模型为概化参数（未经泰和实测率定），结论的价值在于策略间相对比较与方法论闭环，而非绝对数值。调度过程对比如图5-2所示。</w:t>
            </w:r>
          </w:p>
          <w:p w14:paraId="098288F0">
            <w:pPr>
              <w:numPr>
                <w:ilvl w:val="0"/>
                <w:numId w:val="0"/>
              </w:numPr>
              <w:ind w:firstLine="420" w:firstLineChars="200"/>
              <w:jc w:val="both"/>
              <w:rPr>
                <w:rFonts w:hint="eastAsia"/>
                <w:lang w:val="en-US" w:eastAsia="zh-CN"/>
              </w:rPr>
            </w:pPr>
            <w:r>
              <w:drawing>
                <wp:inline distT="0" distB="0" distL="114300" distR="114300">
                  <wp:extent cx="5303520" cy="2024380"/>
                  <wp:effectExtent l="0" t="0" r="5080" b="762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22"/>
                          <a:stretch>
                            <a:fillRect/>
                          </a:stretch>
                        </pic:blipFill>
                        <pic:spPr>
                          <a:xfrm>
                            <a:off x="0" y="0"/>
                            <a:ext cx="5303520" cy="2024980"/>
                          </a:xfrm>
                          <a:prstGeom prst="rect">
                            <a:avLst/>
                          </a:prstGeom>
                        </pic:spPr>
                      </pic:pic>
                    </a:graphicData>
                  </a:graphic>
                </wp:inline>
              </w:drawing>
            </w:r>
          </w:p>
          <w:p w14:paraId="3EF297D6">
            <w:pPr>
              <w:numPr>
                <w:ilvl w:val="0"/>
                <w:numId w:val="0"/>
              </w:numPr>
              <w:ind w:firstLine="420" w:firstLineChars="200"/>
              <w:jc w:val="center"/>
              <w:rPr>
                <w:rFonts w:hint="eastAsia"/>
                <w:lang w:val="en-US" w:eastAsia="zh-CN"/>
              </w:rPr>
            </w:pPr>
            <w:r>
              <w:rPr>
                <w:rFonts w:hint="eastAsia"/>
                <w:lang w:val="en-US" w:eastAsia="zh-CN"/>
              </w:rPr>
              <w:t>图5-2 SWMM在环调度对比：预见性滚动调度将厂前入流控制在安全阈值附近（P=50a设计暴雨）</w:t>
            </w:r>
          </w:p>
          <w:p w14:paraId="7BD05554">
            <w:pPr>
              <w:numPr>
                <w:ilvl w:val="0"/>
                <w:numId w:val="0"/>
              </w:numPr>
              <w:rPr>
                <w:rFonts w:hint="default" w:eastAsia="宋体"/>
                <w:b/>
                <w:bCs/>
                <w:sz w:val="24"/>
                <w:szCs w:val="24"/>
                <w:lang w:val="en-US" w:eastAsia="zh-CN"/>
              </w:rPr>
            </w:pPr>
            <w:r>
              <w:rPr>
                <w:rFonts w:hint="eastAsia" w:eastAsia="宋体"/>
                <w:b/>
                <w:bCs/>
                <w:sz w:val="24"/>
                <w:szCs w:val="24"/>
                <w:lang w:val="en-US" w:eastAsia="zh-CN"/>
              </w:rPr>
              <w:t>5、污染冲击异常分类预警</w:t>
            </w:r>
          </w:p>
          <w:p w14:paraId="7747BD50">
            <w:pPr>
              <w:numPr>
                <w:ilvl w:val="0"/>
                <w:numId w:val="0"/>
              </w:numPr>
              <w:ind w:firstLine="420" w:firstLineChars="200"/>
              <w:jc w:val="both"/>
              <w:rPr>
                <w:rFonts w:hint="eastAsia"/>
                <w:lang w:val="en-US" w:eastAsia="zh-CN"/>
              </w:rPr>
            </w:pPr>
            <w:r>
              <w:rPr>
                <w:rFonts w:hint="eastAsia"/>
                <w:lang w:val="en-US" w:eastAsia="zh-CN"/>
              </w:rPr>
              <w:t>针对毒性冲击/工业偷排类事件，以在线可观测水质（COD、氨氮、pH、SS）与流量的滞后/差分/3h滚动z分数特征训练LightGBM分类器（class_weight=balanced应对&lt;0.5%正类占比），识别模拟场景shock_event标签。</w:t>
            </w:r>
          </w:p>
          <w:p w14:paraId="4E218A48">
            <w:pPr>
              <w:numPr>
                <w:ilvl w:val="0"/>
                <w:numId w:val="0"/>
              </w:numPr>
              <w:ind w:firstLine="420" w:firstLineChars="200"/>
              <w:jc w:val="both"/>
              <w:rPr>
                <w:rFonts w:hint="eastAsia"/>
                <w:lang w:val="en-US" w:eastAsia="zh-CN"/>
              </w:rPr>
            </w:pPr>
            <w:r>
              <w:rPr>
                <w:rFonts w:hint="eastAsia"/>
                <w:lang w:val="en-US" w:eastAsia="zh-CN"/>
              </w:rPr>
              <w:t>测试段步级precision/recall/F1均为1.0，事件级首次报警延迟0 min，无误报事件段。该结果证明了异常预警链路的可行性，能够为厂内工艺应急调整提供提前预警。</w:t>
            </w:r>
          </w:p>
          <w:p w14:paraId="12D89CF2">
            <w:pPr>
              <w:numPr>
                <w:ilvl w:val="0"/>
                <w:numId w:val="0"/>
              </w:numPr>
              <w:ind w:firstLine="420" w:firstLineChars="200"/>
              <w:jc w:val="both"/>
              <w:rPr>
                <w:rFonts w:hint="eastAsia"/>
                <w:lang w:val="en-US" w:eastAsia="zh-CN"/>
              </w:rPr>
            </w:pPr>
            <w:r>
              <w:rPr>
                <w:rFonts w:hint="eastAsia"/>
                <w:lang w:val="en-US" w:eastAsia="zh-CN"/>
              </w:rPr>
              <w:t>诚实说明：模拟器的毒性冲击特征显著（COD/SS高幅跃升 + pH偏移）且测试段仅1次事件，该满分结果只能证明链路可行性，不代表真实工况性能；真实部署需在多厂真实异常数据上重新标定阈值与误报率。</w:t>
            </w:r>
          </w:p>
          <w:p w14:paraId="612DB007">
            <w:pPr>
              <w:numPr>
                <w:ilvl w:val="0"/>
                <w:numId w:val="0"/>
              </w:numPr>
              <w:rPr>
                <w:rFonts w:hint="default" w:eastAsia="宋体"/>
                <w:b/>
                <w:bCs/>
                <w:sz w:val="24"/>
                <w:szCs w:val="24"/>
                <w:lang w:val="en-US" w:eastAsia="zh-CN"/>
              </w:rPr>
            </w:pPr>
            <w:r>
              <w:rPr>
                <w:rFonts w:hint="eastAsia" w:eastAsia="宋体"/>
                <w:b/>
                <w:bCs/>
                <w:sz w:val="24"/>
                <w:szCs w:val="24"/>
                <w:lang w:val="en-US" w:eastAsia="zh-CN"/>
              </w:rPr>
              <w:t>6、交互式看板功能说明</w:t>
            </w:r>
          </w:p>
          <w:p w14:paraId="2B362414">
            <w:pPr>
              <w:ind w:firstLine="420" w:firstLineChars="200"/>
            </w:pPr>
            <w:r>
              <w:rPr>
                <w:rFonts w:hint="eastAsia"/>
              </w:rPr>
              <w:t>看板分为四大页签：超前感知总览、厂网拓扑一张图、暴雨事件复盘、调度策略对比，可自由切换预测提前量，实时展示预测曲线、不确定性区间、预警等级、泵站运行状态，所有图表随参数联动刷新。</w:t>
            </w:r>
          </w:p>
          <w:p w14:paraId="6B853934">
            <w:pPr>
              <w:numPr>
                <w:ilvl w:val="0"/>
                <w:numId w:val="0"/>
              </w:numPr>
              <w:jc w:val="both"/>
              <w:rPr>
                <w:rFonts w:hint="eastAsia" w:eastAsia="宋体"/>
                <w:b/>
                <w:bCs/>
                <w:sz w:val="28"/>
                <w:szCs w:val="28"/>
                <w:lang w:val="en-US" w:eastAsia="zh-CN"/>
              </w:rPr>
            </w:pPr>
            <w:r>
              <w:rPr>
                <w:rFonts w:hint="eastAsia" w:eastAsia="宋体"/>
                <w:b/>
                <w:bCs/>
                <w:sz w:val="28"/>
                <w:szCs w:val="28"/>
                <w:lang w:val="en-US" w:eastAsia="zh-CN"/>
              </w:rPr>
              <w:t>六、结论与展望</w:t>
            </w:r>
          </w:p>
          <w:p w14:paraId="7DD4C99C">
            <w:pPr>
              <w:numPr>
                <w:ilvl w:val="0"/>
                <w:numId w:val="0"/>
              </w:numPr>
              <w:rPr>
                <w:rFonts w:hint="eastAsia" w:eastAsia="宋体"/>
                <w:b/>
                <w:bCs/>
                <w:sz w:val="24"/>
                <w:szCs w:val="24"/>
                <w:lang w:val="en-US" w:eastAsia="zh-CN"/>
              </w:rPr>
            </w:pPr>
            <w:r>
              <w:rPr>
                <w:rFonts w:hint="eastAsia" w:eastAsia="宋体"/>
                <w:b/>
                <w:bCs/>
                <w:sz w:val="24"/>
                <w:szCs w:val="24"/>
                <w:lang w:val="en-US" w:eastAsia="zh-CN"/>
              </w:rPr>
              <w:t>1、结论</w:t>
            </w:r>
          </w:p>
          <w:p w14:paraId="0F6DF9B9">
            <w:pPr>
              <w:numPr>
                <w:ilvl w:val="0"/>
                <w:numId w:val="14"/>
              </w:numPr>
              <w:ind w:left="0" w:leftChars="0" w:firstLine="420" w:firstLineChars="0"/>
              <w:rPr>
                <w:rFonts w:hint="eastAsia" w:eastAsia="宋体"/>
                <w:b w:val="0"/>
                <w:bCs w:val="0"/>
                <w:sz w:val="24"/>
                <w:szCs w:val="24"/>
                <w:lang w:val="en-US" w:eastAsia="zh-CN"/>
              </w:rPr>
            </w:pPr>
            <w:r>
              <w:rPr>
                <w:rFonts w:hint="eastAsia" w:eastAsia="宋体"/>
                <w:b w:val="0"/>
                <w:bCs w:val="0"/>
                <w:sz w:val="24"/>
                <w:szCs w:val="24"/>
                <w:lang w:val="en-US" w:eastAsia="zh-CN"/>
              </w:rPr>
              <w:t>建立了严格区分真实数据与模拟数据的数据体系：真实数据（Date1骨架、上海实测降雨、Köln等6类国际公开数据集）下载入库并标注来源与许可；模拟数据（管网液位/流量/水质/泵站运行时序）明确标注生成方式与全部参数，并诚实声明模拟结果的证明边界。</w:t>
            </w:r>
          </w:p>
          <w:p w14:paraId="69216853">
            <w:pPr>
              <w:numPr>
                <w:ilvl w:val="0"/>
                <w:numId w:val="14"/>
              </w:numPr>
              <w:ind w:left="0" w:leftChars="0" w:firstLine="420" w:firstLineChars="0"/>
              <w:rPr>
                <w:rFonts w:hint="eastAsia" w:eastAsia="宋体"/>
                <w:b w:val="0"/>
                <w:bCs w:val="0"/>
                <w:sz w:val="24"/>
                <w:szCs w:val="24"/>
                <w:lang w:val="en-US" w:eastAsia="zh-CN"/>
              </w:rPr>
            </w:pPr>
            <w:r>
              <w:rPr>
                <w:rFonts w:hint="eastAsia" w:eastAsia="宋体"/>
                <w:b w:val="0"/>
                <w:bCs w:val="0"/>
                <w:sz w:val="24"/>
                <w:szCs w:val="24"/>
                <w:lang w:val="en-US" w:eastAsia="zh-CN"/>
              </w:rPr>
              <w:t>在Köln真实厂网数据上证明超前1~3h进水量预测有效，+1h NSE 0.942，胜过MLP、季节朴素、persistence三重基线；迁移至泰和模拟场景，+3h NSE 0.92，COD负荷0.78~0.84，同时提供P10~P90概率预测区间。</w:t>
            </w:r>
          </w:p>
          <w:p w14:paraId="3C6BC832">
            <w:pPr>
              <w:numPr>
                <w:ilvl w:val="0"/>
                <w:numId w:val="14"/>
              </w:numPr>
              <w:ind w:left="0" w:leftChars="0" w:firstLine="420" w:firstLineChars="0"/>
              <w:rPr>
                <w:rFonts w:hint="eastAsia" w:eastAsia="宋体"/>
                <w:b w:val="0"/>
                <w:bCs w:val="0"/>
                <w:sz w:val="24"/>
                <w:szCs w:val="24"/>
                <w:lang w:val="en-US" w:eastAsia="zh-CN"/>
              </w:rPr>
            </w:pPr>
            <w:r>
              <w:rPr>
                <w:rFonts w:hint="eastAsia" w:eastAsia="宋体"/>
                <w:b w:val="0"/>
                <w:bCs w:val="0"/>
                <w:sz w:val="24"/>
                <w:szCs w:val="24"/>
                <w:lang w:val="en-US" w:eastAsia="zh-CN"/>
              </w:rPr>
              <w:t>打通"感知—预测—预警—预控"闭环，四级预警在汛期模拟场景中实现120 min提前量；SWMM在环滚动调度验证了削峰与冒溢权衡，激进限排削减89%超阈体积。</w:t>
            </w:r>
          </w:p>
          <w:p w14:paraId="1B30C2EF">
            <w:pPr>
              <w:numPr>
                <w:ilvl w:val="0"/>
                <w:numId w:val="14"/>
              </w:numPr>
              <w:ind w:left="0" w:leftChars="0" w:firstLine="420" w:firstLineChars="0"/>
              <w:rPr>
                <w:rFonts w:hint="eastAsia" w:eastAsia="宋体"/>
                <w:b w:val="0"/>
                <w:bCs w:val="0"/>
                <w:sz w:val="24"/>
                <w:szCs w:val="24"/>
                <w:lang w:val="en-US" w:eastAsia="zh-CN"/>
              </w:rPr>
            </w:pPr>
            <w:r>
              <w:rPr>
                <w:rFonts w:hint="eastAsia" w:eastAsia="宋体"/>
                <w:b w:val="0"/>
                <w:bCs w:val="0"/>
                <w:sz w:val="24"/>
                <w:szCs w:val="24"/>
                <w:lang w:val="en-US" w:eastAsia="zh-CN"/>
              </w:rPr>
              <w:t>极端压力测试量化了数据驱动模型的分布外局限（P=100a低估94%），设计暴雨增广将NSE从0.134提升至0.935；雨预报输入将黄/橙事件召回提升至100%。</w:t>
            </w:r>
          </w:p>
          <w:p w14:paraId="0F6EB5A0">
            <w:pPr>
              <w:numPr>
                <w:ilvl w:val="0"/>
                <w:numId w:val="14"/>
              </w:numPr>
              <w:ind w:left="0" w:leftChars="0" w:firstLine="420" w:firstLineChars="0"/>
              <w:rPr>
                <w:rFonts w:hint="default" w:eastAsia="宋体"/>
                <w:b w:val="0"/>
                <w:bCs w:val="0"/>
                <w:sz w:val="24"/>
                <w:szCs w:val="24"/>
                <w:lang w:val="en-US" w:eastAsia="zh-CN"/>
              </w:rPr>
            </w:pPr>
            <w:r>
              <w:rPr>
                <w:rFonts w:hint="eastAsia" w:eastAsia="宋体"/>
                <w:b w:val="0"/>
                <w:bCs w:val="0"/>
                <w:sz w:val="24"/>
                <w:szCs w:val="24"/>
                <w:lang w:val="en-US" w:eastAsia="zh-CN"/>
              </w:rPr>
              <w:t>交付全链路源码、交互式看板与本报告，全部结果一键复现。</w:t>
            </w:r>
          </w:p>
          <w:p w14:paraId="69789A2B">
            <w:pPr>
              <w:numPr>
                <w:ilvl w:val="0"/>
                <w:numId w:val="0"/>
              </w:numPr>
              <w:rPr>
                <w:rFonts w:hint="default" w:eastAsia="宋体"/>
                <w:b/>
                <w:bCs/>
                <w:sz w:val="24"/>
                <w:szCs w:val="24"/>
                <w:lang w:val="en-US" w:eastAsia="zh-CN"/>
              </w:rPr>
            </w:pPr>
            <w:r>
              <w:rPr>
                <w:rFonts w:hint="eastAsia" w:eastAsia="宋体"/>
                <w:b/>
                <w:bCs/>
                <w:sz w:val="24"/>
                <w:szCs w:val="24"/>
                <w:lang w:val="en-US" w:eastAsia="zh-CN"/>
              </w:rPr>
              <w:t>2、局限性</w:t>
            </w:r>
          </w:p>
          <w:p w14:paraId="528F1611">
            <w:pPr>
              <w:widowControl w:val="0"/>
              <w:numPr>
                <w:ilvl w:val="0"/>
                <w:numId w:val="15"/>
              </w:numPr>
              <w:ind w:left="0" w:leftChars="0" w:firstLine="420" w:firstLineChars="0"/>
              <w:jc w:val="both"/>
              <w:rPr>
                <w:rFonts w:hint="eastAsia" w:eastAsia="宋体"/>
                <w:b w:val="0"/>
                <w:bCs w:val="0"/>
                <w:sz w:val="24"/>
                <w:szCs w:val="24"/>
                <w:lang w:val="en-US" w:eastAsia="zh-CN"/>
              </w:rPr>
            </w:pPr>
            <w:r>
              <w:rPr>
                <w:rFonts w:hint="eastAsia" w:eastAsia="宋体"/>
                <w:b w:val="0"/>
                <w:bCs w:val="0"/>
                <w:sz w:val="24"/>
                <w:szCs w:val="24"/>
                <w:lang w:val="en-US" w:eastAsia="zh-CN"/>
              </w:rPr>
              <w:t>泰和场景为模拟验证，不代表泰和厂实测性能；模拟数据的降雨输入为真实实测，但管网液位/流量/水质/泵站运行时序为参数化生成，未经实测率定。</w:t>
            </w:r>
          </w:p>
          <w:p w14:paraId="5C5D7B96">
            <w:pPr>
              <w:widowControl w:val="0"/>
              <w:numPr>
                <w:ilvl w:val="0"/>
                <w:numId w:val="15"/>
              </w:numPr>
              <w:ind w:left="0" w:leftChars="0" w:firstLine="420" w:firstLineChars="0"/>
              <w:jc w:val="both"/>
              <w:rPr>
                <w:rFonts w:hint="eastAsia" w:eastAsia="宋体"/>
                <w:b w:val="0"/>
                <w:bCs w:val="0"/>
                <w:sz w:val="24"/>
                <w:szCs w:val="24"/>
                <w:lang w:val="en-US" w:eastAsia="zh-CN"/>
              </w:rPr>
            </w:pPr>
            <w:r>
              <w:rPr>
                <w:rFonts w:hint="eastAsia" w:eastAsia="宋体"/>
                <w:b w:val="0"/>
                <w:bCs w:val="0"/>
                <w:sz w:val="24"/>
                <w:szCs w:val="24"/>
                <w:lang w:val="en-US" w:eastAsia="zh-CN"/>
              </w:rPr>
              <w:t>COD等水质预测受当前模拟机理限制，需SWMM水质模块或实测数据支撑。</w:t>
            </w:r>
          </w:p>
          <w:p w14:paraId="627CBB0C">
            <w:pPr>
              <w:widowControl w:val="0"/>
              <w:numPr>
                <w:ilvl w:val="0"/>
                <w:numId w:val="15"/>
              </w:numPr>
              <w:ind w:left="0" w:leftChars="0" w:firstLine="420" w:firstLineChars="0"/>
              <w:jc w:val="both"/>
              <w:rPr>
                <w:rFonts w:hint="default" w:eastAsia="宋体"/>
                <w:b w:val="0"/>
                <w:bCs w:val="0"/>
                <w:sz w:val="24"/>
                <w:szCs w:val="24"/>
                <w:lang w:val="en-US" w:eastAsia="zh-CN"/>
              </w:rPr>
            </w:pPr>
            <w:r>
              <w:rPr>
                <w:rFonts w:hint="eastAsia" w:eastAsia="宋体"/>
                <w:b w:val="0"/>
                <w:bCs w:val="0"/>
                <w:sz w:val="24"/>
                <w:szCs w:val="24"/>
                <w:lang w:val="en-US" w:eastAsia="zh-CN"/>
              </w:rPr>
              <w:t>调控策略为规则引擎，尚未做优化调度（如MPC）闭环仿真验证。</w:t>
            </w:r>
          </w:p>
          <w:p w14:paraId="60F9FCF3">
            <w:pPr>
              <w:numPr>
                <w:ilvl w:val="0"/>
                <w:numId w:val="0"/>
              </w:numPr>
              <w:rPr>
                <w:rFonts w:hint="default" w:eastAsia="宋体"/>
                <w:b/>
                <w:bCs/>
                <w:sz w:val="24"/>
                <w:szCs w:val="24"/>
                <w:lang w:val="en-US" w:eastAsia="zh-CN"/>
              </w:rPr>
            </w:pPr>
            <w:r>
              <w:rPr>
                <w:rFonts w:hint="eastAsia" w:eastAsia="宋体"/>
                <w:b/>
                <w:bCs/>
                <w:sz w:val="24"/>
                <w:szCs w:val="24"/>
                <w:lang w:val="en-US" w:eastAsia="zh-CN"/>
              </w:rPr>
              <w:t>3、展望</w:t>
            </w:r>
          </w:p>
          <w:p w14:paraId="5BBF499A">
            <w:pPr>
              <w:widowControl w:val="0"/>
              <w:numPr>
                <w:ilvl w:val="0"/>
                <w:numId w:val="16"/>
              </w:numPr>
              <w:ind w:left="845" w:leftChars="0" w:hanging="425" w:firstLineChars="0"/>
              <w:jc w:val="both"/>
              <w:rPr>
                <w:rFonts w:hint="default" w:eastAsia="宋体"/>
                <w:b w:val="0"/>
                <w:bCs w:val="0"/>
                <w:sz w:val="24"/>
                <w:szCs w:val="24"/>
                <w:lang w:val="en-US" w:eastAsia="zh-CN"/>
              </w:rPr>
            </w:pPr>
            <w:r>
              <w:rPr>
                <w:rFonts w:hint="default" w:eastAsia="宋体"/>
                <w:b w:val="0"/>
                <w:bCs w:val="0"/>
                <w:sz w:val="24"/>
                <w:szCs w:val="24"/>
                <w:lang w:val="en-US" w:eastAsia="zh-CN"/>
              </w:rPr>
              <w:t>SWMM精细化建模替代概化模拟，接入泰和实测数据率定模型参数。</w:t>
            </w:r>
          </w:p>
          <w:p w14:paraId="74CBC05B">
            <w:pPr>
              <w:widowControl w:val="0"/>
              <w:numPr>
                <w:ilvl w:val="0"/>
                <w:numId w:val="16"/>
              </w:numPr>
              <w:ind w:left="845" w:leftChars="0" w:hanging="425" w:firstLineChars="0"/>
              <w:jc w:val="both"/>
              <w:rPr>
                <w:rFonts w:hint="default" w:eastAsia="宋体"/>
                <w:b w:val="0"/>
                <w:bCs w:val="0"/>
                <w:sz w:val="24"/>
                <w:szCs w:val="24"/>
                <w:lang w:val="en-US" w:eastAsia="zh-CN"/>
              </w:rPr>
            </w:pPr>
            <w:r>
              <w:rPr>
                <w:rFonts w:hint="default" w:eastAsia="宋体"/>
                <w:b w:val="0"/>
                <w:bCs w:val="0"/>
                <w:sz w:val="24"/>
                <w:szCs w:val="24"/>
                <w:lang w:val="en-US" w:eastAsia="zh-CN"/>
              </w:rPr>
              <w:t>申请上海政务平台"有条件开放"的各区泵站运行/排水系统数据。</w:t>
            </w:r>
          </w:p>
          <w:p w14:paraId="3CD7A621">
            <w:pPr>
              <w:widowControl w:val="0"/>
              <w:numPr>
                <w:ilvl w:val="0"/>
                <w:numId w:val="16"/>
              </w:numPr>
              <w:ind w:left="845" w:leftChars="0" w:hanging="425" w:firstLineChars="0"/>
              <w:jc w:val="both"/>
              <w:rPr>
                <w:rFonts w:hint="default" w:eastAsia="宋体"/>
                <w:b w:val="0"/>
                <w:bCs w:val="0"/>
                <w:sz w:val="24"/>
                <w:szCs w:val="24"/>
                <w:lang w:val="en-US" w:eastAsia="zh-CN"/>
              </w:rPr>
            </w:pPr>
            <w:r>
              <w:rPr>
                <w:rFonts w:hint="default" w:eastAsia="宋体"/>
                <w:b w:val="0"/>
                <w:bCs w:val="0"/>
                <w:sz w:val="24"/>
                <w:szCs w:val="24"/>
                <w:lang w:val="en-US" w:eastAsia="zh-CN"/>
              </w:rPr>
              <w:t>接入降雨数值预报作为外生输入与在线学习。</w:t>
            </w:r>
          </w:p>
          <w:p w14:paraId="247C2F87">
            <w:pPr>
              <w:widowControl w:val="0"/>
              <w:numPr>
                <w:ilvl w:val="0"/>
                <w:numId w:val="16"/>
              </w:numPr>
              <w:ind w:left="845" w:leftChars="0" w:hanging="425" w:firstLineChars="0"/>
              <w:jc w:val="both"/>
              <w:rPr>
                <w:rFonts w:hint="default" w:eastAsia="宋体"/>
                <w:b w:val="0"/>
                <w:bCs w:val="0"/>
                <w:sz w:val="24"/>
                <w:szCs w:val="24"/>
                <w:lang w:val="en-US" w:eastAsia="zh-CN"/>
              </w:rPr>
            </w:pPr>
            <w:r>
              <w:rPr>
                <w:rFonts w:hint="default" w:eastAsia="宋体"/>
                <w:b w:val="0"/>
                <w:bCs w:val="0"/>
                <w:sz w:val="24"/>
                <w:szCs w:val="24"/>
                <w:lang w:val="en-US" w:eastAsia="zh-CN"/>
              </w:rPr>
              <w:t>规则调控升级为基于模型预测控制（MPC）的泵群优化调度。</w:t>
            </w:r>
          </w:p>
          <w:p w14:paraId="1B9E2FB2">
            <w:pPr>
              <w:numPr>
                <w:ilvl w:val="0"/>
                <w:numId w:val="0"/>
              </w:numPr>
              <w:jc w:val="left"/>
              <w:rPr>
                <w:rFonts w:hint="default" w:eastAsia="宋体"/>
                <w:b/>
                <w:bCs/>
                <w:sz w:val="28"/>
                <w:szCs w:val="28"/>
                <w:lang w:val="en-US" w:eastAsia="zh-CN"/>
              </w:rPr>
            </w:pPr>
            <w:r>
              <w:rPr>
                <w:rFonts w:hint="eastAsia"/>
                <w:b/>
                <w:bCs/>
                <w:sz w:val="28"/>
                <w:szCs w:val="28"/>
                <w:lang w:val="en-US" w:eastAsia="zh-CN"/>
              </w:rPr>
              <w:t>七</w:t>
            </w:r>
            <w:r>
              <w:rPr>
                <w:rFonts w:hint="eastAsia" w:eastAsia="宋体"/>
                <w:b/>
                <w:bCs/>
                <w:sz w:val="28"/>
                <w:szCs w:val="28"/>
                <w:lang w:val="en-US" w:eastAsia="zh-CN"/>
              </w:rPr>
              <w:t>、研究基础和工作条件</w:t>
            </w:r>
          </w:p>
          <w:p w14:paraId="5589273F">
            <w:pPr>
              <w:numPr>
                <w:ilvl w:val="0"/>
                <w:numId w:val="0"/>
              </w:numPr>
              <w:rPr>
                <w:rFonts w:hint="default" w:eastAsia="宋体"/>
                <w:b/>
                <w:bCs/>
                <w:sz w:val="24"/>
                <w:szCs w:val="24"/>
                <w:lang w:val="en-US" w:eastAsia="zh-CN"/>
              </w:rPr>
            </w:pPr>
            <w:r>
              <w:rPr>
                <w:rFonts w:hint="eastAsia" w:eastAsia="宋体"/>
                <w:b/>
                <w:bCs/>
                <w:sz w:val="24"/>
                <w:szCs w:val="24"/>
                <w:lang w:val="en-US" w:eastAsia="zh-CN"/>
              </w:rPr>
              <w:t>1、研究基础</w:t>
            </w:r>
          </w:p>
          <w:p w14:paraId="39F92C10">
            <w:pPr>
              <w:numPr>
                <w:ilvl w:val="0"/>
                <w:numId w:val="0"/>
              </w:numPr>
              <w:ind w:firstLine="420" w:firstLineChars="200"/>
              <w:jc w:val="both"/>
              <w:rPr>
                <w:rFonts w:hint="eastAsia"/>
                <w:lang w:val="en-US" w:eastAsia="zh-CN"/>
              </w:rPr>
            </w:pPr>
            <w:r>
              <w:rPr>
                <w:rFonts w:hint="eastAsia"/>
                <w:lang w:val="en-US" w:eastAsia="zh-CN"/>
              </w:rPr>
              <w:t>与本项目相关研究基于城镇污水处理厂进出水水质预测以及进水负荷研究，研究依托乌鲁木齐市河西污水处理厂，该厂为新疆大学实践教学基地，可为在校研究项目提供稳定的采样条件、基础数据等。同时依托新疆大学生态与环境学院，学院长期对新疆污水处理厂进行研究，有较为成熟的研究背景，同时学院设有绿洲生态教育部重点实验室，实验室仪器设备完善。以上实验条件可满足研究相关项目的数据收集、实验的进行、后续数据处理等。</w:t>
            </w:r>
          </w:p>
          <w:p w14:paraId="572FDD8D">
            <w:pPr>
              <w:numPr>
                <w:ilvl w:val="0"/>
                <w:numId w:val="0"/>
              </w:numPr>
              <w:ind w:firstLine="420" w:firstLineChars="200"/>
              <w:jc w:val="both"/>
              <w:rPr>
                <w:rFonts w:hint="eastAsia"/>
                <w:lang w:val="en-US" w:eastAsia="zh-CN"/>
              </w:rPr>
            </w:pPr>
            <w:r>
              <w:rPr>
                <w:rFonts w:hint="eastAsia"/>
                <w:lang w:val="en-US" w:eastAsia="zh-CN"/>
              </w:rPr>
              <w:t>目前项目组成员已经开发出污水处理厂水质预测模型，可根据在线探头数据预测未来一定时间内水质变化情况，尤其是针对进水负荷问题进行调研，可以在雨季大大降低污水处理厂溢流的风险。目前模型的预测精度可达90%以上，R²达92%。相关研究成果已在学术期刊发表，具备扎实的研究基础。</w:t>
            </w:r>
          </w:p>
          <w:p w14:paraId="0E4FC2A6">
            <w:pPr>
              <w:numPr>
                <w:ilvl w:val="0"/>
                <w:numId w:val="0"/>
              </w:numPr>
              <w:ind w:firstLine="420" w:firstLineChars="200"/>
              <w:jc w:val="both"/>
              <w:rPr>
                <w:rFonts w:hint="eastAsia"/>
                <w:lang w:val="en-US" w:eastAsia="zh-CN"/>
              </w:rPr>
            </w:pPr>
            <w:r>
              <w:rPr>
                <w:rFonts w:hint="eastAsia"/>
                <w:lang w:val="en-US" w:eastAsia="zh-CN"/>
              </w:rPr>
              <w:t>本研究项目开展前期，项目组成员已进行充分文献调研，并与学习的《环境工程微生物学》、《环境监测》、《Python编程基础》、《环境工程学》、《水污染控制工程》等学科专业知识相结合，掌握污水处理厂的常见工程构造、工艺原理及计算，了解编程基本知识，具备开展本研究的知识储备。</w:t>
            </w:r>
          </w:p>
          <w:p w14:paraId="5DBE1419">
            <w:pPr>
              <w:numPr>
                <w:ilvl w:val="0"/>
                <w:numId w:val="0"/>
              </w:numPr>
              <w:rPr>
                <w:rFonts w:hint="default" w:eastAsia="宋体"/>
                <w:b/>
                <w:bCs/>
                <w:sz w:val="24"/>
                <w:szCs w:val="24"/>
                <w:lang w:val="en-US" w:eastAsia="zh-CN"/>
              </w:rPr>
            </w:pPr>
            <w:r>
              <w:rPr>
                <w:rFonts w:hint="eastAsia" w:eastAsia="宋体"/>
                <w:b/>
                <w:bCs/>
                <w:sz w:val="24"/>
                <w:szCs w:val="24"/>
                <w:lang w:val="en-US" w:eastAsia="zh-CN"/>
              </w:rPr>
              <w:t>2、软硬件工作条件</w:t>
            </w:r>
          </w:p>
          <w:p w14:paraId="51101347">
            <w:pPr>
              <w:numPr>
                <w:ilvl w:val="0"/>
                <w:numId w:val="0"/>
              </w:numPr>
              <w:ind w:firstLine="420" w:firstLineChars="200"/>
              <w:jc w:val="both"/>
              <w:rPr>
                <w:rFonts w:hint="eastAsia"/>
                <w:lang w:val="en-US" w:eastAsia="zh-CN"/>
              </w:rPr>
            </w:pPr>
            <w:r>
              <w:rPr>
                <w:rFonts w:hint="eastAsia"/>
                <w:lang w:val="en-US" w:eastAsia="zh-CN"/>
              </w:rPr>
              <w:t>主持项目课题组具备完成本项目所需的仪器设备。目前生态与环境学院拥有系统模拟与预测实验室，同时课题组搭建了基于ThinkSystem的服务器（Intel Xeon Gold 6230*2（2.1GHz/20-Core/27.5MB/125W），NVIDIA Tesla L4 24G，4*32GB RDIMM ECC TruDDR4 2933MHz，960GB SSD, 1*4TB SATA ThinkSystem），可以为预测模型、系统开发提供必要的软硬件支撑。</w:t>
            </w:r>
          </w:p>
          <w:p w14:paraId="0CC988BD">
            <w:pPr>
              <w:numPr>
                <w:ilvl w:val="0"/>
                <w:numId w:val="0"/>
              </w:numPr>
              <w:ind w:firstLine="420" w:firstLineChars="200"/>
              <w:jc w:val="both"/>
              <w:rPr>
                <w:rFonts w:hint="eastAsia"/>
                <w:lang w:val="en-US" w:eastAsia="zh-CN"/>
              </w:rPr>
            </w:pPr>
            <w:r>
              <w:rPr>
                <w:rFonts w:hint="eastAsia"/>
                <w:lang w:val="en-US" w:eastAsia="zh-CN"/>
              </w:rPr>
              <w:t>软件方面，课题组配备了完整的数据分析与建模工具链，包括Python数据科学栈（Pandas、NumPy、Scikit-learn、PyTorch等）、SWMM水力模拟软件、ArcGIS地理信息系统等，能够满足本研究的数据处理、模型开发、模拟计算与可视化等全部需求。</w:t>
            </w:r>
          </w:p>
          <w:p w14:paraId="5BA987FE">
            <w:pPr>
              <w:numPr>
                <w:ilvl w:val="0"/>
                <w:numId w:val="0"/>
              </w:numPr>
              <w:ind w:firstLine="420" w:firstLineChars="200"/>
              <w:jc w:val="both"/>
              <w:rPr>
                <w:rFonts w:hint="eastAsia"/>
                <w:b/>
                <w:bCs/>
                <w:lang w:val="en-US" w:eastAsia="zh-CN"/>
              </w:rPr>
            </w:pPr>
            <w:r>
              <w:rPr>
                <w:rFonts w:hint="eastAsia"/>
                <w:lang w:val="en-US" w:eastAsia="zh-CN"/>
              </w:rPr>
              <w:t>数据方面，课题组已收集整理了多套公开的水务数据集，包括Köln-Weiden、BSM2等国际标准数据集，以及国内多个城市的降雨与水质监测数据，为本研究提供了充足的数据支撑。同时，课题组与多家水务企业保持合作关系，具备获取工程实测数据的渠道。</w:t>
            </w:r>
          </w:p>
          <w:p w14:paraId="47BDA2AB">
            <w:pPr>
              <w:numPr>
                <w:ilvl w:val="0"/>
                <w:numId w:val="0"/>
              </w:numPr>
              <w:rPr>
                <w:rFonts w:hint="eastAsia"/>
                <w:b/>
                <w:bCs/>
              </w:rPr>
            </w:pPr>
            <w:r>
              <w:rPr>
                <w:rFonts w:hint="eastAsia"/>
                <w:b/>
                <w:bCs/>
                <w:lang w:val="en-US" w:eastAsia="zh-CN"/>
              </w:rPr>
              <w:t>6、</w:t>
            </w:r>
            <w:r>
              <w:rPr>
                <w:rFonts w:hint="eastAsia"/>
                <w:b/>
                <w:bCs/>
              </w:rPr>
              <w:t>年度研究计划、预期成果及其</w:t>
            </w:r>
            <w:r>
              <w:rPr>
                <w:rFonts w:hint="eastAsia"/>
                <w:b/>
                <w:bCs/>
                <w:lang w:val="en-US" w:eastAsia="zh-CN"/>
              </w:rPr>
              <w:t>社会经济</w:t>
            </w:r>
            <w:r>
              <w:rPr>
                <w:rFonts w:hint="eastAsia"/>
                <w:b/>
                <w:bCs/>
              </w:rPr>
              <w:t>效益</w:t>
            </w:r>
          </w:p>
          <w:p w14:paraId="76AF1DEF">
            <w:pPr>
              <w:rPr>
                <w:b/>
                <w:bCs/>
              </w:rPr>
            </w:pPr>
            <w:r>
              <w:rPr>
                <w:rFonts w:hint="eastAsia"/>
                <w:b/>
                <w:bCs/>
                <w:lang w:val="en-US" w:eastAsia="zh-CN"/>
              </w:rPr>
              <w:t>6</w:t>
            </w:r>
            <w:r>
              <w:rPr>
                <w:rFonts w:hint="eastAsia"/>
                <w:b/>
                <w:bCs/>
              </w:rPr>
              <w:t>.1研究计划</w:t>
            </w:r>
          </w:p>
          <w:tbl>
            <w:tblPr>
              <w:tblStyle w:val="12"/>
              <w:tblpPr w:leftFromText="180" w:rightFromText="180" w:vertAnchor="text" w:horzAnchor="page" w:tblpX="123" w:tblpY="58"/>
              <w:tblOverlap w:val="never"/>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903"/>
              <w:gridCol w:w="1277"/>
              <w:gridCol w:w="2228"/>
              <w:gridCol w:w="4171"/>
            </w:tblGrid>
            <w:tr w14:paraId="0C39B0A9">
              <w:trPr>
                <w:trHeight w:val="292" w:hRule="atLeast"/>
              </w:trPr>
              <w:tc>
                <w:tcPr>
                  <w:tcW w:w="903" w:type="dxa"/>
                  <w:noWrap w:val="0"/>
                  <w:vAlign w:val="center"/>
                </w:tcPr>
                <w:p w14:paraId="2B30C4D7">
                  <w:pPr>
                    <w:pStyle w:val="7"/>
                    <w:ind w:leftChar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阶段</w:t>
                  </w:r>
                </w:p>
              </w:tc>
              <w:tc>
                <w:tcPr>
                  <w:tcW w:w="1277" w:type="dxa"/>
                  <w:noWrap w:val="0"/>
                  <w:vAlign w:val="center"/>
                </w:tcPr>
                <w:p w14:paraId="727D21BE">
                  <w:pPr>
                    <w:pStyle w:val="7"/>
                    <w:ind w:leftChar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时间</w:t>
                  </w:r>
                </w:p>
              </w:tc>
              <w:tc>
                <w:tcPr>
                  <w:tcW w:w="2228" w:type="dxa"/>
                  <w:noWrap w:val="0"/>
                  <w:vAlign w:val="center"/>
                </w:tcPr>
                <w:p w14:paraId="03117440">
                  <w:pPr>
                    <w:pStyle w:val="7"/>
                    <w:ind w:leftChar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主要任务</w:t>
                  </w:r>
                </w:p>
              </w:tc>
              <w:tc>
                <w:tcPr>
                  <w:tcW w:w="4171" w:type="dxa"/>
                  <w:noWrap w:val="0"/>
                  <w:vAlign w:val="center"/>
                </w:tcPr>
                <w:p w14:paraId="46A56333">
                  <w:pPr>
                    <w:pStyle w:val="7"/>
                    <w:ind w:leftChars="0"/>
                    <w:jc w:val="center"/>
                    <w:rPr>
                      <w:rFonts w:hint="eastAsia" w:ascii="Times New Roman" w:hAnsi="Times New Roman" w:eastAsia="宋体" w:cs="宋体"/>
                      <w:sz w:val="21"/>
                      <w:szCs w:val="21"/>
                    </w:rPr>
                  </w:pPr>
                  <w:r>
                    <w:rPr>
                      <w:rFonts w:hint="eastAsia" w:ascii="Times New Roman" w:hAnsi="Times New Roman" w:eastAsia="宋体" w:cs="宋体"/>
                      <w:sz w:val="21"/>
                      <w:szCs w:val="21"/>
                    </w:rPr>
                    <w:t>预期成果</w:t>
                  </w:r>
                </w:p>
              </w:tc>
            </w:tr>
            <w:tr w14:paraId="788AD40B">
              <w:tc>
                <w:tcPr>
                  <w:tcW w:w="903" w:type="dxa"/>
                  <w:noWrap w:val="0"/>
                  <w:vAlign w:val="center"/>
                </w:tcPr>
                <w:p w14:paraId="0C789A35">
                  <w:pPr>
                    <w:pStyle w:val="7"/>
                    <w:ind w:leftChars="0"/>
                    <w:jc w:val="center"/>
                    <w:rPr>
                      <w:rFonts w:hint="eastAsia" w:ascii="Times New Roman" w:hAnsi="Times New Roman" w:eastAsia="宋体" w:cs="宋体"/>
                      <w:color w:val="000000"/>
                      <w:sz w:val="21"/>
                      <w:szCs w:val="15"/>
                    </w:rPr>
                  </w:pPr>
                  <w:r>
                    <w:rPr>
                      <w:rStyle w:val="15"/>
                      <w:rFonts w:hint="eastAsia" w:ascii="Times New Roman" w:hAnsi="Times New Roman" w:eastAsia="宋体" w:cs="宋体"/>
                      <w:b w:val="0"/>
                      <w:bCs w:val="0"/>
                      <w:color w:val="000000"/>
                      <w:sz w:val="21"/>
                      <w:szCs w:val="16"/>
                    </w:rPr>
                    <w:t>第一阶段</w:t>
                  </w:r>
                </w:p>
              </w:tc>
              <w:tc>
                <w:tcPr>
                  <w:tcW w:w="1277" w:type="dxa"/>
                  <w:noWrap w:val="0"/>
                  <w:vAlign w:val="center"/>
                </w:tcPr>
                <w:p w14:paraId="37D8BE7D">
                  <w:pPr>
                    <w:pStyle w:val="7"/>
                    <w:ind w:leftChars="0"/>
                    <w:jc w:val="center"/>
                    <w:rPr>
                      <w:rFonts w:ascii="Times New Roman" w:hAnsi="Times New Roman" w:eastAsia="宋体"/>
                      <w:color w:val="000000"/>
                      <w:sz w:val="21"/>
                      <w:szCs w:val="15"/>
                    </w:rPr>
                  </w:pPr>
                  <w:r>
                    <w:rPr>
                      <w:rFonts w:ascii="Times New Roman" w:hAnsi="Times New Roman" w:eastAsia="宋体"/>
                      <w:color w:val="000000"/>
                      <w:sz w:val="21"/>
                      <w:szCs w:val="16"/>
                    </w:rPr>
                    <w:t>第1-</w:t>
                  </w:r>
                  <w:r>
                    <w:rPr>
                      <w:rFonts w:hint="eastAsia" w:ascii="Times New Roman" w:hAnsi="Times New Roman" w:eastAsia="宋体"/>
                      <w:color w:val="000000"/>
                      <w:sz w:val="21"/>
                      <w:szCs w:val="16"/>
                      <w:lang w:val="en-US" w:eastAsia="zh-CN"/>
                    </w:rPr>
                    <w:t>3</w:t>
                  </w:r>
                  <w:r>
                    <w:rPr>
                      <w:rFonts w:ascii="Times New Roman" w:hAnsi="Times New Roman" w:eastAsia="宋体"/>
                      <w:color w:val="000000"/>
                      <w:sz w:val="21"/>
                      <w:szCs w:val="16"/>
                    </w:rPr>
                    <w:t>个月</w:t>
                  </w:r>
                </w:p>
              </w:tc>
              <w:tc>
                <w:tcPr>
                  <w:tcW w:w="2228" w:type="dxa"/>
                  <w:noWrap w:val="0"/>
                  <w:vAlign w:val="center"/>
                </w:tcPr>
                <w:p w14:paraId="59DC2F85">
                  <w:pPr>
                    <w:pStyle w:val="7"/>
                    <w:ind w:leftChars="0"/>
                    <w:jc w:val="center"/>
                    <w:rPr>
                      <w:rFonts w:hint="default" w:ascii="Times New Roman" w:hAnsi="Times New Roman" w:eastAsia="宋体"/>
                      <w:color w:val="000000"/>
                      <w:sz w:val="21"/>
                      <w:szCs w:val="15"/>
                      <w:lang w:val="en-US" w:eastAsia="zh-CN"/>
                    </w:rPr>
                  </w:pPr>
                  <w:r>
                    <w:rPr>
                      <w:rStyle w:val="15"/>
                      <w:rFonts w:ascii="Times New Roman" w:hAnsi="Times New Roman" w:eastAsia="宋体"/>
                      <w:b w:val="0"/>
                      <w:bCs w:val="0"/>
                      <w:color w:val="000000"/>
                      <w:sz w:val="21"/>
                      <w:szCs w:val="16"/>
                    </w:rPr>
                    <w:t>数据</w:t>
                  </w:r>
                  <w:r>
                    <w:rPr>
                      <w:rStyle w:val="15"/>
                      <w:rFonts w:hint="eastAsia" w:ascii="Times New Roman" w:hAnsi="Times New Roman" w:eastAsia="宋体"/>
                      <w:b w:val="0"/>
                      <w:bCs w:val="0"/>
                      <w:color w:val="000000"/>
                      <w:sz w:val="21"/>
                      <w:szCs w:val="16"/>
                      <w:lang w:val="en-US" w:eastAsia="zh-CN"/>
                    </w:rPr>
                    <w:t>体系与基础模型研发</w:t>
                  </w:r>
                </w:p>
              </w:tc>
              <w:tc>
                <w:tcPr>
                  <w:tcW w:w="4171" w:type="dxa"/>
                  <w:noWrap w:val="0"/>
                  <w:vAlign w:val="center"/>
                </w:tcPr>
                <w:p w14:paraId="551CC60C">
                  <w:pPr>
                    <w:pStyle w:val="7"/>
                    <w:ind w:leftChars="0"/>
                    <w:jc w:val="left"/>
                    <w:rPr>
                      <w:rFonts w:ascii="Times New Roman" w:hAnsi="Times New Roman" w:eastAsia="宋体"/>
                      <w:color w:val="000000"/>
                      <w:sz w:val="21"/>
                      <w:szCs w:val="15"/>
                    </w:rPr>
                  </w:pPr>
                  <w:r>
                    <w:rPr>
                      <w:rFonts w:ascii="Times New Roman" w:hAnsi="Times New Roman" w:eastAsia="宋体"/>
                      <w:color w:val="000000"/>
                      <w:sz w:val="21"/>
                      <w:szCs w:val="15"/>
                    </w:rPr>
                    <w:t xml:space="preserve">1. </w:t>
                  </w:r>
                  <w:r>
                    <w:rPr>
                      <w:rFonts w:hint="eastAsia" w:ascii="Times New Roman" w:hAnsi="Times New Roman" w:eastAsia="宋体"/>
                      <w:color w:val="000000"/>
                      <w:sz w:val="21"/>
                      <w:szCs w:val="15"/>
                    </w:rPr>
                    <w:t>完成四层数据标准化搭建与清洗对齐，梳理上海实测降雨、国际厂网真值、泰和管网骨架、降雨模拟增广四类数据源</w:t>
                  </w:r>
                  <w:r>
                    <w:rPr>
                      <w:rFonts w:ascii="Times New Roman" w:hAnsi="Times New Roman" w:eastAsia="宋体"/>
                      <w:color w:val="000000"/>
                      <w:sz w:val="21"/>
                      <w:szCs w:val="15"/>
                    </w:rPr>
                    <w:t>；</w:t>
                  </w:r>
                </w:p>
                <w:p w14:paraId="71CE31A7">
                  <w:pPr>
                    <w:pStyle w:val="7"/>
                    <w:ind w:leftChars="0"/>
                    <w:jc w:val="left"/>
                    <w:rPr>
                      <w:rFonts w:hint="eastAsia" w:ascii="Times New Roman" w:hAnsi="Times New Roman" w:eastAsia="宋体" w:cs="宋体"/>
                      <w:color w:val="000000"/>
                      <w:sz w:val="21"/>
                      <w:szCs w:val="15"/>
                    </w:rPr>
                  </w:pPr>
                  <w:r>
                    <w:rPr>
                      <w:rFonts w:ascii="Times New Roman" w:hAnsi="Times New Roman" w:eastAsia="宋体"/>
                      <w:color w:val="000000"/>
                      <w:sz w:val="21"/>
                      <w:szCs w:val="15"/>
                    </w:rPr>
                    <w:t xml:space="preserve">2. </w:t>
                  </w:r>
                  <w:r>
                    <w:rPr>
                      <w:rFonts w:hint="eastAsia" w:ascii="Times New Roman" w:hAnsi="Times New Roman" w:eastAsia="宋体"/>
                      <w:color w:val="000000"/>
                      <w:sz w:val="21"/>
                      <w:szCs w:val="15"/>
                    </w:rPr>
                    <w:t>搭建完整特征工程代码，完成轻量化 LightGBM 分位数预测、XGBoost 溢流风险模型基线开发，引入曼宁水力约束完成预测结果物理校验，在 Köln 真实数据集完成初步精度验证，输出基础模型代码与阶段性实验图表。</w:t>
                  </w:r>
                </w:p>
              </w:tc>
            </w:tr>
            <w:tr w14:paraId="2ACCD19C">
              <w:tc>
                <w:tcPr>
                  <w:tcW w:w="903" w:type="dxa"/>
                  <w:noWrap w:val="0"/>
                  <w:vAlign w:val="center"/>
                </w:tcPr>
                <w:p w14:paraId="26D317C6">
                  <w:pPr>
                    <w:pStyle w:val="7"/>
                    <w:ind w:leftChars="0"/>
                    <w:jc w:val="center"/>
                    <w:rPr>
                      <w:rFonts w:hint="eastAsia" w:ascii="Times New Roman" w:hAnsi="Times New Roman" w:eastAsia="宋体" w:cs="宋体"/>
                      <w:color w:val="000000"/>
                      <w:sz w:val="21"/>
                      <w:szCs w:val="15"/>
                    </w:rPr>
                  </w:pPr>
                  <w:r>
                    <w:rPr>
                      <w:rStyle w:val="15"/>
                      <w:rFonts w:hint="eastAsia" w:ascii="Times New Roman" w:hAnsi="Times New Roman" w:eastAsia="宋体" w:cs="宋体"/>
                      <w:b w:val="0"/>
                      <w:bCs w:val="0"/>
                      <w:color w:val="000000"/>
                      <w:sz w:val="21"/>
                      <w:szCs w:val="16"/>
                    </w:rPr>
                    <w:t>第二阶段</w:t>
                  </w:r>
                </w:p>
              </w:tc>
              <w:tc>
                <w:tcPr>
                  <w:tcW w:w="1277" w:type="dxa"/>
                  <w:noWrap w:val="0"/>
                  <w:vAlign w:val="center"/>
                </w:tcPr>
                <w:p w14:paraId="151F0C21">
                  <w:pPr>
                    <w:pStyle w:val="7"/>
                    <w:ind w:leftChars="0"/>
                    <w:jc w:val="center"/>
                    <w:rPr>
                      <w:rFonts w:ascii="Times New Roman" w:hAnsi="Times New Roman" w:eastAsia="宋体"/>
                      <w:color w:val="000000"/>
                      <w:sz w:val="21"/>
                      <w:szCs w:val="15"/>
                    </w:rPr>
                  </w:pPr>
                  <w:r>
                    <w:rPr>
                      <w:rFonts w:ascii="Times New Roman" w:hAnsi="Times New Roman" w:eastAsia="宋体"/>
                      <w:color w:val="000000"/>
                      <w:sz w:val="21"/>
                      <w:szCs w:val="16"/>
                    </w:rPr>
                    <w:t>第</w:t>
                  </w:r>
                  <w:r>
                    <w:rPr>
                      <w:rFonts w:hint="eastAsia" w:ascii="Times New Roman" w:hAnsi="Times New Roman" w:eastAsia="宋体"/>
                      <w:color w:val="000000"/>
                      <w:sz w:val="21"/>
                      <w:szCs w:val="16"/>
                      <w:lang w:val="en-US" w:eastAsia="zh-CN"/>
                    </w:rPr>
                    <w:t>4</w:t>
                  </w:r>
                  <w:r>
                    <w:rPr>
                      <w:rFonts w:ascii="Times New Roman" w:hAnsi="Times New Roman" w:eastAsia="宋体"/>
                      <w:color w:val="000000"/>
                      <w:sz w:val="21"/>
                      <w:szCs w:val="16"/>
                    </w:rPr>
                    <w:t>-</w:t>
                  </w:r>
                  <w:r>
                    <w:rPr>
                      <w:rFonts w:hint="eastAsia" w:ascii="Times New Roman" w:hAnsi="Times New Roman" w:eastAsia="宋体"/>
                      <w:color w:val="000000"/>
                      <w:sz w:val="21"/>
                      <w:szCs w:val="16"/>
                    </w:rPr>
                    <w:t>6</w:t>
                  </w:r>
                  <w:r>
                    <w:rPr>
                      <w:rFonts w:ascii="Times New Roman" w:hAnsi="Times New Roman" w:eastAsia="宋体"/>
                      <w:color w:val="000000"/>
                      <w:sz w:val="21"/>
                      <w:szCs w:val="16"/>
                    </w:rPr>
                    <w:t>个月</w:t>
                  </w:r>
                </w:p>
              </w:tc>
              <w:tc>
                <w:tcPr>
                  <w:tcW w:w="2228" w:type="dxa"/>
                  <w:noWrap w:val="0"/>
                  <w:vAlign w:val="center"/>
                </w:tcPr>
                <w:p w14:paraId="0CEBB85A">
                  <w:pPr>
                    <w:pStyle w:val="7"/>
                    <w:ind w:leftChars="0"/>
                    <w:jc w:val="center"/>
                    <w:rPr>
                      <w:rFonts w:hint="default" w:ascii="Times New Roman" w:hAnsi="Times New Roman" w:eastAsia="宋体"/>
                      <w:color w:val="000000"/>
                      <w:sz w:val="21"/>
                      <w:szCs w:val="15"/>
                      <w:lang w:val="en-US" w:eastAsia="zh-CN"/>
                    </w:rPr>
                  </w:pPr>
                  <w:r>
                    <w:rPr>
                      <w:rStyle w:val="15"/>
                      <w:rFonts w:hint="eastAsia" w:ascii="Times New Roman" w:hAnsi="Times New Roman" w:eastAsia="宋体"/>
                      <w:b w:val="0"/>
                      <w:bCs w:val="0"/>
                      <w:color w:val="000000"/>
                      <w:sz w:val="21"/>
                      <w:szCs w:val="16"/>
                      <w:lang w:val="en-US" w:eastAsia="zh-CN"/>
                    </w:rPr>
                    <w:t>工况扩充与调控仿真优化</w:t>
                  </w:r>
                </w:p>
              </w:tc>
              <w:tc>
                <w:tcPr>
                  <w:tcW w:w="4171" w:type="dxa"/>
                  <w:noWrap w:val="0"/>
                  <w:vAlign w:val="center"/>
                </w:tcPr>
                <w:p w14:paraId="7BF99BE9">
                  <w:pPr>
                    <w:pStyle w:val="7"/>
                    <w:numPr>
                      <w:ilvl w:val="0"/>
                      <w:numId w:val="17"/>
                    </w:numPr>
                    <w:ind w:leftChars="0"/>
                    <w:jc w:val="left"/>
                    <w:rPr>
                      <w:rFonts w:hint="eastAsia" w:ascii="Times New Roman" w:hAnsi="Times New Roman" w:eastAsia="宋体"/>
                      <w:color w:val="000000"/>
                      <w:sz w:val="21"/>
                      <w:szCs w:val="15"/>
                      <w:lang w:val="en-US" w:eastAsia="zh-CN"/>
                    </w:rPr>
                  </w:pPr>
                  <w:r>
                    <w:rPr>
                      <w:rFonts w:hint="eastAsia" w:ascii="Times New Roman" w:hAnsi="Times New Roman" w:eastAsia="宋体"/>
                      <w:color w:val="000000"/>
                      <w:sz w:val="21"/>
                      <w:szCs w:val="15"/>
                      <w:lang w:val="en-US" w:eastAsia="zh-CN"/>
                    </w:rPr>
                    <w:t>生成 5/50/100 年一遇设计暴雨、台风极端场景时序样本，开展模型泛化压力测试；</w:t>
                  </w:r>
                </w:p>
                <w:p w14:paraId="26675088">
                  <w:pPr>
                    <w:numPr>
                      <w:ilvl w:val="0"/>
                      <w:numId w:val="17"/>
                    </w:numPr>
                  </w:pPr>
                  <w:r>
                    <w:rPr>
                      <w:rFonts w:hint="eastAsia"/>
                    </w:rPr>
                    <w:t>搭建 SWMM 概化水力仿真平台，调试四级预警判定逻辑，对比多套泵站协同调度方案的削峰、控溢效果</w:t>
                  </w:r>
                  <w:r>
                    <w:rPr>
                      <w:rFonts w:hint="eastAsia"/>
                      <w:lang w:eastAsia="zh-CN"/>
                    </w:rPr>
                    <w:t>；</w:t>
                  </w:r>
                </w:p>
                <w:p w14:paraId="630C17D9">
                  <w:pPr>
                    <w:numPr>
                      <w:ilvl w:val="0"/>
                      <w:numId w:val="17"/>
                    </w:numPr>
                  </w:pPr>
                  <w:r>
                    <w:rPr>
                      <w:rFonts w:hint="eastAsia"/>
                    </w:rPr>
                    <w:t>完成预测不确定性量化、特征可解释性分析全套实验。</w:t>
                  </w:r>
                </w:p>
              </w:tc>
            </w:tr>
            <w:tr w14:paraId="424546CF">
              <w:tc>
                <w:tcPr>
                  <w:tcW w:w="903" w:type="dxa"/>
                  <w:noWrap w:val="0"/>
                  <w:vAlign w:val="center"/>
                </w:tcPr>
                <w:p w14:paraId="4A3D9A93">
                  <w:pPr>
                    <w:pStyle w:val="7"/>
                    <w:ind w:leftChars="0"/>
                    <w:jc w:val="center"/>
                    <w:rPr>
                      <w:rFonts w:hint="eastAsia" w:ascii="Times New Roman" w:hAnsi="Times New Roman" w:eastAsia="宋体" w:cs="宋体"/>
                      <w:color w:val="000000"/>
                      <w:sz w:val="21"/>
                      <w:szCs w:val="15"/>
                    </w:rPr>
                  </w:pPr>
                  <w:r>
                    <w:rPr>
                      <w:rStyle w:val="15"/>
                      <w:rFonts w:hint="eastAsia" w:ascii="Times New Roman" w:hAnsi="Times New Roman" w:eastAsia="宋体" w:cs="宋体"/>
                      <w:b w:val="0"/>
                      <w:bCs w:val="0"/>
                      <w:color w:val="000000"/>
                      <w:sz w:val="21"/>
                      <w:szCs w:val="16"/>
                    </w:rPr>
                    <w:t>第三阶段</w:t>
                  </w:r>
                </w:p>
              </w:tc>
              <w:tc>
                <w:tcPr>
                  <w:tcW w:w="1277" w:type="dxa"/>
                  <w:noWrap w:val="0"/>
                  <w:vAlign w:val="center"/>
                </w:tcPr>
                <w:p w14:paraId="02FEFC78">
                  <w:pPr>
                    <w:pStyle w:val="7"/>
                    <w:ind w:leftChars="0"/>
                    <w:jc w:val="center"/>
                    <w:rPr>
                      <w:rFonts w:ascii="Times New Roman" w:hAnsi="Times New Roman" w:eastAsia="宋体"/>
                      <w:color w:val="000000"/>
                      <w:sz w:val="21"/>
                      <w:szCs w:val="15"/>
                    </w:rPr>
                  </w:pPr>
                  <w:r>
                    <w:rPr>
                      <w:rFonts w:ascii="Times New Roman" w:hAnsi="Times New Roman" w:eastAsia="宋体"/>
                      <w:color w:val="000000"/>
                      <w:sz w:val="21"/>
                      <w:szCs w:val="16"/>
                    </w:rPr>
                    <w:t>第</w:t>
                  </w:r>
                  <w:r>
                    <w:rPr>
                      <w:rFonts w:hint="eastAsia" w:ascii="Times New Roman" w:hAnsi="Times New Roman" w:eastAsia="宋体"/>
                      <w:color w:val="000000"/>
                      <w:sz w:val="21"/>
                      <w:szCs w:val="16"/>
                    </w:rPr>
                    <w:t>7</w:t>
                  </w:r>
                  <w:r>
                    <w:rPr>
                      <w:rFonts w:ascii="Times New Roman" w:hAnsi="Times New Roman" w:eastAsia="宋体"/>
                      <w:color w:val="000000"/>
                      <w:sz w:val="21"/>
                      <w:szCs w:val="16"/>
                    </w:rPr>
                    <w:t>-</w:t>
                  </w:r>
                  <w:r>
                    <w:rPr>
                      <w:rFonts w:hint="eastAsia" w:ascii="Times New Roman" w:hAnsi="Times New Roman" w:eastAsia="宋体"/>
                      <w:color w:val="000000"/>
                      <w:sz w:val="21"/>
                      <w:szCs w:val="16"/>
                      <w:lang w:val="en-US" w:eastAsia="zh-CN"/>
                    </w:rPr>
                    <w:t>9</w:t>
                  </w:r>
                  <w:r>
                    <w:rPr>
                      <w:rFonts w:ascii="Times New Roman" w:hAnsi="Times New Roman" w:eastAsia="宋体"/>
                      <w:color w:val="000000"/>
                      <w:sz w:val="21"/>
                      <w:szCs w:val="16"/>
                    </w:rPr>
                    <w:t>个月</w:t>
                  </w:r>
                </w:p>
              </w:tc>
              <w:tc>
                <w:tcPr>
                  <w:tcW w:w="2228" w:type="dxa"/>
                  <w:noWrap w:val="0"/>
                  <w:vAlign w:val="center"/>
                </w:tcPr>
                <w:p w14:paraId="125214C6">
                  <w:pPr>
                    <w:pStyle w:val="7"/>
                    <w:ind w:leftChars="0"/>
                    <w:jc w:val="center"/>
                    <w:rPr>
                      <w:rFonts w:ascii="Times New Roman" w:hAnsi="Times New Roman" w:eastAsia="宋体"/>
                      <w:color w:val="000000"/>
                      <w:sz w:val="21"/>
                      <w:szCs w:val="15"/>
                    </w:rPr>
                  </w:pPr>
                  <w:r>
                    <w:rPr>
                      <w:rFonts w:hint="eastAsia" w:ascii="Times New Roman" w:hAnsi="Times New Roman" w:eastAsia="宋体"/>
                      <w:color w:val="000000"/>
                      <w:sz w:val="21"/>
                      <w:szCs w:val="15"/>
                    </w:rPr>
                    <w:t>可视化系统集成与场景适配</w:t>
                  </w:r>
                </w:p>
              </w:tc>
              <w:tc>
                <w:tcPr>
                  <w:tcW w:w="4171" w:type="dxa"/>
                  <w:noWrap w:val="0"/>
                  <w:vAlign w:val="center"/>
                </w:tcPr>
                <w:p w14:paraId="71A191AF">
                  <w:pPr>
                    <w:pStyle w:val="7"/>
                    <w:numPr>
                      <w:ilvl w:val="0"/>
                      <w:numId w:val="18"/>
                    </w:numPr>
                    <w:ind w:leftChars="0"/>
                    <w:jc w:val="left"/>
                    <w:rPr>
                      <w:rFonts w:hint="eastAsia" w:ascii="Times New Roman" w:hAnsi="Times New Roman" w:eastAsia="宋体" w:cs="宋体"/>
                      <w:color w:val="000000"/>
                      <w:sz w:val="21"/>
                      <w:szCs w:val="15"/>
                    </w:rPr>
                  </w:pPr>
                  <w:r>
                    <w:rPr>
                      <w:rFonts w:hint="eastAsia" w:ascii="Times New Roman" w:hAnsi="Times New Roman" w:eastAsia="宋体"/>
                      <w:color w:val="000000"/>
                      <w:sz w:val="21"/>
                      <w:szCs w:val="15"/>
                    </w:rPr>
                    <w:t>开发完整 Streamlit 交互式可视化看板，打通管网预测模块与污水厂进水数据接口；</w:t>
                  </w:r>
                </w:p>
                <w:p w14:paraId="3A1324D8">
                  <w:pPr>
                    <w:numPr>
                      <w:ilvl w:val="0"/>
                      <w:numId w:val="18"/>
                    </w:numPr>
                    <w:ind w:left="0" w:leftChars="0" w:firstLine="0" w:firstLineChars="0"/>
                    <w:rPr>
                      <w:rFonts w:hint="default" w:eastAsia="宋体"/>
                      <w:lang w:val="en-US" w:eastAsia="zh-CN"/>
                    </w:rPr>
                  </w:pPr>
                  <w:r>
                    <w:rPr>
                      <w:rFonts w:hint="default" w:eastAsia="宋体"/>
                      <w:lang w:val="en-US" w:eastAsia="zh-CN"/>
                    </w:rPr>
                    <w:t>完成多工况、长时序仿真回放功能开发，针对不同规模合流制管网完成模型轻量化适配优化，降低设备运行算力需求。</w:t>
                  </w:r>
                </w:p>
              </w:tc>
            </w:tr>
            <w:tr w14:paraId="158BF33E">
              <w:tc>
                <w:tcPr>
                  <w:tcW w:w="903" w:type="dxa"/>
                  <w:noWrap w:val="0"/>
                  <w:vAlign w:val="center"/>
                </w:tcPr>
                <w:p w14:paraId="0369E613">
                  <w:pPr>
                    <w:pStyle w:val="7"/>
                    <w:ind w:leftChars="0"/>
                    <w:jc w:val="center"/>
                    <w:rPr>
                      <w:rFonts w:hint="eastAsia" w:ascii="Times New Roman" w:hAnsi="Times New Roman" w:eastAsia="宋体" w:cs="宋体"/>
                      <w:color w:val="000000"/>
                      <w:sz w:val="21"/>
                      <w:szCs w:val="15"/>
                    </w:rPr>
                  </w:pPr>
                  <w:r>
                    <w:rPr>
                      <w:rStyle w:val="15"/>
                      <w:rFonts w:hint="eastAsia" w:ascii="Times New Roman" w:hAnsi="Times New Roman" w:eastAsia="宋体" w:cs="宋体"/>
                      <w:b w:val="0"/>
                      <w:bCs w:val="0"/>
                      <w:color w:val="000000"/>
                      <w:sz w:val="21"/>
                      <w:szCs w:val="16"/>
                    </w:rPr>
                    <w:t>第四阶段</w:t>
                  </w:r>
                </w:p>
              </w:tc>
              <w:tc>
                <w:tcPr>
                  <w:tcW w:w="1277" w:type="dxa"/>
                  <w:noWrap w:val="0"/>
                  <w:vAlign w:val="center"/>
                </w:tcPr>
                <w:p w14:paraId="0529101D">
                  <w:pPr>
                    <w:pStyle w:val="7"/>
                    <w:ind w:leftChars="0"/>
                    <w:jc w:val="center"/>
                    <w:rPr>
                      <w:rFonts w:ascii="Times New Roman" w:hAnsi="Times New Roman" w:eastAsia="宋体"/>
                      <w:color w:val="000000"/>
                      <w:sz w:val="21"/>
                      <w:szCs w:val="15"/>
                    </w:rPr>
                  </w:pPr>
                  <w:r>
                    <w:rPr>
                      <w:rFonts w:ascii="Times New Roman" w:hAnsi="Times New Roman" w:eastAsia="宋体"/>
                      <w:color w:val="000000"/>
                      <w:sz w:val="21"/>
                      <w:szCs w:val="16"/>
                    </w:rPr>
                    <w:t>第</w:t>
                  </w:r>
                  <w:r>
                    <w:rPr>
                      <w:rFonts w:hint="eastAsia" w:ascii="Times New Roman" w:hAnsi="Times New Roman" w:eastAsia="宋体"/>
                      <w:color w:val="000000"/>
                      <w:sz w:val="21"/>
                      <w:szCs w:val="16"/>
                    </w:rPr>
                    <w:t>1</w:t>
                  </w:r>
                  <w:r>
                    <w:rPr>
                      <w:rFonts w:hint="eastAsia" w:ascii="Times New Roman" w:hAnsi="Times New Roman" w:eastAsia="宋体"/>
                      <w:color w:val="000000"/>
                      <w:sz w:val="21"/>
                      <w:szCs w:val="16"/>
                      <w:lang w:val="en-US" w:eastAsia="zh-CN"/>
                    </w:rPr>
                    <w:t>0</w:t>
                  </w:r>
                  <w:r>
                    <w:rPr>
                      <w:rFonts w:ascii="Times New Roman" w:hAnsi="Times New Roman" w:eastAsia="宋体"/>
                      <w:color w:val="000000"/>
                      <w:sz w:val="21"/>
                      <w:szCs w:val="16"/>
                    </w:rPr>
                    <w:t>-</w:t>
                  </w:r>
                  <w:r>
                    <w:rPr>
                      <w:rFonts w:hint="eastAsia" w:ascii="Times New Roman" w:hAnsi="Times New Roman" w:eastAsia="宋体"/>
                      <w:color w:val="000000"/>
                      <w:sz w:val="21"/>
                      <w:szCs w:val="16"/>
                    </w:rPr>
                    <w:t xml:space="preserve"> 1</w:t>
                  </w:r>
                  <w:r>
                    <w:rPr>
                      <w:rFonts w:hint="eastAsia" w:ascii="Times New Roman" w:hAnsi="Times New Roman" w:eastAsia="宋体"/>
                      <w:color w:val="000000"/>
                      <w:sz w:val="21"/>
                      <w:szCs w:val="16"/>
                      <w:lang w:val="en-US" w:eastAsia="zh-CN"/>
                    </w:rPr>
                    <w:t>2</w:t>
                  </w:r>
                  <w:r>
                    <w:rPr>
                      <w:rFonts w:ascii="Times New Roman" w:hAnsi="Times New Roman" w:eastAsia="宋体"/>
                      <w:color w:val="000000"/>
                      <w:sz w:val="21"/>
                      <w:szCs w:val="16"/>
                    </w:rPr>
                    <w:t>个月</w:t>
                  </w:r>
                </w:p>
              </w:tc>
              <w:tc>
                <w:tcPr>
                  <w:tcW w:w="2228" w:type="dxa"/>
                  <w:noWrap w:val="0"/>
                  <w:vAlign w:val="center"/>
                </w:tcPr>
                <w:p w14:paraId="766096D1">
                  <w:pPr>
                    <w:pStyle w:val="7"/>
                    <w:ind w:leftChars="0"/>
                    <w:jc w:val="center"/>
                    <w:rPr>
                      <w:rFonts w:ascii="Times New Roman" w:hAnsi="Times New Roman" w:eastAsia="宋体"/>
                      <w:color w:val="000000"/>
                      <w:sz w:val="21"/>
                      <w:szCs w:val="15"/>
                    </w:rPr>
                  </w:pPr>
                  <w:r>
                    <w:rPr>
                      <w:rFonts w:hint="eastAsia" w:ascii="Times New Roman" w:hAnsi="Times New Roman" w:eastAsia="宋体"/>
                      <w:color w:val="000000"/>
                      <w:sz w:val="21"/>
                      <w:szCs w:val="15"/>
                    </w:rPr>
                    <w:t>实际验证</w:t>
                  </w:r>
                </w:p>
              </w:tc>
              <w:tc>
                <w:tcPr>
                  <w:tcW w:w="4171" w:type="dxa"/>
                  <w:noWrap w:val="0"/>
                  <w:vAlign w:val="center"/>
                </w:tcPr>
                <w:p w14:paraId="57E0E3D9">
                  <w:pPr>
                    <w:pStyle w:val="7"/>
                    <w:numPr>
                      <w:ilvl w:val="0"/>
                      <w:numId w:val="19"/>
                    </w:numPr>
                    <w:ind w:leftChars="0"/>
                    <w:jc w:val="left"/>
                    <w:rPr>
                      <w:rFonts w:hint="eastAsia" w:ascii="Times New Roman" w:hAnsi="Times New Roman" w:eastAsia="宋体"/>
                      <w:color w:val="000000"/>
                      <w:sz w:val="21"/>
                      <w:szCs w:val="15"/>
                    </w:rPr>
                  </w:pPr>
                  <w:r>
                    <w:rPr>
                      <w:rFonts w:hint="eastAsia" w:ascii="Times New Roman" w:hAnsi="Times New Roman" w:eastAsia="宋体"/>
                      <w:color w:val="000000"/>
                      <w:sz w:val="21"/>
                      <w:szCs w:val="15"/>
                    </w:rPr>
                    <w:t>对接本地水务单位开展小规模现场试运行，利用实测时序数据微调模型参数；</w:t>
                  </w:r>
                </w:p>
                <w:p w14:paraId="2341756A">
                  <w:pPr>
                    <w:pStyle w:val="7"/>
                    <w:numPr>
                      <w:ilvl w:val="0"/>
                      <w:numId w:val="19"/>
                    </w:numPr>
                    <w:ind w:leftChars="0"/>
                    <w:jc w:val="left"/>
                    <w:rPr>
                      <w:rFonts w:hint="eastAsia" w:ascii="Times New Roman" w:hAnsi="Times New Roman" w:eastAsia="宋体" w:cs="宋体"/>
                      <w:color w:val="000000"/>
                      <w:sz w:val="21"/>
                      <w:szCs w:val="15"/>
                    </w:rPr>
                  </w:pPr>
                  <w:r>
                    <w:rPr>
                      <w:rFonts w:hint="eastAsia" w:ascii="Times New Roman" w:hAnsi="Times New Roman" w:eastAsia="宋体"/>
                      <w:color w:val="000000"/>
                      <w:sz w:val="21"/>
                      <w:szCs w:val="15"/>
                    </w:rPr>
                    <w:t>整理全套可复现代码、数据集、仿真脚本；</w:t>
                  </w:r>
                </w:p>
                <w:p w14:paraId="087F5C11">
                  <w:pPr>
                    <w:pStyle w:val="7"/>
                    <w:numPr>
                      <w:ilvl w:val="0"/>
                      <w:numId w:val="19"/>
                    </w:numPr>
                    <w:ind w:leftChars="0"/>
                    <w:jc w:val="left"/>
                    <w:rPr>
                      <w:rFonts w:hint="eastAsia" w:ascii="Times New Roman" w:hAnsi="Times New Roman" w:eastAsia="宋体" w:cs="宋体"/>
                      <w:color w:val="000000"/>
                      <w:sz w:val="21"/>
                      <w:szCs w:val="15"/>
                    </w:rPr>
                  </w:pPr>
                  <w:r>
                    <w:rPr>
                      <w:rFonts w:ascii="Times New Roman" w:hAnsi="Times New Roman" w:eastAsia="宋体"/>
                      <w:color w:val="000000"/>
                      <w:sz w:val="21"/>
                      <w:szCs w:val="15"/>
                    </w:rPr>
                    <w:t>提出工艺优化方案并与合作水厂验证</w:t>
                  </w:r>
                  <w:r>
                    <w:rPr>
                      <w:rFonts w:hint="eastAsia" w:ascii="Times New Roman" w:hAnsi="Times New Roman" w:eastAsia="宋体"/>
                      <w:color w:val="000000"/>
                      <w:sz w:val="21"/>
                      <w:szCs w:val="15"/>
                    </w:rPr>
                    <w:t>。</w:t>
                  </w:r>
                </w:p>
              </w:tc>
            </w:tr>
          </w:tbl>
          <w:p w14:paraId="61842E55">
            <w:pPr>
              <w:jc w:val="center"/>
              <w:rPr>
                <w:rFonts w:hint="eastAsia"/>
              </w:rPr>
            </w:pPr>
            <w:r>
              <w:rPr>
                <w:rFonts w:hint="eastAsia"/>
              </w:rPr>
              <w:t>图2</w:t>
            </w:r>
          </w:p>
          <w:p w14:paraId="755CDFC9">
            <w:pPr>
              <w:rPr>
                <w:rFonts w:hint="eastAsia" w:eastAsia="宋体"/>
                <w:lang w:eastAsia="zh-CN"/>
              </w:rPr>
            </w:pPr>
            <w:r>
              <w:rPr>
                <w:rFonts w:hint="eastAsia"/>
                <w:b/>
                <w:bCs/>
                <w:lang w:val="en-US" w:eastAsia="zh-CN"/>
              </w:rPr>
              <w:t>6</w:t>
            </w:r>
            <w:r>
              <w:rPr>
                <w:rFonts w:hint="eastAsia"/>
                <w:b/>
                <w:bCs/>
              </w:rPr>
              <w:t>.2预期</w:t>
            </w:r>
            <w:r>
              <w:rPr>
                <w:rFonts w:hint="eastAsia"/>
                <w:b/>
                <w:bCs/>
                <w:lang w:val="en-US" w:eastAsia="zh-CN"/>
              </w:rPr>
              <w:t>效果</w:t>
            </w:r>
          </w:p>
          <w:p w14:paraId="2F8F8D9B">
            <w:pPr>
              <w:numPr>
                <w:ilvl w:val="0"/>
                <w:numId w:val="0"/>
              </w:numPr>
              <w:ind w:firstLine="420" w:firstLineChars="200"/>
              <w:rPr>
                <w:rFonts w:hint="eastAsia"/>
              </w:rPr>
            </w:pPr>
            <w:r>
              <w:rPr>
                <w:rFonts w:hint="eastAsia"/>
              </w:rPr>
              <w:t>本项目预期产出一套整合四层时序数据源的标准化厂网雨数据集及配套数据处理代码，完成融合曼宁水力约束的轻量化 LightGBM 分位数预测、XGBoost 溢流风险预警完整算法程序，搭建基于 SWMM 的管网水力仿真工具并形成四级进水负荷判定与多套泵站协同调度策略，开发具备管网动态监测、暴雨复盘、调度对比功能的独立交互式可视化看板，同步产出完整项目研究报告、1篇相关学术论文、软件操作手册、数据集说明及全套实验仿真图表，全部代码、数据集与演示系统均可完整复现，可适配各类合流制污水厂管网场景推广复用。</w:t>
            </w:r>
          </w:p>
          <w:p w14:paraId="43A6A250">
            <w:pPr>
              <w:numPr>
                <w:ilvl w:val="0"/>
                <w:numId w:val="0"/>
              </w:numPr>
              <w:jc w:val="left"/>
              <w:rPr>
                <w:rFonts w:hint="eastAsia" w:eastAsia="宋体"/>
                <w:b/>
                <w:bCs/>
                <w:sz w:val="28"/>
                <w:szCs w:val="28"/>
                <w:lang w:val="en-US" w:eastAsia="zh-CN"/>
              </w:rPr>
            </w:pPr>
            <w:r>
              <w:rPr>
                <w:rFonts w:hint="eastAsia"/>
                <w:b/>
                <w:bCs/>
                <w:sz w:val="28"/>
                <w:szCs w:val="28"/>
                <w:lang w:val="en-US" w:eastAsia="zh-CN"/>
              </w:rPr>
              <w:t>八</w:t>
            </w:r>
            <w:r>
              <w:rPr>
                <w:rFonts w:hint="eastAsia" w:eastAsia="宋体"/>
                <w:b/>
                <w:bCs/>
                <w:sz w:val="28"/>
                <w:szCs w:val="28"/>
                <w:lang w:val="en-US" w:eastAsia="zh-CN"/>
              </w:rPr>
              <w:t>、预期社会经济效益</w:t>
            </w:r>
          </w:p>
          <w:p w14:paraId="53440B7F">
            <w:pPr>
              <w:rPr>
                <w:rFonts w:hint="eastAsia" w:eastAsia="宋体"/>
                <w:b/>
                <w:bCs/>
                <w:lang w:val="en-US" w:eastAsia="zh-CN"/>
              </w:rPr>
            </w:pPr>
            <w:r>
              <w:rPr>
                <w:rFonts w:hint="eastAsia" w:eastAsia="宋体"/>
                <w:b/>
                <w:bCs/>
                <w:lang w:val="en-US" w:eastAsia="zh-CN"/>
              </w:rPr>
              <w:t>7.</w:t>
            </w:r>
            <w:r>
              <w:rPr>
                <w:rFonts w:hint="default" w:eastAsia="宋体"/>
                <w:b/>
                <w:bCs/>
                <w:lang w:val="en-US"/>
              </w:rPr>
              <w:t>1</w:t>
            </w:r>
            <w:r>
              <w:rPr>
                <w:rFonts w:hint="eastAsia" w:eastAsia="宋体"/>
                <w:b/>
                <w:bCs/>
                <w:lang w:val="en-US" w:eastAsia="zh-CN"/>
              </w:rPr>
              <w:t>社会效益</w:t>
            </w:r>
          </w:p>
          <w:p w14:paraId="488B7F48">
            <w:pPr>
              <w:numPr>
                <w:ilvl w:val="0"/>
                <w:numId w:val="20"/>
              </w:numPr>
              <w:ind w:left="0" w:leftChars="0" w:firstLine="420" w:firstLineChars="0"/>
              <w:rPr>
                <w:rFonts w:hint="eastAsia"/>
              </w:rPr>
            </w:pPr>
            <w:r>
              <w:rPr>
                <w:rFonts w:hint="eastAsia"/>
              </w:rPr>
              <w:t>水环境治理效益：通过管网调蓄削峰减少合流制溢流污染直排入河，削减雨天有机污染物入河总量，缓解城市河道黑臭问题，改善区域水生态环境，助力海绵城市、流域水环境治理工作落地。</w:t>
            </w:r>
          </w:p>
          <w:p w14:paraId="1D093418">
            <w:pPr>
              <w:numPr>
                <w:ilvl w:val="0"/>
                <w:numId w:val="20"/>
              </w:numPr>
              <w:ind w:left="0" w:leftChars="0" w:firstLine="420" w:firstLineChars="0"/>
              <w:rPr>
                <w:rFonts w:hint="eastAsia"/>
              </w:rPr>
            </w:pPr>
            <w:r>
              <w:rPr>
                <w:rFonts w:hint="eastAsia"/>
              </w:rPr>
              <w:t>城市防汛减灾效益：提前预判管网高液位、溢流风险，为防汛调度预留充足操作窗口，降低老旧管网、低洼区域内涝发生概率，保障城市居民生产生活安全。</w:t>
            </w:r>
          </w:p>
          <w:p w14:paraId="3DBCA75F">
            <w:pPr>
              <w:numPr>
                <w:ilvl w:val="0"/>
                <w:numId w:val="20"/>
              </w:numPr>
              <w:ind w:left="0" w:leftChars="0" w:firstLine="420" w:firstLineChars="0"/>
              <w:rPr>
                <w:rFonts w:hint="eastAsia"/>
              </w:rPr>
            </w:pPr>
            <w:r>
              <w:rPr>
                <w:rFonts w:hint="eastAsia"/>
              </w:rPr>
              <w:t>行业发展效益：形成一套数据稀缺场景下厂站网一体化建模标准化方案，为国内市政水务智慧化改造提供可复制范本，推动传统排水运维由人工经验管控向数据智能预判转型，提升城市排水系统现代化管理水平。</w:t>
            </w:r>
          </w:p>
          <w:p w14:paraId="142F989B">
            <w:pPr>
              <w:numPr>
                <w:ilvl w:val="0"/>
                <w:numId w:val="20"/>
              </w:numPr>
              <w:ind w:left="0" w:leftChars="0" w:firstLine="420" w:firstLineChars="0"/>
              <w:rPr>
                <w:rFonts w:hint="eastAsia"/>
              </w:rPr>
            </w:pPr>
            <w:r>
              <w:rPr>
                <w:rFonts w:hint="eastAsia"/>
              </w:rPr>
              <w:t>人才与科普效益：项目融合环境工程、人工智能、水利仿真跨学科技术，可作为高校实践教学案例，培养智慧水务复合型技术人才；可视化运行平台直观展示管网污水输送全过程，便于水务部门面向公众开展水环境治理科普宣传，提升群众环保意识。</w:t>
            </w:r>
          </w:p>
          <w:p w14:paraId="59FBAC0F">
            <w:pPr>
              <w:numPr>
                <w:ilvl w:val="0"/>
                <w:numId w:val="20"/>
              </w:numPr>
              <w:ind w:left="0" w:leftChars="0" w:firstLine="420" w:firstLineChars="0"/>
              <w:rPr>
                <w:rFonts w:hint="eastAsia"/>
              </w:rPr>
            </w:pPr>
            <w:r>
              <w:rPr>
                <w:rFonts w:hint="eastAsia"/>
              </w:rPr>
              <w:t>低碳发展效益：稳定进水工况减少生化池无效曝气，降低电力消耗间接削减碳排放，契合国家 “双碳” 发展目标，助力城市绿色低碳建设。</w:t>
            </w:r>
          </w:p>
          <w:p w14:paraId="59047C89">
            <w:pPr>
              <w:rPr>
                <w:rFonts w:hint="eastAsia" w:eastAsia="宋体"/>
                <w:b/>
                <w:bCs/>
                <w:lang w:val="en-US" w:eastAsia="zh-CN"/>
              </w:rPr>
            </w:pPr>
            <w:r>
              <w:rPr>
                <w:rFonts w:hint="eastAsia" w:eastAsia="宋体"/>
                <w:b/>
                <w:bCs/>
                <w:lang w:val="en-US" w:eastAsia="zh-CN"/>
              </w:rPr>
              <w:t>7.2经济效益</w:t>
            </w:r>
          </w:p>
          <w:p w14:paraId="73A58819">
            <w:pPr>
              <w:numPr>
                <w:ilvl w:val="0"/>
                <w:numId w:val="21"/>
              </w:numPr>
              <w:ind w:left="0" w:leftChars="0" w:firstLine="420" w:firstLineChars="0"/>
              <w:rPr>
                <w:rFonts w:hint="default"/>
                <w:lang w:val="en-US" w:eastAsia="zh-CN"/>
              </w:rPr>
            </w:pPr>
            <w:r>
              <w:rPr>
                <w:rFonts w:hint="default"/>
                <w:lang w:val="en-US" w:eastAsia="zh-CN"/>
              </w:rPr>
              <w:t>运维成本节约效益：系统可提前 1–3 小时预判进水冲击负荷，通过雨前预抽空、错峰开泵优化泵站运行逻辑，减少雨天峰值时段设备高负荷运转，长期降低泵站电耗；同时稳定污水厂生化池进水工况，避免进水剧烈波动导致的曝气、碳源药剂过量投加，单座中型污水厂每年可节约水电药综合运维成本 10% 以上。</w:t>
            </w:r>
          </w:p>
          <w:p w14:paraId="2DE4B174">
            <w:pPr>
              <w:numPr>
                <w:ilvl w:val="0"/>
                <w:numId w:val="21"/>
              </w:numPr>
              <w:ind w:left="0" w:leftChars="0" w:firstLine="420" w:firstLineChars="0"/>
              <w:rPr>
                <w:rFonts w:hint="default"/>
                <w:lang w:val="en-US" w:eastAsia="zh-CN"/>
              </w:rPr>
            </w:pPr>
            <w:r>
              <w:rPr>
                <w:rFonts w:hint="default"/>
                <w:lang w:val="en-US" w:eastAsia="zh-CN"/>
              </w:rPr>
              <w:t>应急处置成本降低：依托溢流提前预警机制，大幅减少暴雨期管网冒溢、污水直排的应急处置人力、物资投入，降低水体污染后的修复治理开销，避免超标排放带来的环保处罚损失。</w:t>
            </w:r>
          </w:p>
          <w:p w14:paraId="2C8DD4D0">
            <w:pPr>
              <w:numPr>
                <w:ilvl w:val="0"/>
                <w:numId w:val="21"/>
              </w:numPr>
              <w:ind w:left="0" w:leftChars="0" w:firstLine="420" w:firstLineChars="0"/>
              <w:rPr>
                <w:rFonts w:hint="eastAsia"/>
                <w:b/>
                <w:bCs/>
              </w:rPr>
            </w:pPr>
            <w:r>
              <w:rPr>
                <w:rFonts w:hint="default"/>
                <w:lang w:val="en-US" w:eastAsia="zh-CN"/>
              </w:rPr>
              <w:t>改造成本优势：整套系统基于轻量化开源算法搭建，无需更换大量在线监测、水力仿真硬件，仅依托现有 SCADA 监测数据即可运行，中小城镇污水管网升级落地门槛低、一次性投入少，具备规模化推广的经济优势</w:t>
            </w:r>
            <w:r>
              <w:rPr>
                <w:rFonts w:hint="eastAsia"/>
                <w:lang w:val="en-US" w:eastAsia="zh-CN"/>
              </w:rPr>
              <w:t>。</w:t>
            </w:r>
          </w:p>
          <w:tbl>
            <w:tblPr>
              <w:tblStyle w:val="12"/>
              <w:tblW w:w="8873" w:type="dxa"/>
              <w:tblInd w:w="-153" w:type="dxa"/>
              <w:tblLayout w:type="autofit"/>
              <w:tblCellMar>
                <w:top w:w="0" w:type="dxa"/>
                <w:left w:w="108" w:type="dxa"/>
                <w:bottom w:w="0" w:type="dxa"/>
                <w:right w:w="108" w:type="dxa"/>
              </w:tblCellMar>
            </w:tblPr>
            <w:tblGrid>
              <w:gridCol w:w="8873"/>
            </w:tblGrid>
            <w:tr w14:paraId="4D9D9E9F">
              <w:tc>
                <w:tcPr>
                  <w:tcW w:w="8835" w:type="dxa"/>
                  <w:noWrap w:val="0"/>
                  <w:vAlign w:val="top"/>
                </w:tcPr>
                <w:p w14:paraId="3B85892D">
                  <w:pPr>
                    <w:pStyle w:val="20"/>
                    <w:spacing w:before="0" w:beforeAutospacing="0" w:after="0" w:afterAutospacing="0" w:line="360" w:lineRule="exact"/>
                    <w:jc w:val="left"/>
                    <w:rPr>
                      <w:rFonts w:hint="eastAsia" w:cs="Segoe UI"/>
                      <w:color w:val="000000"/>
                      <w:szCs w:val="12"/>
                      <w:shd w:val="clear" w:color="auto" w:fill="FDFDFE"/>
                      <w:lang w:bidi="ar"/>
                    </w:rPr>
                  </w:pPr>
                  <w:r>
                    <w:rPr>
                      <w:rFonts w:hint="eastAsia" w:ascii="Times New Roman" w:hAnsi="Times New Roman" w:cs="Times New Roman"/>
                      <w:b/>
                      <w:bCs/>
                      <w:color w:val="auto"/>
                      <w:kern w:val="2"/>
                      <w:sz w:val="28"/>
                      <w:szCs w:val="28"/>
                      <w:lang w:val="en-US" w:eastAsia="zh-CN" w:bidi="ar-SA"/>
                    </w:rPr>
                    <w:t>九、</w:t>
                  </w:r>
                  <w:r>
                    <w:rPr>
                      <w:rFonts w:hint="eastAsia" w:ascii="Times New Roman" w:hAnsi="Times New Roman" w:eastAsia="宋体" w:cs="Times New Roman"/>
                      <w:b/>
                      <w:bCs/>
                      <w:color w:val="auto"/>
                      <w:kern w:val="2"/>
                      <w:sz w:val="28"/>
                      <w:szCs w:val="28"/>
                      <w:lang w:val="en-US" w:eastAsia="zh-CN" w:bidi="ar-SA"/>
                    </w:rPr>
                    <w:t>团队成员与指导老师</w:t>
                  </w:r>
                </w:p>
              </w:tc>
            </w:tr>
          </w:tbl>
          <w:p w14:paraId="6FEF1791">
            <w:pPr>
              <w:pStyle w:val="5"/>
              <w:widowControl/>
              <w:shd w:val="clear" w:color="auto" w:fill="FDFDFE"/>
              <w:spacing w:before="0" w:beforeAutospacing="0" w:after="0" w:afterAutospacing="0" w:line="360" w:lineRule="auto"/>
              <w:rPr>
                <w:rFonts w:hint="eastAsia" w:ascii="Times New Roman" w:hAnsi="Times New Roman" w:eastAsia="宋体" w:cs="Times New Roman"/>
                <w:b/>
                <w:bCs/>
                <w:kern w:val="2"/>
                <w:sz w:val="21"/>
                <w:szCs w:val="24"/>
                <w:lang w:val="en-US" w:eastAsia="zh-CN" w:bidi="ar-SA"/>
              </w:rPr>
            </w:pPr>
            <w:r>
              <w:rPr>
                <w:rFonts w:hint="eastAsia" w:ascii="Times New Roman" w:hAnsi="Times New Roman" w:eastAsia="宋体" w:cs="Times New Roman"/>
                <w:b/>
                <w:bCs/>
                <w:kern w:val="2"/>
                <w:sz w:val="21"/>
                <w:szCs w:val="24"/>
                <w:lang w:val="en-US" w:eastAsia="zh-CN" w:bidi="ar-SA"/>
              </w:rPr>
              <w:t>1.1团队成员</w:t>
            </w:r>
          </w:p>
          <w:tbl>
            <w:tblPr>
              <w:tblStyle w:val="12"/>
              <w:tblW w:w="6012" w:type="dxa"/>
              <w:jc w:val="center"/>
              <w:tblLayout w:type="autofit"/>
              <w:tblCellMar>
                <w:top w:w="0" w:type="dxa"/>
                <w:left w:w="108" w:type="dxa"/>
                <w:bottom w:w="0" w:type="dxa"/>
                <w:right w:w="108" w:type="dxa"/>
              </w:tblCellMar>
            </w:tblPr>
            <w:tblGrid>
              <w:gridCol w:w="2219"/>
              <w:gridCol w:w="1919"/>
              <w:gridCol w:w="1874"/>
            </w:tblGrid>
            <w:tr w14:paraId="3A25EFE6">
              <w:trPr>
                <w:trHeight w:val="372" w:hRule="atLeast"/>
                <w:jc w:val="center"/>
              </w:trPr>
              <w:tc>
                <w:tcPr>
                  <w:tcW w:w="2219" w:type="dxa"/>
                  <w:tcBorders>
                    <w:top w:val="single" w:color="000000" w:sz="4" w:space="0"/>
                    <w:left w:val="single" w:color="000000" w:sz="4" w:space="0"/>
                    <w:bottom w:val="single" w:color="000000" w:sz="4" w:space="0"/>
                    <w:right w:val="single" w:color="000000" w:sz="4" w:space="0"/>
                  </w:tcBorders>
                  <w:noWrap w:val="0"/>
                  <w:vAlign w:val="center"/>
                </w:tcPr>
                <w:p w14:paraId="0601DB36">
                  <w:pPr>
                    <w:widowControl/>
                    <w:jc w:val="center"/>
                    <w:textAlignment w:val="center"/>
                    <w:rPr>
                      <w:rFonts w:ascii="宋体" w:hAnsi="宋体" w:cs="宋体"/>
                      <w:color w:val="000000"/>
                      <w:sz w:val="18"/>
                      <w:szCs w:val="18"/>
                    </w:rPr>
                  </w:pPr>
                  <w:r>
                    <w:rPr>
                      <w:rFonts w:ascii="宋体" w:hAnsi="宋体" w:cs="宋体"/>
                      <w:color w:val="000000"/>
                      <w:kern w:val="0"/>
                      <w:sz w:val="18"/>
                      <w:szCs w:val="18"/>
                      <w:lang w:bidi="ar"/>
                    </w:rPr>
                    <w:t>姓名</w:t>
                  </w:r>
                </w:p>
              </w:tc>
              <w:tc>
                <w:tcPr>
                  <w:tcW w:w="1919" w:type="dxa"/>
                  <w:tcBorders>
                    <w:top w:val="single" w:color="000000" w:sz="4" w:space="0"/>
                    <w:left w:val="single" w:color="000000" w:sz="4" w:space="0"/>
                    <w:bottom w:val="single" w:color="000000" w:sz="4" w:space="0"/>
                    <w:right w:val="single" w:color="000000" w:sz="4" w:space="0"/>
                  </w:tcBorders>
                  <w:noWrap w:val="0"/>
                  <w:vAlign w:val="center"/>
                </w:tcPr>
                <w:p w14:paraId="2047008E">
                  <w:pPr>
                    <w:widowControl/>
                    <w:jc w:val="center"/>
                    <w:textAlignment w:val="center"/>
                    <w:rPr>
                      <w:rFonts w:hint="eastAsia" w:ascii="宋体" w:hAnsi="宋体" w:cs="宋体"/>
                      <w:color w:val="000000"/>
                      <w:sz w:val="22"/>
                      <w:szCs w:val="22"/>
                    </w:rPr>
                  </w:pPr>
                  <w:r>
                    <w:rPr>
                      <w:rFonts w:hint="eastAsia" w:ascii="宋体" w:hAnsi="宋体" w:cs="宋体"/>
                      <w:color w:val="000000"/>
                      <w:kern w:val="0"/>
                      <w:sz w:val="22"/>
                      <w:szCs w:val="22"/>
                      <w:lang w:bidi="ar"/>
                    </w:rPr>
                    <w:t>年级</w:t>
                  </w:r>
                </w:p>
              </w:tc>
              <w:tc>
                <w:tcPr>
                  <w:tcW w:w="1874" w:type="dxa"/>
                  <w:tcBorders>
                    <w:top w:val="single" w:color="000000" w:sz="4" w:space="0"/>
                    <w:left w:val="single" w:color="000000" w:sz="4" w:space="0"/>
                    <w:bottom w:val="single" w:color="000000" w:sz="4" w:space="0"/>
                    <w:right w:val="single" w:color="000000" w:sz="4" w:space="0"/>
                  </w:tcBorders>
                  <w:noWrap w:val="0"/>
                  <w:vAlign w:val="center"/>
                </w:tcPr>
                <w:p w14:paraId="15948799">
                  <w:pPr>
                    <w:widowControl/>
                    <w:jc w:val="center"/>
                    <w:textAlignment w:val="center"/>
                    <w:rPr>
                      <w:rFonts w:ascii="Arial" w:hAnsi="Arial" w:cs="Arial"/>
                      <w:color w:val="000000"/>
                      <w:sz w:val="22"/>
                      <w:szCs w:val="22"/>
                    </w:rPr>
                  </w:pPr>
                  <w:r>
                    <w:rPr>
                      <w:rStyle w:val="21"/>
                      <w:lang w:bidi="ar"/>
                    </w:rPr>
                    <w:t>专业</w:t>
                  </w:r>
                </w:p>
              </w:tc>
            </w:tr>
            <w:tr w14:paraId="24E4CB49">
              <w:trPr>
                <w:trHeight w:val="360" w:hRule="atLeast"/>
                <w:jc w:val="center"/>
              </w:trPr>
              <w:tc>
                <w:tcPr>
                  <w:tcW w:w="221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8854DCC">
                  <w:pPr>
                    <w:widowControl/>
                    <w:jc w:val="center"/>
                    <w:textAlignment w:val="center"/>
                    <w:rPr>
                      <w:rFonts w:hint="eastAsia" w:ascii="仿宋" w:hAnsi="仿宋" w:eastAsia="仿宋" w:cs="仿宋"/>
                      <w:color w:val="000000"/>
                      <w:kern w:val="2"/>
                      <w:sz w:val="20"/>
                      <w:szCs w:val="20"/>
                      <w:lang w:val="en-US" w:eastAsia="zh-CN" w:bidi="ar-SA"/>
                    </w:rPr>
                  </w:pPr>
                  <w:r>
                    <w:rPr>
                      <w:rFonts w:hint="eastAsia" w:ascii="仿宋" w:hAnsi="仿宋" w:eastAsia="仿宋" w:cs="仿宋"/>
                      <w:color w:val="000000"/>
                      <w:kern w:val="0"/>
                      <w:sz w:val="20"/>
                      <w:szCs w:val="20"/>
                      <w:lang w:bidi="ar"/>
                    </w:rPr>
                    <w:t>吴锦涵</w:t>
                  </w:r>
                </w:p>
              </w:tc>
              <w:tc>
                <w:tcPr>
                  <w:tcW w:w="191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72B16B33">
                  <w:pPr>
                    <w:widowControl/>
                    <w:jc w:val="center"/>
                    <w:textAlignment w:val="center"/>
                    <w:rPr>
                      <w:rFonts w:ascii="Times New Roman" w:hAnsi="Times New Roman" w:eastAsia="宋体" w:cs="Times New Roman"/>
                      <w:color w:val="000000"/>
                      <w:kern w:val="2"/>
                      <w:sz w:val="20"/>
                      <w:szCs w:val="20"/>
                      <w:lang w:val="en-US" w:eastAsia="zh-CN" w:bidi="ar-SA"/>
                    </w:rPr>
                  </w:pPr>
                  <w:r>
                    <w:rPr>
                      <w:rStyle w:val="22"/>
                      <w:lang w:bidi="ar"/>
                    </w:rPr>
                    <w:t>2024</w:t>
                  </w:r>
                  <w:r>
                    <w:rPr>
                      <w:rStyle w:val="23"/>
                      <w:rFonts w:hint="default"/>
                      <w:lang w:bidi="ar"/>
                    </w:rPr>
                    <w:t>级</w:t>
                  </w:r>
                  <w:r>
                    <w:rPr>
                      <w:rStyle w:val="23"/>
                      <w:lang w:bidi="ar"/>
                    </w:rPr>
                    <w:t>本科生在读</w:t>
                  </w:r>
                </w:p>
              </w:tc>
              <w:tc>
                <w:tcPr>
                  <w:tcW w:w="1874"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14:paraId="4C32394F">
                  <w:pPr>
                    <w:widowControl/>
                    <w:jc w:val="center"/>
                    <w:textAlignment w:val="center"/>
                    <w:rPr>
                      <w:rFonts w:hint="eastAsia" w:ascii="仿宋" w:hAnsi="仿宋" w:eastAsia="仿宋" w:cs="仿宋"/>
                      <w:color w:val="000000"/>
                      <w:kern w:val="2"/>
                      <w:sz w:val="20"/>
                      <w:szCs w:val="20"/>
                      <w:lang w:val="en-US" w:eastAsia="zh-CN" w:bidi="ar-SA"/>
                    </w:rPr>
                  </w:pPr>
                  <w:r>
                    <w:rPr>
                      <w:rFonts w:hint="eastAsia" w:ascii="仿宋" w:hAnsi="仿宋" w:eastAsia="仿宋" w:cs="仿宋"/>
                      <w:color w:val="000000"/>
                      <w:kern w:val="0"/>
                      <w:sz w:val="20"/>
                      <w:szCs w:val="20"/>
                      <w:lang w:bidi="ar"/>
                    </w:rPr>
                    <w:t>环境科学</w:t>
                  </w:r>
                </w:p>
              </w:tc>
            </w:tr>
            <w:tr w14:paraId="6769304E">
              <w:trPr>
                <w:trHeight w:val="360" w:hRule="atLeast"/>
                <w:jc w:val="center"/>
              </w:trPr>
              <w:tc>
                <w:tcPr>
                  <w:tcW w:w="2219" w:type="dxa"/>
                  <w:tcBorders>
                    <w:top w:val="single" w:color="000000" w:sz="4" w:space="0"/>
                    <w:left w:val="single" w:color="000000" w:sz="4" w:space="0"/>
                    <w:bottom w:val="single" w:color="000000" w:sz="4" w:space="0"/>
                    <w:right w:val="single" w:color="000000" w:sz="4" w:space="0"/>
                  </w:tcBorders>
                  <w:noWrap w:val="0"/>
                  <w:vAlign w:val="center"/>
                </w:tcPr>
                <w:p w14:paraId="27DC7C1A">
                  <w:pPr>
                    <w:widowControl/>
                    <w:jc w:val="center"/>
                    <w:textAlignment w:val="center"/>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陈博</w:t>
                  </w:r>
                </w:p>
              </w:tc>
              <w:tc>
                <w:tcPr>
                  <w:tcW w:w="1919" w:type="dxa"/>
                  <w:tcBorders>
                    <w:top w:val="single" w:color="000000" w:sz="4" w:space="0"/>
                    <w:left w:val="single" w:color="000000" w:sz="4" w:space="0"/>
                    <w:bottom w:val="single" w:color="000000" w:sz="4" w:space="0"/>
                    <w:right w:val="single" w:color="000000" w:sz="4" w:space="0"/>
                  </w:tcBorders>
                  <w:noWrap w:val="0"/>
                  <w:vAlign w:val="center"/>
                </w:tcPr>
                <w:p w14:paraId="23DB2923">
                  <w:pPr>
                    <w:widowControl/>
                    <w:jc w:val="center"/>
                    <w:textAlignment w:val="center"/>
                    <w:rPr>
                      <w:color w:val="000000"/>
                      <w:sz w:val="20"/>
                      <w:szCs w:val="20"/>
                    </w:rPr>
                  </w:pPr>
                  <w:r>
                    <w:rPr>
                      <w:rStyle w:val="22"/>
                      <w:lang w:bidi="ar"/>
                    </w:rPr>
                    <w:t>2024</w:t>
                  </w:r>
                  <w:r>
                    <w:rPr>
                      <w:rStyle w:val="23"/>
                      <w:lang w:bidi="ar"/>
                    </w:rPr>
                    <w:t>级研究生在读</w:t>
                  </w:r>
                </w:p>
              </w:tc>
              <w:tc>
                <w:tcPr>
                  <w:tcW w:w="1874" w:type="dxa"/>
                  <w:tcBorders>
                    <w:top w:val="single" w:color="000000" w:sz="4" w:space="0"/>
                    <w:left w:val="single" w:color="000000" w:sz="4" w:space="0"/>
                    <w:bottom w:val="single" w:color="000000" w:sz="4" w:space="0"/>
                    <w:right w:val="single" w:color="000000" w:sz="4" w:space="0"/>
                  </w:tcBorders>
                  <w:noWrap w:val="0"/>
                  <w:vAlign w:val="center"/>
                </w:tcPr>
                <w:p w14:paraId="3D194571">
                  <w:pPr>
                    <w:widowControl/>
                    <w:jc w:val="center"/>
                    <w:textAlignment w:val="center"/>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环境科学与工程</w:t>
                  </w:r>
                </w:p>
              </w:tc>
            </w:tr>
            <w:tr w14:paraId="21D7181E">
              <w:trPr>
                <w:trHeight w:val="360" w:hRule="atLeast"/>
                <w:jc w:val="center"/>
              </w:trPr>
              <w:tc>
                <w:tcPr>
                  <w:tcW w:w="2219" w:type="dxa"/>
                  <w:tcBorders>
                    <w:top w:val="single" w:color="000000" w:sz="4" w:space="0"/>
                    <w:left w:val="single" w:color="000000" w:sz="4" w:space="0"/>
                    <w:bottom w:val="single" w:color="000000" w:sz="4" w:space="0"/>
                    <w:right w:val="single" w:color="000000" w:sz="4" w:space="0"/>
                  </w:tcBorders>
                  <w:noWrap w:val="0"/>
                  <w:vAlign w:val="center"/>
                </w:tcPr>
                <w:p w14:paraId="3F84C44C">
                  <w:pPr>
                    <w:widowControl/>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周有康</w:t>
                  </w:r>
                </w:p>
              </w:tc>
              <w:tc>
                <w:tcPr>
                  <w:tcW w:w="1919" w:type="dxa"/>
                  <w:tcBorders>
                    <w:top w:val="single" w:color="000000" w:sz="4" w:space="0"/>
                    <w:left w:val="single" w:color="000000" w:sz="4" w:space="0"/>
                    <w:bottom w:val="single" w:color="000000" w:sz="4" w:space="0"/>
                    <w:right w:val="single" w:color="000000" w:sz="4" w:space="0"/>
                  </w:tcBorders>
                  <w:noWrap w:val="0"/>
                  <w:vAlign w:val="center"/>
                </w:tcPr>
                <w:p w14:paraId="66F6BDB9">
                  <w:pPr>
                    <w:widowControl/>
                    <w:jc w:val="center"/>
                    <w:textAlignment w:val="center"/>
                    <w:rPr>
                      <w:rFonts w:hint="default" w:eastAsia="宋体"/>
                      <w:color w:val="000000"/>
                      <w:sz w:val="20"/>
                      <w:szCs w:val="20"/>
                      <w:lang w:val="en-US" w:eastAsia="zh-CN"/>
                    </w:rPr>
                  </w:pPr>
                  <w:r>
                    <w:rPr>
                      <w:rStyle w:val="22"/>
                      <w:lang w:bidi="ar"/>
                    </w:rPr>
                    <w:t>2024</w:t>
                  </w:r>
                  <w:r>
                    <w:rPr>
                      <w:rStyle w:val="23"/>
                      <w:rFonts w:hint="default"/>
                      <w:lang w:bidi="ar"/>
                    </w:rPr>
                    <w:t>级</w:t>
                  </w:r>
                  <w:r>
                    <w:rPr>
                      <w:rStyle w:val="23"/>
                      <w:lang w:bidi="ar"/>
                    </w:rPr>
                    <w:t>本科生在读</w:t>
                  </w:r>
                </w:p>
              </w:tc>
              <w:tc>
                <w:tcPr>
                  <w:tcW w:w="1874" w:type="dxa"/>
                  <w:tcBorders>
                    <w:top w:val="single" w:color="000000" w:sz="4" w:space="0"/>
                    <w:left w:val="single" w:color="000000" w:sz="4" w:space="0"/>
                    <w:bottom w:val="single" w:color="000000" w:sz="4" w:space="0"/>
                    <w:right w:val="single" w:color="000000" w:sz="4" w:space="0"/>
                  </w:tcBorders>
                  <w:noWrap w:val="0"/>
                  <w:vAlign w:val="center"/>
                </w:tcPr>
                <w:p w14:paraId="7C3B5CC1">
                  <w:pPr>
                    <w:widowControl/>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环境科学</w:t>
                  </w:r>
                </w:p>
              </w:tc>
            </w:tr>
            <w:tr w14:paraId="52531B75">
              <w:trPr>
                <w:trHeight w:val="360" w:hRule="atLeast"/>
                <w:jc w:val="center"/>
              </w:trPr>
              <w:tc>
                <w:tcPr>
                  <w:tcW w:w="2219" w:type="dxa"/>
                  <w:tcBorders>
                    <w:top w:val="single" w:color="000000" w:sz="4" w:space="0"/>
                    <w:left w:val="single" w:color="000000" w:sz="4" w:space="0"/>
                    <w:bottom w:val="single" w:color="000000" w:sz="4" w:space="0"/>
                    <w:right w:val="single" w:color="000000" w:sz="4" w:space="0"/>
                  </w:tcBorders>
                  <w:noWrap w:val="0"/>
                  <w:vAlign w:val="center"/>
                </w:tcPr>
                <w:p w14:paraId="07CDA8B6">
                  <w:pPr>
                    <w:widowControl/>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胡伟凯</w:t>
                  </w:r>
                </w:p>
              </w:tc>
              <w:tc>
                <w:tcPr>
                  <w:tcW w:w="1919" w:type="dxa"/>
                  <w:tcBorders>
                    <w:top w:val="single" w:color="000000" w:sz="4" w:space="0"/>
                    <w:left w:val="single" w:color="000000" w:sz="4" w:space="0"/>
                    <w:bottom w:val="single" w:color="000000" w:sz="4" w:space="0"/>
                    <w:right w:val="single" w:color="000000" w:sz="4" w:space="0"/>
                  </w:tcBorders>
                  <w:noWrap w:val="0"/>
                  <w:vAlign w:val="center"/>
                </w:tcPr>
                <w:p w14:paraId="70E19372">
                  <w:pPr>
                    <w:widowControl/>
                    <w:jc w:val="center"/>
                    <w:textAlignment w:val="center"/>
                    <w:rPr>
                      <w:color w:val="000000"/>
                      <w:sz w:val="20"/>
                      <w:szCs w:val="20"/>
                    </w:rPr>
                  </w:pPr>
                  <w:r>
                    <w:rPr>
                      <w:rStyle w:val="22"/>
                      <w:lang w:bidi="ar"/>
                    </w:rPr>
                    <w:t>2024</w:t>
                  </w:r>
                  <w:r>
                    <w:rPr>
                      <w:rStyle w:val="23"/>
                      <w:rFonts w:hint="default"/>
                      <w:lang w:bidi="ar"/>
                    </w:rPr>
                    <w:t>级</w:t>
                  </w:r>
                  <w:r>
                    <w:rPr>
                      <w:rStyle w:val="23"/>
                      <w:lang w:bidi="ar"/>
                    </w:rPr>
                    <w:t>本科生在读</w:t>
                  </w:r>
                </w:p>
              </w:tc>
              <w:tc>
                <w:tcPr>
                  <w:tcW w:w="1874" w:type="dxa"/>
                  <w:tcBorders>
                    <w:top w:val="single" w:color="000000" w:sz="4" w:space="0"/>
                    <w:left w:val="single" w:color="000000" w:sz="4" w:space="0"/>
                    <w:bottom w:val="single" w:color="000000" w:sz="4" w:space="0"/>
                    <w:right w:val="single" w:color="000000" w:sz="4" w:space="0"/>
                  </w:tcBorders>
                  <w:noWrap w:val="0"/>
                  <w:vAlign w:val="center"/>
                </w:tcPr>
                <w:p w14:paraId="1A7D4D63">
                  <w:pPr>
                    <w:widowControl/>
                    <w:jc w:val="center"/>
                    <w:textAlignment w:val="center"/>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环境科学</w:t>
                  </w:r>
                </w:p>
              </w:tc>
            </w:tr>
            <w:tr w14:paraId="57CE15BF">
              <w:trPr>
                <w:trHeight w:val="360" w:hRule="atLeast"/>
                <w:jc w:val="center"/>
              </w:trPr>
              <w:tc>
                <w:tcPr>
                  <w:tcW w:w="2219" w:type="dxa"/>
                  <w:tcBorders>
                    <w:top w:val="single" w:color="000000" w:sz="4" w:space="0"/>
                    <w:left w:val="single" w:color="000000" w:sz="4" w:space="0"/>
                    <w:bottom w:val="single" w:color="000000" w:sz="4" w:space="0"/>
                    <w:right w:val="single" w:color="000000" w:sz="4" w:space="0"/>
                  </w:tcBorders>
                  <w:noWrap w:val="0"/>
                  <w:vAlign w:val="center"/>
                </w:tcPr>
                <w:p w14:paraId="248F4251">
                  <w:pPr>
                    <w:widowControl/>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阿卜杜拉·艾尔肯</w:t>
                  </w:r>
                </w:p>
              </w:tc>
              <w:tc>
                <w:tcPr>
                  <w:tcW w:w="1919" w:type="dxa"/>
                  <w:tcBorders>
                    <w:top w:val="single" w:color="000000" w:sz="4" w:space="0"/>
                    <w:left w:val="single" w:color="000000" w:sz="4" w:space="0"/>
                    <w:bottom w:val="single" w:color="000000" w:sz="4" w:space="0"/>
                    <w:right w:val="single" w:color="000000" w:sz="4" w:space="0"/>
                  </w:tcBorders>
                  <w:noWrap w:val="0"/>
                  <w:vAlign w:val="center"/>
                </w:tcPr>
                <w:p w14:paraId="0670A6CD">
                  <w:pPr>
                    <w:widowControl/>
                    <w:jc w:val="center"/>
                    <w:textAlignment w:val="center"/>
                    <w:rPr>
                      <w:color w:val="000000"/>
                      <w:sz w:val="20"/>
                      <w:szCs w:val="20"/>
                    </w:rPr>
                  </w:pPr>
                  <w:r>
                    <w:rPr>
                      <w:rStyle w:val="22"/>
                      <w:lang w:bidi="ar"/>
                    </w:rPr>
                    <w:t>2024</w:t>
                  </w:r>
                  <w:r>
                    <w:rPr>
                      <w:rStyle w:val="23"/>
                      <w:rFonts w:hint="default"/>
                      <w:lang w:bidi="ar"/>
                    </w:rPr>
                    <w:t>级</w:t>
                  </w:r>
                  <w:r>
                    <w:rPr>
                      <w:rStyle w:val="23"/>
                      <w:lang w:bidi="ar"/>
                    </w:rPr>
                    <w:t>本科生在读</w:t>
                  </w:r>
                </w:p>
              </w:tc>
              <w:tc>
                <w:tcPr>
                  <w:tcW w:w="1874" w:type="dxa"/>
                  <w:tcBorders>
                    <w:top w:val="single" w:color="000000" w:sz="4" w:space="0"/>
                    <w:left w:val="single" w:color="000000" w:sz="4" w:space="0"/>
                    <w:bottom w:val="single" w:color="000000" w:sz="4" w:space="0"/>
                    <w:right w:val="single" w:color="000000" w:sz="4" w:space="0"/>
                  </w:tcBorders>
                  <w:noWrap w:val="0"/>
                  <w:vAlign w:val="center"/>
                </w:tcPr>
                <w:p w14:paraId="654F6AA6">
                  <w:pPr>
                    <w:widowControl/>
                    <w:jc w:val="center"/>
                    <w:textAlignment w:val="center"/>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环境科学</w:t>
                  </w:r>
                </w:p>
              </w:tc>
            </w:tr>
            <w:tr w14:paraId="0DA20258">
              <w:trPr>
                <w:trHeight w:val="360" w:hRule="atLeast"/>
                <w:jc w:val="center"/>
              </w:trPr>
              <w:tc>
                <w:tcPr>
                  <w:tcW w:w="2219" w:type="dxa"/>
                  <w:tcBorders>
                    <w:top w:val="single" w:color="000000" w:sz="4" w:space="0"/>
                    <w:left w:val="single" w:color="000000" w:sz="4" w:space="0"/>
                    <w:bottom w:val="single" w:color="000000" w:sz="4" w:space="0"/>
                    <w:right w:val="single" w:color="000000" w:sz="4" w:space="0"/>
                  </w:tcBorders>
                  <w:noWrap w:val="0"/>
                  <w:vAlign w:val="center"/>
                </w:tcPr>
                <w:p w14:paraId="7E55AC5F">
                  <w:pPr>
                    <w:widowControl/>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赵天一</w:t>
                  </w:r>
                </w:p>
              </w:tc>
              <w:tc>
                <w:tcPr>
                  <w:tcW w:w="1919" w:type="dxa"/>
                  <w:tcBorders>
                    <w:top w:val="single" w:color="000000" w:sz="4" w:space="0"/>
                    <w:left w:val="single" w:color="000000" w:sz="4" w:space="0"/>
                    <w:bottom w:val="single" w:color="000000" w:sz="4" w:space="0"/>
                    <w:right w:val="single" w:color="000000" w:sz="4" w:space="0"/>
                  </w:tcBorders>
                  <w:noWrap w:val="0"/>
                  <w:vAlign w:val="center"/>
                </w:tcPr>
                <w:p w14:paraId="44443AE4">
                  <w:pPr>
                    <w:widowControl/>
                    <w:jc w:val="center"/>
                    <w:textAlignment w:val="center"/>
                    <w:rPr>
                      <w:color w:val="000000"/>
                      <w:sz w:val="20"/>
                      <w:szCs w:val="20"/>
                    </w:rPr>
                  </w:pPr>
                  <w:r>
                    <w:rPr>
                      <w:rStyle w:val="22"/>
                      <w:lang w:bidi="ar"/>
                    </w:rPr>
                    <w:t>2024</w:t>
                  </w:r>
                  <w:r>
                    <w:rPr>
                      <w:rStyle w:val="23"/>
                      <w:rFonts w:hint="default"/>
                      <w:lang w:bidi="ar"/>
                    </w:rPr>
                    <w:t>级</w:t>
                  </w:r>
                  <w:r>
                    <w:rPr>
                      <w:rStyle w:val="23"/>
                      <w:lang w:bidi="ar"/>
                    </w:rPr>
                    <w:t>本科生在读</w:t>
                  </w:r>
                </w:p>
              </w:tc>
              <w:tc>
                <w:tcPr>
                  <w:tcW w:w="1874" w:type="dxa"/>
                  <w:tcBorders>
                    <w:top w:val="single" w:color="000000" w:sz="4" w:space="0"/>
                    <w:left w:val="single" w:color="000000" w:sz="4" w:space="0"/>
                    <w:bottom w:val="single" w:color="000000" w:sz="4" w:space="0"/>
                    <w:right w:val="single" w:color="000000" w:sz="4" w:space="0"/>
                  </w:tcBorders>
                  <w:noWrap w:val="0"/>
                  <w:vAlign w:val="center"/>
                </w:tcPr>
                <w:p w14:paraId="512A0D2E">
                  <w:pPr>
                    <w:widowControl/>
                    <w:jc w:val="center"/>
                    <w:textAlignment w:val="center"/>
                    <w:rPr>
                      <w:rFonts w:hint="eastAsia" w:ascii="仿宋" w:hAnsi="仿宋" w:eastAsia="仿宋" w:cs="仿宋"/>
                      <w:color w:val="000000"/>
                      <w:sz w:val="20"/>
                      <w:szCs w:val="20"/>
                    </w:rPr>
                  </w:pPr>
                  <w:r>
                    <w:rPr>
                      <w:rFonts w:hint="eastAsia" w:ascii="仿宋" w:hAnsi="仿宋" w:eastAsia="仿宋" w:cs="仿宋"/>
                      <w:color w:val="000000"/>
                      <w:kern w:val="0"/>
                      <w:sz w:val="20"/>
                      <w:szCs w:val="20"/>
                      <w:lang w:bidi="ar"/>
                    </w:rPr>
                    <w:t>环境科学</w:t>
                  </w:r>
                </w:p>
              </w:tc>
            </w:tr>
          </w:tbl>
          <w:p w14:paraId="129259D0">
            <w:pPr>
              <w:pStyle w:val="5"/>
              <w:widowControl/>
              <w:shd w:val="clear" w:color="auto" w:fill="FDFDFE"/>
              <w:spacing w:before="0" w:beforeAutospacing="0" w:after="0" w:afterAutospacing="0" w:line="360" w:lineRule="auto"/>
              <w:rPr>
                <w:rStyle w:val="15"/>
                <w:rFonts w:ascii="Times New Roman" w:hAnsi="Times New Roman" w:cs="Segoe UI"/>
                <w:b/>
                <w:bCs w:val="0"/>
                <w:color w:val="000000"/>
                <w:sz w:val="21"/>
                <w:szCs w:val="15"/>
                <w:shd w:val="clear" w:color="auto" w:fill="FDFDFE"/>
              </w:rPr>
            </w:pPr>
            <w:r>
              <w:rPr>
                <w:rStyle w:val="15"/>
                <w:rFonts w:ascii="Times New Roman" w:hAnsi="Times New Roman" w:cs="Segoe UI"/>
                <w:b/>
                <w:bCs w:val="0"/>
                <w:color w:val="000000"/>
                <w:sz w:val="21"/>
                <w:szCs w:val="15"/>
                <w:shd w:val="clear" w:color="auto" w:fill="FDFDFE"/>
              </w:rPr>
              <w:t>1.2指导老师</w:t>
            </w:r>
          </w:p>
          <w:p w14:paraId="03F56B71">
            <w:pPr>
              <w:numPr>
                <w:ilvl w:val="0"/>
                <w:numId w:val="0"/>
              </w:numPr>
              <w:rPr>
                <w:rFonts w:hint="eastAsia"/>
                <w:b/>
                <w:bCs/>
              </w:rPr>
            </w:pPr>
            <w:r>
              <w:rPr>
                <w:rFonts w:cs="Segoe UI"/>
                <w:color w:val="000000"/>
                <w:sz w:val="21"/>
                <w:szCs w:val="12"/>
                <w:shd w:val="clear" w:color="auto" w:fill="FDFDFE"/>
              </w:rPr>
              <w:t>黄源生，本研究项目指导老师、新疆大学生态与环境学院副教授，硕士研究生导师。近5年以共计发表论文11篇。近5年主持新疆维吾尔自治区自然科学基金1项和新疆维吾尔自治区天池英才青年博士项目1项，参与省部级项目3项。科研经历丰富；导师及其团队已熟悉掌握与本项目研究有关的相关技术方法，能为本研究提供理论和技术指导</w:t>
            </w:r>
            <w:r>
              <w:rPr>
                <w:rFonts w:hint="default"/>
                <w:lang w:val="en-US" w:eastAsia="zh-CN"/>
              </w:rPr>
              <w:t>。</w:t>
            </w:r>
          </w:p>
        </w:tc>
      </w:tr>
    </w:tbl>
    <w:p w14:paraId="4B1C0AB7">
      <w:pPr>
        <w:pStyle w:val="11"/>
        <w:widowControl/>
        <w:shd w:val="clear" w:color="auto" w:fill="FDFDFE"/>
        <w:spacing w:before="0" w:beforeAutospacing="0" w:after="0" w:afterAutospacing="0"/>
        <w:jc w:val="both"/>
        <w:rPr>
          <w:rFonts w:hint="eastAsia"/>
        </w:rPr>
      </w:pPr>
    </w:p>
    <w:sectPr>
      <w:footerReference r:id="rId7" w:type="first"/>
      <w:footerReference r:id="rId6" w:type="default"/>
      <w:pgSz w:w="11906" w:h="16838"/>
      <w:pgMar w:top="1418" w:right="1701" w:bottom="1418" w:left="1701"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00"/>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仿宋-简"/>
    <w:panose1 w:val="02010609060101010101"/>
    <w:charset w:val="00"/>
    <w:family w:val="modern"/>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helvetica">
    <w:panose1 w:val="00000000000000000000"/>
    <w:charset w:val="00"/>
    <w:family w:val="auto"/>
    <w:pitch w:val="default"/>
    <w:sig w:usb0="E00002FF" w:usb1="5000785B" w:usb2="00000000" w:usb3="00000000" w:csb0="2000019F" w:csb1="4F010000"/>
  </w:font>
  <w:font w:name="方正小标宋简体">
    <w:panose1 w:val="02000000000000000000"/>
    <w:charset w:val="86"/>
    <w:family w:val="script"/>
    <w:pitch w:val="default"/>
    <w:sig w:usb0="00000001" w:usb1="08000000" w:usb2="00000000" w:usb3="00000000" w:csb0="00040000" w:csb1="00000000"/>
  </w:font>
  <w:font w:name="楷体">
    <w:altName w:val="汉仪楷体KW"/>
    <w:panose1 w:val="02010609060101010101"/>
    <w:charset w:val="00"/>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_GB2312">
    <w:panose1 w:val="02010609030101010101"/>
    <w:charset w:val="86"/>
    <w:family w:val="modern"/>
    <w:pitch w:val="default"/>
    <w:sig w:usb0="00000001" w:usb1="080E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24D5D">
    <w:pPr>
      <w:pStyle w:val="9"/>
      <w:framePr w:wrap="around"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6</w:t>
    </w:r>
    <w:r>
      <w:rPr>
        <w:rStyle w:val="16"/>
      </w:rPr>
      <w:fldChar w:fldCharType="end"/>
    </w:r>
  </w:p>
  <w:p w14:paraId="35E2B828">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646F2">
    <w:pPr>
      <w:pStyle w:val="9"/>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14:paraId="627C3C1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E994F6">
    <w:pPr>
      <w:pStyle w:val="9"/>
      <w:framePr w:wrap="around" w:vAnchor="text" w:hAnchor="margin" w:xAlign="center" w:y="1"/>
      <w:rPr>
        <w:rStyle w:val="16"/>
      </w:rPr>
    </w:pPr>
    <w:r>
      <w:rPr>
        <w:rStyle w:val="16"/>
      </w:rPr>
      <w:fldChar w:fldCharType="begin"/>
    </w:r>
    <w:r>
      <w:rPr>
        <w:rStyle w:val="16"/>
      </w:rPr>
      <w:instrText xml:space="preserve">PAGE  </w:instrText>
    </w:r>
    <w:r>
      <w:rPr>
        <w:rStyle w:val="16"/>
      </w:rPr>
      <w:fldChar w:fldCharType="separate"/>
    </w:r>
    <w:r>
      <w:rPr>
        <w:rStyle w:val="16"/>
      </w:rPr>
      <w:t>6</w:t>
    </w:r>
    <w:r>
      <w:rPr>
        <w:rStyle w:val="16"/>
      </w:rPr>
      <w:fldChar w:fldCharType="end"/>
    </w:r>
  </w:p>
  <w:p w14:paraId="52F5ACEF">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13D5D">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8949F">
    <w:pPr>
      <w:pStyle w:val="10"/>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AC8A4"/>
    <w:multiLevelType w:val="singleLevel"/>
    <w:tmpl w:val="AF3AC8A4"/>
    <w:lvl w:ilvl="0" w:tentative="0">
      <w:start w:val="1"/>
      <w:numFmt w:val="decimal"/>
      <w:lvlText w:val="(%1)"/>
      <w:lvlJc w:val="left"/>
      <w:pPr>
        <w:ind w:left="0" w:leftChars="0" w:firstLine="420" w:firstLineChars="0"/>
      </w:pPr>
      <w:rPr>
        <w:rFonts w:hint="default"/>
      </w:rPr>
    </w:lvl>
  </w:abstractNum>
  <w:abstractNum w:abstractNumId="1">
    <w:nsid w:val="BFBFA1C4"/>
    <w:multiLevelType w:val="singleLevel"/>
    <w:tmpl w:val="BFBFA1C4"/>
    <w:lvl w:ilvl="0" w:tentative="0">
      <w:start w:val="1"/>
      <w:numFmt w:val="decimal"/>
      <w:lvlText w:val="(%1)"/>
      <w:lvlJc w:val="left"/>
      <w:pPr>
        <w:ind w:left="0" w:leftChars="0" w:firstLine="420" w:firstLineChars="0"/>
      </w:pPr>
      <w:rPr>
        <w:rFonts w:hint="default" w:ascii="Times New Roman" w:hAnsi="Times New Roman" w:cs="Times New Roman"/>
        <w:b w:val="0"/>
        <w:bCs w:val="0"/>
      </w:rPr>
    </w:lvl>
  </w:abstractNum>
  <w:abstractNum w:abstractNumId="2">
    <w:nsid w:val="C75F9328"/>
    <w:multiLevelType w:val="singleLevel"/>
    <w:tmpl w:val="C75F9328"/>
    <w:lvl w:ilvl="0" w:tentative="0">
      <w:start w:val="1"/>
      <w:numFmt w:val="decimal"/>
      <w:lvlText w:val="(%1)"/>
      <w:lvlJc w:val="left"/>
      <w:pPr>
        <w:ind w:left="0" w:leftChars="0" w:firstLine="420" w:firstLineChars="0"/>
      </w:pPr>
      <w:rPr>
        <w:rFonts w:hint="default"/>
      </w:rPr>
    </w:lvl>
  </w:abstractNum>
  <w:abstractNum w:abstractNumId="3">
    <w:nsid w:val="C9E60BD8"/>
    <w:multiLevelType w:val="singleLevel"/>
    <w:tmpl w:val="C9E60BD8"/>
    <w:lvl w:ilvl="0" w:tentative="0">
      <w:start w:val="1"/>
      <w:numFmt w:val="decimal"/>
      <w:lvlText w:val="(%1)"/>
      <w:lvlJc w:val="left"/>
      <w:pPr>
        <w:ind w:left="845" w:hanging="425"/>
      </w:pPr>
      <w:rPr>
        <w:rFonts w:hint="default"/>
      </w:rPr>
    </w:lvl>
  </w:abstractNum>
  <w:abstractNum w:abstractNumId="4">
    <w:nsid w:val="D7FE3B5C"/>
    <w:multiLevelType w:val="singleLevel"/>
    <w:tmpl w:val="D7FE3B5C"/>
    <w:lvl w:ilvl="0" w:tentative="0">
      <w:start w:val="1"/>
      <w:numFmt w:val="decimal"/>
      <w:lvlText w:val="(%1)"/>
      <w:lvlJc w:val="left"/>
      <w:pPr>
        <w:ind w:left="0" w:leftChars="0" w:firstLine="420" w:firstLineChars="0"/>
      </w:pPr>
      <w:rPr>
        <w:rFonts w:hint="default"/>
      </w:rPr>
    </w:lvl>
  </w:abstractNum>
  <w:abstractNum w:abstractNumId="5">
    <w:nsid w:val="DC5D267B"/>
    <w:multiLevelType w:val="singleLevel"/>
    <w:tmpl w:val="DC5D267B"/>
    <w:lvl w:ilvl="0" w:tentative="0">
      <w:start w:val="1"/>
      <w:numFmt w:val="decimal"/>
      <w:lvlText w:val="(%1)"/>
      <w:lvlJc w:val="left"/>
      <w:pPr>
        <w:ind w:left="0" w:leftChars="0" w:firstLine="420" w:firstLineChars="0"/>
      </w:pPr>
      <w:rPr>
        <w:rFonts w:hint="default"/>
      </w:rPr>
    </w:lvl>
  </w:abstractNum>
  <w:abstractNum w:abstractNumId="6">
    <w:nsid w:val="E947FDCC"/>
    <w:multiLevelType w:val="singleLevel"/>
    <w:tmpl w:val="E947FDCC"/>
    <w:lvl w:ilvl="0" w:tentative="0">
      <w:start w:val="1"/>
      <w:numFmt w:val="decimal"/>
      <w:suff w:val="nothing"/>
      <w:lvlText w:val="%1）"/>
      <w:lvlJc w:val="left"/>
    </w:lvl>
  </w:abstractNum>
  <w:abstractNum w:abstractNumId="7">
    <w:nsid w:val="F2B531BA"/>
    <w:multiLevelType w:val="singleLevel"/>
    <w:tmpl w:val="F2B531BA"/>
    <w:lvl w:ilvl="0" w:tentative="0">
      <w:start w:val="1"/>
      <w:numFmt w:val="decimal"/>
      <w:lvlText w:val="(%1)"/>
      <w:lvlJc w:val="left"/>
      <w:pPr>
        <w:ind w:left="0" w:leftChars="0" w:firstLine="420" w:firstLineChars="0"/>
      </w:pPr>
      <w:rPr>
        <w:rFonts w:hint="default"/>
      </w:rPr>
    </w:lvl>
  </w:abstractNum>
  <w:abstractNum w:abstractNumId="8">
    <w:nsid w:val="FA6FA338"/>
    <w:multiLevelType w:val="singleLevel"/>
    <w:tmpl w:val="FA6FA338"/>
    <w:lvl w:ilvl="0" w:tentative="0">
      <w:start w:val="1"/>
      <w:numFmt w:val="decimal"/>
      <w:lvlText w:val="(%1)"/>
      <w:lvlJc w:val="left"/>
      <w:pPr>
        <w:ind w:left="0" w:leftChars="0" w:firstLine="420" w:firstLineChars="0"/>
      </w:pPr>
      <w:rPr>
        <w:rFonts w:hint="default"/>
      </w:rPr>
    </w:lvl>
  </w:abstractNum>
  <w:abstractNum w:abstractNumId="9">
    <w:nsid w:val="FBEC78DD"/>
    <w:multiLevelType w:val="singleLevel"/>
    <w:tmpl w:val="FBEC78DD"/>
    <w:lvl w:ilvl="0" w:tentative="0">
      <w:start w:val="1"/>
      <w:numFmt w:val="decimal"/>
      <w:suff w:val="space"/>
      <w:lvlText w:val="%1."/>
      <w:lvlJc w:val="left"/>
    </w:lvl>
  </w:abstractNum>
  <w:abstractNum w:abstractNumId="10">
    <w:nsid w:val="FBF744A5"/>
    <w:multiLevelType w:val="singleLevel"/>
    <w:tmpl w:val="FBF744A5"/>
    <w:lvl w:ilvl="0" w:tentative="0">
      <w:start w:val="1"/>
      <w:numFmt w:val="decimal"/>
      <w:suff w:val="space"/>
      <w:lvlText w:val="%1."/>
      <w:lvlJc w:val="left"/>
    </w:lvl>
  </w:abstractNum>
  <w:abstractNum w:abstractNumId="11">
    <w:nsid w:val="FD625C1C"/>
    <w:multiLevelType w:val="singleLevel"/>
    <w:tmpl w:val="FD625C1C"/>
    <w:lvl w:ilvl="0" w:tentative="0">
      <w:start w:val="1"/>
      <w:numFmt w:val="decimal"/>
      <w:suff w:val="nothing"/>
      <w:lvlText w:val="%1）"/>
      <w:lvlJc w:val="left"/>
      <w:rPr>
        <w:rFonts w:hint="default"/>
        <w:b w:val="0"/>
        <w:bCs w:val="0"/>
      </w:rPr>
    </w:lvl>
  </w:abstractNum>
  <w:abstractNum w:abstractNumId="12">
    <w:nsid w:val="FEF6A33A"/>
    <w:multiLevelType w:val="singleLevel"/>
    <w:tmpl w:val="FEF6A33A"/>
    <w:lvl w:ilvl="0" w:tentative="0">
      <w:start w:val="1"/>
      <w:numFmt w:val="decimal"/>
      <w:lvlText w:val="(%1)"/>
      <w:lvlJc w:val="left"/>
      <w:pPr>
        <w:ind w:left="845" w:hanging="425"/>
      </w:pPr>
      <w:rPr>
        <w:rFonts w:hint="default"/>
      </w:rPr>
    </w:lvl>
  </w:abstractNum>
  <w:abstractNum w:abstractNumId="13">
    <w:nsid w:val="FF7E0238"/>
    <w:multiLevelType w:val="singleLevel"/>
    <w:tmpl w:val="FF7E0238"/>
    <w:lvl w:ilvl="0" w:tentative="0">
      <w:start w:val="1"/>
      <w:numFmt w:val="decimal"/>
      <w:lvlText w:val="(%1)"/>
      <w:lvlJc w:val="left"/>
      <w:pPr>
        <w:ind w:left="0" w:leftChars="0" w:firstLine="420" w:firstLineChars="0"/>
      </w:pPr>
      <w:rPr>
        <w:rFonts w:hint="default"/>
      </w:rPr>
    </w:lvl>
  </w:abstractNum>
  <w:abstractNum w:abstractNumId="14">
    <w:nsid w:val="FFF54418"/>
    <w:multiLevelType w:val="singleLevel"/>
    <w:tmpl w:val="FFF54418"/>
    <w:lvl w:ilvl="0" w:tentative="0">
      <w:start w:val="1"/>
      <w:numFmt w:val="decimal"/>
      <w:lvlText w:val="(%1)"/>
      <w:lvlJc w:val="left"/>
      <w:pPr>
        <w:ind w:left="0" w:leftChars="0" w:firstLine="420" w:firstLineChars="0"/>
      </w:pPr>
      <w:rPr>
        <w:rFonts w:hint="default"/>
      </w:rPr>
    </w:lvl>
  </w:abstractNum>
  <w:abstractNum w:abstractNumId="15">
    <w:nsid w:val="61F654B1"/>
    <w:multiLevelType w:val="singleLevel"/>
    <w:tmpl w:val="61F654B1"/>
    <w:lvl w:ilvl="0" w:tentative="0">
      <w:start w:val="1"/>
      <w:numFmt w:val="decimal"/>
      <w:lvlText w:val="(%1)"/>
      <w:lvlJc w:val="left"/>
      <w:pPr>
        <w:ind w:left="0" w:leftChars="0" w:firstLine="420" w:firstLineChars="0"/>
      </w:pPr>
      <w:rPr>
        <w:rFonts w:hint="default"/>
      </w:rPr>
    </w:lvl>
  </w:abstractNum>
  <w:abstractNum w:abstractNumId="16">
    <w:nsid w:val="6FFBDDA4"/>
    <w:multiLevelType w:val="singleLevel"/>
    <w:tmpl w:val="6FFBDDA4"/>
    <w:lvl w:ilvl="0" w:tentative="0">
      <w:start w:val="1"/>
      <w:numFmt w:val="decimal"/>
      <w:lvlText w:val="(%1)"/>
      <w:lvlJc w:val="left"/>
      <w:pPr>
        <w:ind w:left="0" w:leftChars="0" w:firstLine="420" w:firstLineChars="0"/>
      </w:pPr>
      <w:rPr>
        <w:rFonts w:hint="default"/>
      </w:rPr>
    </w:lvl>
  </w:abstractNum>
  <w:abstractNum w:abstractNumId="17">
    <w:nsid w:val="73B24D32"/>
    <w:multiLevelType w:val="singleLevel"/>
    <w:tmpl w:val="73B24D32"/>
    <w:lvl w:ilvl="0" w:tentative="0">
      <w:start w:val="1"/>
      <w:numFmt w:val="decimal"/>
      <w:suff w:val="nothing"/>
      <w:lvlText w:val="%1）"/>
      <w:lvlJc w:val="left"/>
    </w:lvl>
  </w:abstractNum>
  <w:abstractNum w:abstractNumId="18">
    <w:nsid w:val="753627AF"/>
    <w:multiLevelType w:val="singleLevel"/>
    <w:tmpl w:val="753627AF"/>
    <w:lvl w:ilvl="0" w:tentative="0">
      <w:start w:val="1"/>
      <w:numFmt w:val="decimal"/>
      <w:suff w:val="space"/>
      <w:lvlText w:val="%1."/>
      <w:lvlJc w:val="left"/>
    </w:lvl>
  </w:abstractNum>
  <w:abstractNum w:abstractNumId="19">
    <w:nsid w:val="7D7E2598"/>
    <w:multiLevelType w:val="singleLevel"/>
    <w:tmpl w:val="7D7E2598"/>
    <w:lvl w:ilvl="0" w:tentative="0">
      <w:start w:val="1"/>
      <w:numFmt w:val="decimal"/>
      <w:lvlText w:val="(%1)"/>
      <w:lvlJc w:val="left"/>
      <w:pPr>
        <w:ind w:left="0" w:leftChars="0" w:firstLine="420" w:firstLineChars="0"/>
      </w:pPr>
      <w:rPr>
        <w:rFonts w:hint="default"/>
      </w:rPr>
    </w:lvl>
  </w:abstractNum>
  <w:abstractNum w:abstractNumId="20">
    <w:nsid w:val="7FDF3BCA"/>
    <w:multiLevelType w:val="singleLevel"/>
    <w:tmpl w:val="7FDF3BCA"/>
    <w:lvl w:ilvl="0" w:tentative="0">
      <w:start w:val="1"/>
      <w:numFmt w:val="decimal"/>
      <w:lvlText w:val="(%1)"/>
      <w:lvlJc w:val="left"/>
      <w:pPr>
        <w:ind w:left="0" w:leftChars="0" w:firstLine="420" w:firstLineChars="0"/>
      </w:pPr>
      <w:rPr>
        <w:rFonts w:hint="default"/>
      </w:rPr>
    </w:lvl>
  </w:abstractNum>
  <w:num w:numId="1">
    <w:abstractNumId w:val="6"/>
  </w:num>
  <w:num w:numId="2">
    <w:abstractNumId w:val="0"/>
  </w:num>
  <w:num w:numId="3">
    <w:abstractNumId w:val="17"/>
  </w:num>
  <w:num w:numId="4">
    <w:abstractNumId w:val="11"/>
  </w:num>
  <w:num w:numId="5">
    <w:abstractNumId w:val="13"/>
  </w:num>
  <w:num w:numId="6">
    <w:abstractNumId w:val="16"/>
  </w:num>
  <w:num w:numId="7">
    <w:abstractNumId w:val="4"/>
  </w:num>
  <w:num w:numId="8">
    <w:abstractNumId w:val="2"/>
  </w:num>
  <w:num w:numId="9">
    <w:abstractNumId w:val="14"/>
  </w:num>
  <w:num w:numId="10">
    <w:abstractNumId w:val="3"/>
  </w:num>
  <w:num w:numId="11">
    <w:abstractNumId w:val="20"/>
  </w:num>
  <w:num w:numId="12">
    <w:abstractNumId w:val="5"/>
  </w:num>
  <w:num w:numId="13">
    <w:abstractNumId w:val="19"/>
  </w:num>
  <w:num w:numId="14">
    <w:abstractNumId w:val="8"/>
  </w:num>
  <w:num w:numId="15">
    <w:abstractNumId w:val="15"/>
  </w:num>
  <w:num w:numId="16">
    <w:abstractNumId w:val="12"/>
  </w:num>
  <w:num w:numId="17">
    <w:abstractNumId w:val="18"/>
  </w:num>
  <w:num w:numId="18">
    <w:abstractNumId w:val="9"/>
  </w:num>
  <w:num w:numId="19">
    <w:abstractNumId w:val="10"/>
  </w:num>
  <w:num w:numId="20">
    <w:abstractNumId w:val="7"/>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llZjQwOWQ3YWMyMzQ5ZjhiNGVmZDg5Y2EyNDRkMzQifQ=="/>
  </w:docVars>
  <w:rsids>
    <w:rsidRoot w:val="00BA0909"/>
    <w:rsid w:val="000179C8"/>
    <w:rsid w:val="000208E0"/>
    <w:rsid w:val="00020CC1"/>
    <w:rsid w:val="00022903"/>
    <w:rsid w:val="000875E6"/>
    <w:rsid w:val="000A7B1E"/>
    <w:rsid w:val="000E0BB3"/>
    <w:rsid w:val="00126134"/>
    <w:rsid w:val="00130EBD"/>
    <w:rsid w:val="00140716"/>
    <w:rsid w:val="00177991"/>
    <w:rsid w:val="001A60B0"/>
    <w:rsid w:val="001B24F4"/>
    <w:rsid w:val="001B2CBC"/>
    <w:rsid w:val="001C162F"/>
    <w:rsid w:val="001C1C84"/>
    <w:rsid w:val="001F60C2"/>
    <w:rsid w:val="00201772"/>
    <w:rsid w:val="00221D2E"/>
    <w:rsid w:val="00233E08"/>
    <w:rsid w:val="0025327A"/>
    <w:rsid w:val="00257546"/>
    <w:rsid w:val="00271D9E"/>
    <w:rsid w:val="002726AE"/>
    <w:rsid w:val="00272BC8"/>
    <w:rsid w:val="002832AF"/>
    <w:rsid w:val="002B40BB"/>
    <w:rsid w:val="002C7F97"/>
    <w:rsid w:val="002E695D"/>
    <w:rsid w:val="003371B7"/>
    <w:rsid w:val="00337351"/>
    <w:rsid w:val="00345538"/>
    <w:rsid w:val="00365C32"/>
    <w:rsid w:val="00385F74"/>
    <w:rsid w:val="00396C87"/>
    <w:rsid w:val="003A0C12"/>
    <w:rsid w:val="003A42AA"/>
    <w:rsid w:val="003C6F8E"/>
    <w:rsid w:val="003D50CD"/>
    <w:rsid w:val="003E081E"/>
    <w:rsid w:val="003E7A43"/>
    <w:rsid w:val="004853B4"/>
    <w:rsid w:val="00491473"/>
    <w:rsid w:val="004B54BA"/>
    <w:rsid w:val="00504E12"/>
    <w:rsid w:val="00544BD6"/>
    <w:rsid w:val="00551733"/>
    <w:rsid w:val="00571113"/>
    <w:rsid w:val="00590477"/>
    <w:rsid w:val="005A6D90"/>
    <w:rsid w:val="005C3FA6"/>
    <w:rsid w:val="005D4326"/>
    <w:rsid w:val="005E150A"/>
    <w:rsid w:val="005F7E0F"/>
    <w:rsid w:val="00624F37"/>
    <w:rsid w:val="00627B9A"/>
    <w:rsid w:val="00640118"/>
    <w:rsid w:val="00676CE7"/>
    <w:rsid w:val="0068623E"/>
    <w:rsid w:val="00690E4A"/>
    <w:rsid w:val="006961B5"/>
    <w:rsid w:val="006B1A95"/>
    <w:rsid w:val="006D58BC"/>
    <w:rsid w:val="006E1029"/>
    <w:rsid w:val="00721C41"/>
    <w:rsid w:val="00734380"/>
    <w:rsid w:val="00786957"/>
    <w:rsid w:val="007D0CD6"/>
    <w:rsid w:val="007D1538"/>
    <w:rsid w:val="007D3012"/>
    <w:rsid w:val="007E633C"/>
    <w:rsid w:val="007F399F"/>
    <w:rsid w:val="00803D3A"/>
    <w:rsid w:val="00811161"/>
    <w:rsid w:val="008878BE"/>
    <w:rsid w:val="00891B1D"/>
    <w:rsid w:val="00896F8F"/>
    <w:rsid w:val="008A66C1"/>
    <w:rsid w:val="008C05A9"/>
    <w:rsid w:val="008C20FF"/>
    <w:rsid w:val="008C53B3"/>
    <w:rsid w:val="008F59E6"/>
    <w:rsid w:val="008F6E01"/>
    <w:rsid w:val="00912A1F"/>
    <w:rsid w:val="009229E7"/>
    <w:rsid w:val="0092563E"/>
    <w:rsid w:val="009501D8"/>
    <w:rsid w:val="009A4967"/>
    <w:rsid w:val="00A20F7A"/>
    <w:rsid w:val="00A22F90"/>
    <w:rsid w:val="00A2786A"/>
    <w:rsid w:val="00A45599"/>
    <w:rsid w:val="00A678E1"/>
    <w:rsid w:val="00A71D8D"/>
    <w:rsid w:val="00AA4101"/>
    <w:rsid w:val="00AA4DD7"/>
    <w:rsid w:val="00AD1D22"/>
    <w:rsid w:val="00B06B19"/>
    <w:rsid w:val="00B10B9D"/>
    <w:rsid w:val="00B251E9"/>
    <w:rsid w:val="00B25692"/>
    <w:rsid w:val="00B84BE7"/>
    <w:rsid w:val="00B87A70"/>
    <w:rsid w:val="00BA0909"/>
    <w:rsid w:val="00BB38C4"/>
    <w:rsid w:val="00BC3843"/>
    <w:rsid w:val="00BD69C4"/>
    <w:rsid w:val="00BF3CDF"/>
    <w:rsid w:val="00C30680"/>
    <w:rsid w:val="00C43925"/>
    <w:rsid w:val="00C87190"/>
    <w:rsid w:val="00CA2CC7"/>
    <w:rsid w:val="00CE7BD6"/>
    <w:rsid w:val="00D11953"/>
    <w:rsid w:val="00D1526E"/>
    <w:rsid w:val="00D16F54"/>
    <w:rsid w:val="00D23CDE"/>
    <w:rsid w:val="00D47F45"/>
    <w:rsid w:val="00D63E34"/>
    <w:rsid w:val="00D72BFE"/>
    <w:rsid w:val="00D908D2"/>
    <w:rsid w:val="00D94989"/>
    <w:rsid w:val="00D9763C"/>
    <w:rsid w:val="00DF756E"/>
    <w:rsid w:val="00E132FA"/>
    <w:rsid w:val="00E14EA6"/>
    <w:rsid w:val="00E179B5"/>
    <w:rsid w:val="00E51FE0"/>
    <w:rsid w:val="00E533CE"/>
    <w:rsid w:val="00EA030E"/>
    <w:rsid w:val="00ED6C07"/>
    <w:rsid w:val="00EE17A2"/>
    <w:rsid w:val="00EE53B6"/>
    <w:rsid w:val="00F00F31"/>
    <w:rsid w:val="00F019F1"/>
    <w:rsid w:val="00F41D3E"/>
    <w:rsid w:val="00F4660C"/>
    <w:rsid w:val="00F7021A"/>
    <w:rsid w:val="00F72C26"/>
    <w:rsid w:val="00F72E52"/>
    <w:rsid w:val="00F763D7"/>
    <w:rsid w:val="00F90588"/>
    <w:rsid w:val="00F9511C"/>
    <w:rsid w:val="00F959C6"/>
    <w:rsid w:val="00FA7E51"/>
    <w:rsid w:val="00FB2F26"/>
    <w:rsid w:val="00FC6277"/>
    <w:rsid w:val="031571B8"/>
    <w:rsid w:val="039F0273"/>
    <w:rsid w:val="047413CD"/>
    <w:rsid w:val="04AE67DB"/>
    <w:rsid w:val="04C46AA4"/>
    <w:rsid w:val="059E7B97"/>
    <w:rsid w:val="061B2F96"/>
    <w:rsid w:val="067F52D3"/>
    <w:rsid w:val="069719C6"/>
    <w:rsid w:val="07B51653"/>
    <w:rsid w:val="080B15A6"/>
    <w:rsid w:val="084C5BA1"/>
    <w:rsid w:val="086E0C7E"/>
    <w:rsid w:val="08D047DE"/>
    <w:rsid w:val="0B641CFB"/>
    <w:rsid w:val="0B837613"/>
    <w:rsid w:val="0BE36304"/>
    <w:rsid w:val="0CD43F52"/>
    <w:rsid w:val="0E3159FE"/>
    <w:rsid w:val="0E7F6F61"/>
    <w:rsid w:val="0FAD1102"/>
    <w:rsid w:val="10B02687"/>
    <w:rsid w:val="10D572AC"/>
    <w:rsid w:val="12D76496"/>
    <w:rsid w:val="133E38E7"/>
    <w:rsid w:val="135F583B"/>
    <w:rsid w:val="13A7726A"/>
    <w:rsid w:val="146F19ED"/>
    <w:rsid w:val="14BF03AB"/>
    <w:rsid w:val="16676963"/>
    <w:rsid w:val="17B13C58"/>
    <w:rsid w:val="1A045DC3"/>
    <w:rsid w:val="1ACA7323"/>
    <w:rsid w:val="1C7158DC"/>
    <w:rsid w:val="1CDD3710"/>
    <w:rsid w:val="1CFB5E6D"/>
    <w:rsid w:val="1DA45E80"/>
    <w:rsid w:val="1E143C3F"/>
    <w:rsid w:val="1FAB2A10"/>
    <w:rsid w:val="20196340"/>
    <w:rsid w:val="234377AD"/>
    <w:rsid w:val="23453051"/>
    <w:rsid w:val="240A37B1"/>
    <w:rsid w:val="25021A09"/>
    <w:rsid w:val="25AB7A3A"/>
    <w:rsid w:val="2A810D6A"/>
    <w:rsid w:val="2B0807E5"/>
    <w:rsid w:val="2F700F60"/>
    <w:rsid w:val="30F169C1"/>
    <w:rsid w:val="319779EB"/>
    <w:rsid w:val="31B16FC5"/>
    <w:rsid w:val="330A7A37"/>
    <w:rsid w:val="332350B4"/>
    <w:rsid w:val="33656452"/>
    <w:rsid w:val="33FB09EB"/>
    <w:rsid w:val="346F4329"/>
    <w:rsid w:val="348A1163"/>
    <w:rsid w:val="37A95DA4"/>
    <w:rsid w:val="3AAE776B"/>
    <w:rsid w:val="3B0C23AE"/>
    <w:rsid w:val="3C0F1FB6"/>
    <w:rsid w:val="3D842BF3"/>
    <w:rsid w:val="3E3A0EB7"/>
    <w:rsid w:val="41432DC5"/>
    <w:rsid w:val="436854A3"/>
    <w:rsid w:val="44874DED"/>
    <w:rsid w:val="449626DC"/>
    <w:rsid w:val="44BD5DCD"/>
    <w:rsid w:val="45C90F13"/>
    <w:rsid w:val="479E26D8"/>
    <w:rsid w:val="48A23E69"/>
    <w:rsid w:val="4940284E"/>
    <w:rsid w:val="498E7D34"/>
    <w:rsid w:val="4C227C1B"/>
    <w:rsid w:val="4C5516CB"/>
    <w:rsid w:val="4D202E51"/>
    <w:rsid w:val="4E1B03B0"/>
    <w:rsid w:val="512F1F80"/>
    <w:rsid w:val="51F75088"/>
    <w:rsid w:val="53731E69"/>
    <w:rsid w:val="53C74071"/>
    <w:rsid w:val="54885FCE"/>
    <w:rsid w:val="57271626"/>
    <w:rsid w:val="57770C7B"/>
    <w:rsid w:val="57FD3FEF"/>
    <w:rsid w:val="59584AFD"/>
    <w:rsid w:val="5AD36A28"/>
    <w:rsid w:val="5B290459"/>
    <w:rsid w:val="5BF76B62"/>
    <w:rsid w:val="5CEA5FE3"/>
    <w:rsid w:val="5E580CDF"/>
    <w:rsid w:val="5EEB63F0"/>
    <w:rsid w:val="608D351F"/>
    <w:rsid w:val="60F16A0D"/>
    <w:rsid w:val="614119B8"/>
    <w:rsid w:val="6183356E"/>
    <w:rsid w:val="61C15C9C"/>
    <w:rsid w:val="623E3901"/>
    <w:rsid w:val="62693451"/>
    <w:rsid w:val="62854B94"/>
    <w:rsid w:val="63F05E0D"/>
    <w:rsid w:val="64060EA6"/>
    <w:rsid w:val="64985F51"/>
    <w:rsid w:val="65EA6E41"/>
    <w:rsid w:val="66880E42"/>
    <w:rsid w:val="668B156B"/>
    <w:rsid w:val="66D92ECC"/>
    <w:rsid w:val="67600E03"/>
    <w:rsid w:val="68287528"/>
    <w:rsid w:val="6C8355A5"/>
    <w:rsid w:val="70CC2BA2"/>
    <w:rsid w:val="70CD7E32"/>
    <w:rsid w:val="71ED1E0E"/>
    <w:rsid w:val="724F4877"/>
    <w:rsid w:val="72CD1D04"/>
    <w:rsid w:val="73B07597"/>
    <w:rsid w:val="77DF14AB"/>
    <w:rsid w:val="79F365EA"/>
    <w:rsid w:val="7A736CBE"/>
    <w:rsid w:val="7C0E7550"/>
    <w:rsid w:val="7D6FBC3F"/>
    <w:rsid w:val="7F262CFA"/>
    <w:rsid w:val="7F3D4373"/>
    <w:rsid w:val="7F7FD96F"/>
    <w:rsid w:val="7F82712F"/>
    <w:rsid w:val="7F945FBF"/>
    <w:rsid w:val="7FCB499B"/>
    <w:rsid w:val="BFFF51A6"/>
    <w:rsid w:val="DDDE53BA"/>
    <w:rsid w:val="F9D5A7B2"/>
    <w:rsid w:val="F9FD0994"/>
    <w:rsid w:val="FF3F28E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qFormat/>
    <w:uiPriority w:val="0"/>
    <w:pPr>
      <w:spacing w:beforeAutospacing="1" w:afterAutospacing="1"/>
      <w:jc w:val="left"/>
      <w:outlineLvl w:val="2"/>
    </w:pPr>
    <w:rPr>
      <w:rFonts w:hint="eastAsia" w:ascii="宋体" w:hAnsi="宋体" w:cs="Times New Roman"/>
      <w:b/>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4">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6">
    <w:name w:val="Body Text"/>
    <w:basedOn w:val="1"/>
    <w:qFormat/>
    <w:uiPriority w:val="0"/>
    <w:pPr>
      <w:widowControl/>
      <w:spacing w:before="100" w:beforeAutospacing="1" w:after="100" w:afterAutospacing="1"/>
      <w:jc w:val="left"/>
    </w:pPr>
    <w:rPr>
      <w:rFonts w:ascii="宋体" w:hAnsi="宋体" w:cs="宋体"/>
      <w:color w:val="000066"/>
      <w:kern w:val="0"/>
      <w:sz w:val="24"/>
    </w:rPr>
  </w:style>
  <w:style w:type="paragraph" w:styleId="7">
    <w:name w:val="Body Text Indent"/>
    <w:basedOn w:val="1"/>
    <w:next w:val="1"/>
    <w:qFormat/>
    <w:uiPriority w:val="0"/>
    <w:pPr>
      <w:ind w:leftChars="428"/>
    </w:pPr>
    <w:rPr>
      <w:rFonts w:ascii="楷体_GB2312" w:hAnsi="宋体" w:eastAsia="楷体_GB2312"/>
      <w:sz w:val="24"/>
    </w:rPr>
  </w:style>
  <w:style w:type="paragraph" w:styleId="8">
    <w:name w:val="Balloon Text"/>
    <w:basedOn w:val="1"/>
    <w:semiHidden/>
    <w:uiPriority w:val="0"/>
    <w:rPr>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link w:val="18"/>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iPriority w:val="0"/>
    <w:pPr>
      <w:spacing w:before="100" w:beforeAutospacing="1" w:after="100" w:afterAutospacing="1"/>
      <w:ind w:left="0" w:right="0"/>
      <w:jc w:val="left"/>
    </w:pPr>
    <w:rPr>
      <w:kern w:val="0"/>
      <w:sz w:val="24"/>
      <w:lang w:val="en-US" w:eastAsia="zh-CN" w:bidi="ar"/>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qFormat/>
    <w:uiPriority w:val="0"/>
    <w:rPr>
      <w:b/>
      <w:bCs/>
    </w:rPr>
  </w:style>
  <w:style w:type="character" w:styleId="16">
    <w:name w:val="page number"/>
    <w:uiPriority w:val="0"/>
  </w:style>
  <w:style w:type="character" w:styleId="17">
    <w:name w:val="Hyperlink"/>
    <w:basedOn w:val="14"/>
    <w:uiPriority w:val="0"/>
    <w:rPr>
      <w:color w:val="0000FF"/>
      <w:u w:val="single"/>
    </w:rPr>
  </w:style>
  <w:style w:type="character" w:customStyle="1" w:styleId="18">
    <w:name w:val="页眉 字符"/>
    <w:link w:val="10"/>
    <w:uiPriority w:val="0"/>
    <w:rPr>
      <w:kern w:val="2"/>
      <w:sz w:val="18"/>
      <w:szCs w:val="18"/>
    </w:rPr>
  </w:style>
  <w:style w:type="paragraph" w:customStyle="1" w:styleId="19">
    <w:name w:val=" Char"/>
    <w:basedOn w:val="1"/>
    <w:uiPriority w:val="0"/>
    <w:pPr>
      <w:adjustRightInd w:val="0"/>
      <w:spacing w:line="360" w:lineRule="auto"/>
    </w:pPr>
    <w:rPr>
      <w:kern w:val="0"/>
      <w:sz w:val="24"/>
      <w:szCs w:val="20"/>
    </w:rPr>
  </w:style>
  <w:style w:type="paragraph" w:customStyle="1" w:styleId="20">
    <w:name w:val="正文文本1"/>
    <w:basedOn w:val="1"/>
    <w:qFormat/>
    <w:uiPriority w:val="0"/>
    <w:pPr>
      <w:widowControl/>
      <w:spacing w:before="100" w:beforeAutospacing="1" w:after="100" w:afterAutospacing="1"/>
      <w:jc w:val="left"/>
    </w:pPr>
    <w:rPr>
      <w:rFonts w:ascii="宋体" w:hAnsi="宋体"/>
      <w:color w:val="000066"/>
      <w:kern w:val="0"/>
      <w:sz w:val="24"/>
    </w:rPr>
  </w:style>
  <w:style w:type="character" w:customStyle="1" w:styleId="21">
    <w:name w:val="font51"/>
    <w:uiPriority w:val="0"/>
    <w:rPr>
      <w:rFonts w:ascii="宋体" w:hAnsi="宋体" w:eastAsia="宋体" w:cs="宋体"/>
      <w:color w:val="000000"/>
      <w:sz w:val="18"/>
      <w:szCs w:val="18"/>
      <w:u w:val="none"/>
    </w:rPr>
  </w:style>
  <w:style w:type="character" w:customStyle="1" w:styleId="22">
    <w:name w:val="font41"/>
    <w:uiPriority w:val="0"/>
    <w:rPr>
      <w:rFonts w:hint="default" w:ascii="Times New Roman" w:hAnsi="Times New Roman" w:cs="Times New Roman"/>
      <w:color w:val="000000"/>
      <w:sz w:val="20"/>
      <w:szCs w:val="20"/>
      <w:u w:val="none"/>
    </w:rPr>
  </w:style>
  <w:style w:type="character" w:customStyle="1" w:styleId="23">
    <w:name w:val="font31"/>
    <w:uiPriority w:val="0"/>
    <w:rPr>
      <w:rFonts w:hint="eastAsia" w:ascii="仿宋" w:hAnsi="仿宋" w:eastAsia="仿宋" w:cs="仿宋"/>
      <w:color w:val="000000"/>
      <w:sz w:val="20"/>
      <w:szCs w:val="20"/>
      <w:u w:val="none"/>
    </w:rPr>
  </w:style>
  <w:style w:type="paragraph" w:customStyle="1" w:styleId="24">
    <w:name w:val="p1"/>
    <w:basedOn w:val="1"/>
    <w:uiPriority w:val="0"/>
    <w:pPr>
      <w:spacing w:before="0" w:beforeAutospacing="0" w:after="0" w:afterAutospacing="0"/>
      <w:ind w:left="0" w:right="0"/>
      <w:jc w:val="left"/>
    </w:pPr>
    <w:rPr>
      <w:rFonts w:ascii="helvetica" w:hAnsi="helvetica" w:eastAsia="helvetica" w:cs="helvetica"/>
      <w:kern w:val="0"/>
      <w:sz w:val="18"/>
      <w:szCs w:val="1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 (Beijing) Limited</Company>
  <Pages>23</Pages>
  <Words>3265</Words>
  <Characters>3658</Characters>
  <Lines>159</Lines>
  <Paragraphs>135</Paragraphs>
  <TotalTime>4</TotalTime>
  <ScaleCrop>false</ScaleCrop>
  <LinksUpToDate>false</LinksUpToDate>
  <CharactersWithSpaces>6788</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2014-11-05T10:56:00Z</dcterms:created>
  <dc:creator>Administrator</dc:creator>
  <cp:lastModifiedBy>Hugh</cp:lastModifiedBy>
  <cp:lastPrinted>2023-07-13T16:43:00Z</cp:lastPrinted>
  <dcterms:modified xsi:type="dcterms:W3CDTF">2026-08-18T14:30:33Z</dcterms:modified>
  <dc:title>新疆大学博士生科技创新项目立项</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49895486931A7BFB72C1306A6F28CE40_43</vt:lpwstr>
  </property>
  <property fmtid="{D5CDD505-2E9C-101B-9397-08002B2CF9AE}" pid="4" name="KSOTemplateDocerSaveRecord">
    <vt:lpwstr>eyJoZGlkIjoiNDQ2NzE0ZWY1YjM1MGU0NTY0ZTQ2YTkwZmI0OWY4N2EiLCJ1c2VySWQiOiIxNzIyNTY1MDQwIn0=</vt:lpwstr>
  </property>
</Properties>
</file>