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 Effective Date }}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6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bottom"/>
          </w:tcPr>
          <w:p>
            <w:pPr>
              <w:tabs>
                <w:tab w:val="left" w:pos="5740"/>
              </w:tabs>
              <w:spacing w:after="0" w:line="240"/>
              <w:ind w:firstLine="380"/>
            </w:pPr>
            <w:r>
              <w:rPr>
                <w:rFonts w:ascii="Calibri" w:cs="Calibri" w:eastAsia="Calibri" w:hAnsi="Calibri"/>
                <w:color w:val="FFFFFF"/>
                <w:sz w:val="2"/>
                <w:szCs w:val="2"/>
              </w:rPr>
              <w:t xml:space="preserve">/pmeng1/</w:t>
            </w:r>
            <w:r>
              <w:rPr>
                <w:rFonts w:ascii="Calibri" w:cs="Calibri" w:eastAsia="Calibri" w:hAnsi="Calibri"/>
                <w:sz w:val="21"/>
                <w:szCs w:val="21"/>
              </w:rPr>
              <w:t xml:space="preserve">New engagement — 12-month Initial Term applies (s. 2.1)	</w:t>
            </w:r>
            <w:r>
              <w:rPr>
                <w:rFonts w:ascii="Calibri" w:cs="Calibri" w:eastAsia="Calibri" w:hAnsi="Calibri"/>
                <w:color w:val="FFFFFF"/>
                <w:sz w:val="2"/>
                <w:szCs w:val="2"/>
              </w:rPr>
              <w:t xml:space="preserve">/pmeng2/</w:t>
            </w:r>
            <w:r>
              <w:rPr>
                <w:rFonts w:ascii="Calibri" w:cs="Calibri" w:eastAsia="Calibri" w:hAnsi="Calibri"/>
                <w:sz w:val="21"/>
                <w:szCs w:val="21"/>
              </w:rPr>
              <w:t xml:space="preserve">Re-signing an existing landlord (s. 2.10)</w:t>
            </w:r>
          </w:p>
        </w:tc>
      </w:tr>
      <w:tr>
        <w:trPr>
          <w:cantSplit/>
          <w:trHeight w:val="52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Managed Since }} </w:t>
            </w:r>
            <w:r>
              <w:rPr>
                <w:rFonts w:ascii="Calibri" w:cs="Calibri" w:eastAsia="Calibri" w:hAnsi="Calibri"/>
                <w:sz w:val="15"/>
                <w:szCs w:val="15"/>
              </w:rPr>
              <w:t xml:space="preserve">Complete only when re-signing. If 12 months or more, this Agreement runs month-to-month under s. 2.10.</w:t>
            </w:r>
          </w:p>
        </w:tc>
      </w:tr>
    </w:tbl>
    <w:p>
      <w:pPr>
        <w:keepNext/>
        <w:pBdr>
          <w:bottom w:val="single" w:color="BFC9D9" w:sz="4" w:space="2"/>
        </w:pBdr>
        <w:spacing w:after="120" w:before="26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/pmlis/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Corporation Name }}</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Corporation Number }}</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Address for Notices }}</w:t>
            </w:r>
          </w:p>
        </w:tc>
      </w:tr>
    </w:tbl>
    <w:p>
      <w:pPr>
        <w:spacing w:after="100" w:before="24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/pmo6t/</w:t>
            </w:r>
            <w:r>
              <w:rPr>
                <w:rFonts w:ascii="Calibri" w:cs="Calibri" w:eastAsia="Calibri" w:hAnsi="Calibri"/>
                <w:sz w:val="21"/>
                <w:szCs w:val="21"/>
              </w:rPr>
              <w:t xml:space="preserve">{{ Phone Number }}</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/pmo6e/</w:t>
            </w:r>
          </w:p>
        </w:tc>
      </w:tr>
    </w:tbl>
    <w:p>
      <w:pPr>
        <w:spacing w:after="80" w:before="24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/pmsn/</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/pmsc/</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/pmst/</w:t>
            </w:r>
            <w:r>
              <w:rPr>
                <w:rFonts w:ascii="Calibri" w:cs="Calibri" w:eastAsia="Calibri" w:hAnsi="Calibri"/>
                <w:sz w:val="21"/>
                <w:szCs w:val="21"/>
              </w:rPr>
              <w:t xml:space="preserve">{{ Phone Number }}</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/pmse/</w:t>
            </w:r>
          </w:p>
        </w:tc>
      </w:tr>
    </w:tbl>
    <w:p>
      <w:r>
        <w:br w:type="page"/>
      </w: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IRep Address }}</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32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Property Address }}</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City and Postal Code }}</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/pmptype/</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/pmunits/</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/pmleases/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 Execution Date }}</w:t>
            </w:r>
          </w:p>
        </w:tc>
      </w:tr>
    </w:tbl>
    <w:p>
      <w:pPr>
        <w:keepNext/>
        <w:spacing w:after="120" w:before="24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Subject to sections 2.10 and 2.11,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sz w:val="21"/>
          <w:szCs w:val="21"/>
        </w:rPr>
        <w:t xml:space="preserve">At the end of the Initial Term this Agreement continues automatically on a month-to-month basis on the same terms until terminated in accordance with this section.</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or at any time where section 2.10(b) applies,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Existing landlords.</w:t>
      </w:r>
      <w:r>
        <w:rPr>
          <w:rFonts w:ascii="Calibri" w:cs="Calibri" w:eastAsia="Calibri" w:hAnsi="Calibri"/>
          <w:sz w:val="21"/>
          <w:szCs w:val="21"/>
        </w:rPr>
        <w:t xml:space="preserve"> Where the Manager has managed the Property under an earlier agreement, the Engagement Type block on page 1 shows which of the following applies: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b/>
          <w:bCs/>
          <w:sz w:val="21"/>
          <w:szCs w:val="21"/>
        </w:rPr>
        <w:t xml:space="preserve">New engagement:</w:t>
      </w:r>
      <w:r>
        <w:rPr>
          <w:rFonts w:ascii="Calibri" w:cs="Calibri" w:eastAsia="Calibri" w:hAnsi="Calibri"/>
          <w:sz w:val="21"/>
          <w:szCs w:val="21"/>
        </w:rPr>
        <w:t xml:space="preserve"> this Agreement is treated as a new engagement from the Effective Date. The Initial Term, the first-year discount under section 5.7 and the early termination charge under section 2.8 apply as for a new client, despite the earlier management, and section 2.11 does not apply.</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b/>
          <w:bCs/>
          <w:sz w:val="21"/>
          <w:szCs w:val="21"/>
        </w:rPr>
        <w:t xml:space="preserve">Re-signing, where the Manager has managed the Property continuously for twelve (12) months or more as at the Effective Date:</w:t>
      </w:r>
      <w:r>
        <w:rPr>
          <w:rFonts w:ascii="Calibri" w:cs="Calibri" w:eastAsia="Calibri" w:hAnsi="Calibri"/>
          <w:sz w:val="21"/>
          <w:szCs w:val="21"/>
        </w:rPr>
        <w:t xml:space="preserve"> no new Initial Term applies. This Agreement runs month to month from the Effective Date, the Landlord may end it on sixty (60) days’ written notice under section 2.3, and no early termination charge under section 2.8 is payable. Optional services already provided for twelve (12) months or more likewise continue month to month; an optional service newly added on or after the Effective Date carries its own minimum term under section 6.2.</w:t>
      </w:r>
    </w:p>
    <w:p>
      <w:pPr>
        <w:spacing w:after="100" w:line="252"/>
        <w:ind w:left="720"/>
      </w:pPr>
      <w:r>
        <w:rPr>
          <w:rFonts w:ascii="Calibri" w:cs="Calibri" w:eastAsia="Calibri" w:hAnsi="Calibri"/>
          <w:sz w:val="21"/>
          <w:szCs w:val="21"/>
        </w:rPr>
        <w:t xml:space="preserve">In either case, this Agreement replaces the earlier agreement from the Effective Date. Amounts owing under the earlier agreement remain payable.</w:t>
      </w:r>
    </w:p>
    <w:p>
      <w:pPr>
        <w:tabs>
          <w:tab w:val="left" w:pos="720"/>
        </w:tabs>
        <w:spacing w:after="100" w:line="252"/>
        <w:ind w:left="720" w:hanging="720"/>
      </w:pPr>
      <w:r>
        <w:rPr>
          <w:rFonts w:ascii="Calibri" w:cs="Calibri" w:eastAsia="Calibri" w:hAnsi="Calibri"/>
          <w:b/>
          <w:bCs/>
          <w:sz w:val="21"/>
          <w:szCs w:val="21"/>
        </w:rPr>
        <w:t xml:space="preserve">2.11</w:t>
      </w:r>
      <w:r>
        <w:rPr>
          <w:rFonts w:ascii="Calibri" w:cs="Calibri" w:eastAsia="Calibri" w:hAnsi="Calibri"/>
          <w:sz w:val="21"/>
          <w:szCs w:val="21"/>
        </w:rPr>
        <w:t xml:space="preserve">	</w:t>
      </w:r>
      <w:r>
        <w:rPr>
          <w:rFonts w:ascii="Calibri" w:cs="Calibri" w:eastAsia="Calibri" w:hAnsi="Calibri"/>
          <w:b/>
          <w:bCs/>
          <w:sz w:val="21"/>
          <w:szCs w:val="21"/>
        </w:rPr>
        <w:t xml:space="preserve">Re-signing a landlord managed for less than twelve months.</w:t>
      </w:r>
      <w:r>
        <w:rPr>
          <w:rFonts w:ascii="Calibri" w:cs="Calibri" w:eastAsia="Calibri" w:hAnsi="Calibri"/>
          <w:sz w:val="21"/>
          <w:szCs w:val="21"/>
        </w:rPr>
        <w:t xml:space="preserve"> Where page 1 shows a re-signing and the Manager has managed the Property for less than twelve (12) months as at the Effective Date, the Initial Term ends twelve (12) months after the date shown as “Managed since” on page 1, and not twelve months after the Effective Date. Signing this Agreement does not restart or extend the original twelve-month commitment.</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First-year discount (if applicable).</w:t>
      </w:r>
      <w:r>
        <w:rPr>
          <w:rFonts w:ascii="Calibri" w:cs="Calibri" w:eastAsia="Calibri" w:hAnsi="Calibri"/>
          <w:sz w:val="21"/>
          <w:szCs w:val="21"/>
        </w:rPr>
        <w:t xml:space="preserve"> A total discount of {{ Annual Discount.value }} {{ Annual Discount.currencyCode }} is granted, applied as {{ Monthly Discount.value }} {{ Monthly Discount.currencyCode }} per month for the twelve (12) months following the Effective Date. This includes an existing landlord moved to this Agreement as a new engagement under section 2.10(a). The discount ends automatically after those twelve months without further notice, does not apply to Schedule A optional service fees,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 Response Time (Maintenance) }}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/pmcap1/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/pmttl2/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Additional Lease Cost.value }} {{ Additional Lease Cost.currencyCode }}</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Lawn/Snow Cost.value }} {{ Lawn/Snow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Security Cost.value }} {{ Security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Appliance Cost.value }} {{ Appliance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Plumbing Cost.value }} {{ Plumbing Cost.currencyCode }}</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Cleaning Cost.value }} {{ Cleaning Cost.currencyCode }}</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Total Management Cost.value }} {{ Total Management Cost.currencyCode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Additional Services Cost.value }} {{ Additional Services Cost.currencyCode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first-year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Monthly Discount.value }} {{ Monthly Discount.currencyCode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Subtotal Fee.value }} {{ Subtotal Fee.currencyCode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Fee HST.value }} {{ Fee HST.currencyCode }}</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 Total Fee Monthly.value }} {{ Total Fee Monthly.currencyCode }}</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/pmL12c5/</w:t>
            </w: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2026-10-19T04:56:38.211Z</dcterms:created>
  <dcterms:modified xsi:type="dcterms:W3CDTF">2026-10-19T04:56:38.217Z</dcterms:modified>
</cp:coreProperties>
</file>

<file path=docProps/custom.xml><?xml version="1.0" encoding="utf-8"?>
<Properties xmlns="http://schemas.openxmlformats.org/officeDocument/2006/custom-properties" xmlns:vt="http://schemas.openxmlformats.org/officeDocument/2006/docPropsVTypes"/>
</file>