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TTituloDocumento"/>
      </w:pPr>
      <w:r>
        <w:t xml:space="preserve">ACORDO INDIVIDUAL DE BANCO DE HORAS</w:t>
      </w:r>
    </w:p>
    <w:p>
      <w:pPr>
        <w:pStyle w:val="CTPreambulo"/>
      </w:pPr>
    </w:p>
    <w:p>
      <w:pPr>
        <w:pStyle w:val="CTPreambulo"/>
      </w:pPr>
      <w:r>
        <w:t xml:space="preserve">Contrato celebrado entre a pessoa jurídica de direito privado {{integration.employer_name}}, portadora do CNPJ n˚ {{integration.employer_cnpj}}, com sede no {{integration.employer_address}}, doravante designada como EMPREGADORA, e {{employee.name}}, portador(a) da CTPS n˚ {{employee.ctps_number}} e série n˚ {{employee.ctps_series}}, doravante designado(a) como EMPREGADO(A), de acordo com as condições a seguir especificadas.</w:t>
      </w:r>
    </w:p>
    <w:p>
      <w:pPr>
        <w:pStyle w:val="CTClausulaN1"/>
      </w:pPr>
      <w:r>
        <w:t xml:space="preserve">A EMPREGADORA e o(a) EMPREGADO(A) concordam em estabelecer um regime de banco de horas, nos termos do artigo 59, §5º e §6º, da CLT, pelo qual o(a) EMPREGADO(A) poderá compensar as horas excedentes de trabalho realizadas em um determinado período com horas a serem trabalhadas em outro período, ou com a concessão de folgas, observadas as normas da convenção coletiva de trabalho aplicável à categoria, que prevalecerão naquilo que dispuserem sobre a matéria.</w:t>
      </w:r>
    </w:p>
    <w:p>
      <w:pPr>
        <w:pStyle w:val="CTClausulaN1"/>
      </w:pPr>
      <w:r>
        <w:t xml:space="preserve">O(A) EMPREGADO(A) concorda em prestar as horas excedentes em horário diurno ou noturno, em qualquer turno, observando as necessidades da empresa e os preceitos legais. A prorrogação da jornada observará o limite legal de 2 (duas) horas diárias, não podendo a jornada total exceder 10 (dez) horas por dia, nos termos do artigo 59, caput, da CLT. As horas excedentes prestadas em horário noturno serão acrescidas do adicional noturno e computadas com a hora noturna reduzida, nos termos do artigo 73 da CLT, sendo o adicional devido em pecúnia ainda que a hora venha a ser compensada.</w:t>
      </w:r>
    </w:p>
    <w:p>
      <w:pPr>
        <w:pStyle w:val="CTClausulaN1"/>
      </w:pPr>
      <w:r>
        <w:t xml:space="preserve">O presente acordo produz efeitos exclusivamente sobre as horas prestadas a partir do início de sua vigência, permanecendo as horas anteriores regidas pelas regras então aplicáveis.</w:t>
      </w:r>
    </w:p>
    <w:p>
      <w:pPr>
        <w:pStyle w:val="CTClausulaN1"/>
      </w:pPr>
      <w:r>
        <w:t xml:space="preserve">O acréscimo à jornada de um dia será compensado pela diminuição da jornada em outro dia de trabalho ou pela concessão de folga, no prazo máximo de 6 (seis) meses, contados da data da efetiva prestação das horas excedentes, nos termos do §5º do artigo 59 da CLT. Ao final de cada período de apuração, o saldo de horas não compensadas será liquidado na forma prevista neste Acordo para o saldo não compensado.</w:t>
      </w:r>
    </w:p>
    <w:p>
      <w:pPr>
        <w:pStyle w:val="CTClausulaN1"/>
      </w:pPr>
      <w:r>
        <w:t xml:space="preserve">O(A) EMPREGADO(A) poderá acumular até 60 (sessenta) horas no banco de horas, não podendo ultrapassar esse limite, salvo disposição em contrário em convenção ou acordo coletivo de trabalho. Atingido o limite, as horas excedentes serão pagas como horas extras, com o acréscimo legal ou convencional.</w:t>
      </w:r>
    </w:p>
    <w:p>
      <w:pPr>
        <w:pStyle w:val="CTCorpo"/>
      </w:pPr>
      <w:r>
        <w:t xml:space="preserve">As faltas e atrasos injustificados e as saídas antecipadas por iniciativa do(a) EMPREGADO(A) serão debitados para compensação no banco de horas. As horas negativas decorrentes de determinação da EMPREGADORA, tais como dispensa antecipada ou redução de jornada por conveniência da empresa, não serão debitadas do(a) EMPREGADO(A), correndo por conta e risco da atividade econômica, nos termos do artigo 2º da CLT.</w:t>
      </w:r>
    </w:p>
    <w:p>
      <w:pPr>
        <w:pStyle w:val="CTClausulaN1"/>
      </w:pPr>
      <w:r>
        <w:t xml:space="preserve">Não se computam para fins de compensação de jornada as horas trabalhadas nos feriados e nos domingos destinados ao descanso semanal remunerado, que serão remuneradas ou compensadas na forma da lei e da norma coletiva aplicável.</w:t>
      </w:r>
    </w:p>
    <w:p>
      <w:pPr>
        <w:pStyle w:val="CTClausulaN1"/>
      </w:pPr>
      <w:r>
        <w:t xml:space="preserve">Não ocorrendo a compensação das horas no prazo máximo de compensação previsto neste Acordo, elas serão remuneradas como horas extras, com o acréscimo legal ou convencional, o que for mais benéfico, e os reflexos devidos.</w:t>
      </w:r>
    </w:p>
    <w:p>
      <w:pPr>
        <w:pStyle w:val="CTClausulaN1"/>
      </w:pPr>
      <w:r>
        <w:t xml:space="preserve">Em caso de rescisão do contrato de trabalho, havendo saldo positivo no banco de horas, a EMPREGADORA quitará o saldo como horas extras, calculadas sobre o valor da remuneração da data da rescisão, nos termos do §3º do artigo 59 da CLT.</w:t>
      </w:r>
    </w:p>
    <w:p>
      <w:pPr>
        <w:pStyle w:val="CTClausulaN1"/>
      </w:pPr>
      <w:r>
        <w:t xml:space="preserve">Havendo saldo negativo na rescisão, serão descontadas das verbas rescisórias exclusivamente as horas negativas decorrentes de faltas, atrasos ou saídas antecipadas injustificadas do(a) EMPREGADO(A), nas hipóteses de saldo negativo atribuíveis ao empregado previstas neste Acordo. O saldo negativo decorrente de determinação da EMPREGADORA será por ela absorvido, sem qualquer desconto.</w:t>
      </w:r>
    </w:p>
    <w:p>
      <w:pPr>
        <w:pStyle w:val="CTClausulaN1"/>
      </w:pPr>
      <w:r>
        <w:t xml:space="preserve">A EMPREGADORA disponibilizará ao(à) EMPREGADO(A), mensalmente, demonstrativo do saldo do banco de horas, com os créditos e débitos do período, sendo assegurado ao(à) EMPREGADO(A) o direito de impugnar eventuais divergências no prazo de apuração seguinte.</w:t>
      </w:r>
    </w:p>
    <w:p>
      <w:pPr>
        <w:pStyle w:val="CTFecho"/>
      </w:pPr>
      <w:r>
        <w:t xml:space="preserve">E por estarem de pleno acordo, as partes contratantes assinam o presente ACORDO INDIVIDUAL DE BANCO DE HORAS em duas vias, ficando a primeira em poder da EMPREGADORA e a segunda com o(a) EMPREGADO(A), que dela dará o competente recibo.</w:t>
      </w:r>
    </w:p>
    <w:p>
      <w:pPr>
        <w:pStyle w:val="CTCorpo"/>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500"/>
      </w:tblGrid>
      <w:tr>
        <w:trPr>
          <w:trHeight w:val="1400" w:hRule="atLeast"/>
        </w:trPr>
        <w:tc>
          <w:tcPr>
            <w:tcW w:type="dxa" w:w="4500"/>
            <w:tcBorders>
              <w:top w:val="none" w:color="FFFFFF" w:sz="0"/>
              <w:left w:val="none" w:color="FFFFFF" w:sz="0"/>
              <w:bottom w:val="none" w:color="FFFFFF" w:sz="0"/>
              <w:right w:val="none" w:color="FFFFFF" w:sz="0"/>
            </w:tcBorders>
            <w:vAlign w:val="bottom"/>
          </w:tcPr>
          <w:p>
            <w:pPr>
              <w:pStyle w:val="CTCorpo"/>
            </w:pPr>
          </w:p>
          <w:p>
            <w:pPr>
              <w:pStyle w:val="CTAssinaturaLinha"/>
            </w:pPr>
            <w:r>
              <w:rPr>
                <w:rStyle w:val="CTAssinaturaNome"/>
              </w:rPr>
              <w:t xml:space="preserve">{{employee.name}}</w:t>
            </w:r>
          </w:p>
          <w:p>
            <w:pPr>
              <w:pStyle w:val="CTAssinatura"/>
            </w:pPr>
            <w:r>
              <w:rPr>
                <w:rStyle w:val="CTAssinaturaQualificacao"/>
              </w:rPr>
              <w:t xml:space="preserve">EMPREGADO(A)</w:t>
            </w:r>
          </w:p>
        </w:tc>
        <w:tc>
          <w:tcPr>
            <w:tcW w:type="dxa" w:w="500"/>
            <w:tcBorders>
              <w:top w:val="none" w:color="FFFFFF" w:sz="0"/>
              <w:left w:val="none" w:color="FFFFFF" w:sz="0"/>
              <w:bottom w:val="none" w:color="FFFFFF" w:sz="0"/>
              <w:right w:val="none" w:color="FFFFFF" w:sz="0"/>
            </w:tcBorders>
          </w:tcPr>
          <w:p>
            <w:pPr>
              <w:pStyle w:val="CTCorpo"/>
            </w:pPr>
          </w:p>
        </w:tc>
        <w:tc>
          <w:tcPr>
            <w:tcW w:type="dxa" w:w="4500"/>
            <w:tcBorders>
              <w:top w:val="none" w:color="FFFFFF" w:sz="0"/>
              <w:left w:val="none" w:color="FFFFFF" w:sz="0"/>
              <w:bottom w:val="none" w:color="FFFFFF" w:sz="0"/>
              <w:right w:val="none" w:color="FFFFFF" w:sz="0"/>
            </w:tcBorders>
            <w:vAlign w:val="bottom"/>
          </w:tcPr>
          <w:p>
            <w:pPr>
              <w:pStyle w:val="CTCorpo"/>
            </w:pPr>
          </w:p>
          <w:p>
            <w:pPr>
              <w:pStyle w:val="CTAssinaturaLinha"/>
            </w:pPr>
            <w:r>
              <w:rPr>
                <w:rStyle w:val="CTAssinaturaNome"/>
              </w:rPr>
              <w:t xml:space="preserve">{{integration.employer_name}}</w:t>
            </w:r>
          </w:p>
          <w:p>
            <w:pPr>
              <w:pStyle w:val="CTAssinatura"/>
            </w:pPr>
            <w:r>
              <w:rPr>
                <w:rStyle w:val="CTAssinaturaQualificacao"/>
              </w:rPr>
              <w:t xml:space="preserve">EMPREGADORA</w:t>
            </w:r>
          </w:p>
        </w:tc>
      </w:tr>
    </w:tbl>
    <w:sectPr>
      <w:headerReference w:type="default" r:id="rId7"/>
      <w:footerReference w:type="default" r:id="rId8"/>
      <w:pgSz w:w="11906" w:h="16838"/>
      <w:pgMar w:top="1417" w:right="1701" w:bottom="1417"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Style w:val="CTRodap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pStyle w:val="CTCabecalho"/>
    </w:pPr>
    <w:r>
      <w:rPr>
        <w:rStyle w:val="CTCabecalhoCaractere"/>
      </w:rPr>
      <w:t xml:space="preserve">Página </w:t>
    </w:r>
    <w:r>
      <w:rPr>
        <w:rStyle w:val="CTCabecalhoCaractere"/>
      </w:rPr>
      <w:fldChar w:fldCharType="begin"/>
      <w:instrText xml:space="preserve"> PAGE </w:instrText>
      <w:fldChar w:fldCharType="separate"/>
      <w:t>1</w:t>
      <w:fldChar w:fldCharType="end"/>
    </w:r>
    <w:r>
      <w:rPr>
        <w:rStyle w:val="CTCabecalhoCaractere"/>
      </w:rPr>
      <w:t xml:space="preserve"> de </w:t>
    </w:r>
    <w:r>
      <w:rPr>
        <w:rStyle w:val="CTCabecalhoCaractere"/>
      </w:rPr>
      <w:fldChar w:fldCharType="begin"/>
      <w:instrText xml:space="preserve"> NUMPAGES </w:instrText>
      <w:fldChar w:fldCharType="separate"/>
      <w:t>1</w:t>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abstractNum w:abstractNumId="90">
    <w:multiLevelType w:val="multilevel"/>
    <w:lvl w:ilvl="0">
      <w:start w:val="1"/>
      <w:numFmt w:val="decimal"/>
      <w:pStyle w:val="CTClausulaN1"/>
      <w:lvlText w:val="%1."/>
      <w:lvlJc w:val="left"/>
      <w:pPr>
        <w:ind w:left="425" w:hanging="425"/>
      </w:pPr>
      <w:rPr>
        <w:rFonts w:ascii="Cambria" w:hAnsi="Cambria" w:eastAsia="Cambria" w:cs="Cambria"/>
        <w:b/>
        <w:bCs/>
        <w:sz w:val="22"/>
        <w:szCs w:val="22"/>
      </w:rPr>
    </w:lvl>
    <w:lvl w:ilvl="1">
      <w:start w:val="1"/>
      <w:numFmt w:val="decimal"/>
      <w:pStyle w:val="CTClausulaN2"/>
      <w:lvlText w:val="%1.%2."/>
      <w:lvlJc w:val="left"/>
      <w:pPr>
        <w:ind w:left="992" w:hanging="567"/>
      </w:pPr>
      <w:rPr>
        <w:rFonts w:ascii="Cambria" w:hAnsi="Cambria" w:eastAsia="Cambria" w:cs="Cambria"/>
        <w:b/>
        <w:bCs/>
        <w:sz w:val="22"/>
        <w:szCs w:val="22"/>
      </w:rPr>
    </w:lvl>
  </w:abstractNum>
  <w:num w:numId="90">
    <w:abstractNumId w:val="9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autoHyphenation w:val="true"/>
  <w:hyphenationZone w:val="357"/>
  <w:doNotHyphenateCap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CTCorpo">
    <w:name w:val="CT Corpo"/>
    <w:basedOn w:val="Normal"/>
    <w:next w:val="CTCorpo"/>
    <w:qFormat/>
    <w:pPr>
      <w:widowControl/>
      <w:spacing w:before="0" w:after="200" w:line="276" w:lineRule="auto"/>
      <w:jc w:val="both"/>
    </w:pPr>
    <w:rPr>
      <w:rFonts w:ascii="Cambria" w:hAnsi="Cambria" w:eastAsia="Cambria" w:cs="Cambria"/>
      <w:sz w:val="22"/>
      <w:szCs w:val="22"/>
    </w:rPr>
  </w:style>
  <w:style w:type="paragraph" w:customStyle="1" w:styleId="CTTituloDocumento">
    <w:name w:val="CT Título do documento"/>
    <w:basedOn w:val="CTCorpo"/>
    <w:next w:val="CTPreambulo"/>
    <w:qFormat/>
    <w:pPr>
      <w:keepNext/>
      <w:keepLines/>
      <w:spacing w:before="0" w:after="360" w:line="276" w:lineRule="auto"/>
      <w:jc w:val="center"/>
      <w:pBdr>
        <w:bottom w:val="single" w:sz="4" w:space="10" w:color="999999"/>
      </w:pBdr>
    </w:pPr>
    <w:rPr>
      <w:b/>
      <w:bCs/>
      <w:caps/>
      <w:sz w:val="28"/>
      <w:szCs w:val="28"/>
    </w:rPr>
  </w:style>
  <w:style w:type="paragraph" w:customStyle="1" w:styleId="CTSecao">
    <w:name w:val="CT Seção"/>
    <w:basedOn w:val="CTCorpo"/>
    <w:next w:val="CTClausulaN1"/>
    <w:qFormat/>
    <w:pPr>
      <w:keepNext/>
      <w:keepLines/>
      <w:spacing w:before="280" w:after="120" w:line="276" w:lineRule="auto"/>
      <w:jc w:val="left"/>
    </w:pPr>
    <w:rPr>
      <w:b/>
      <w:bCs/>
      <w:caps/>
    </w:rPr>
  </w:style>
  <w:style w:type="paragraph" w:customStyle="1" w:styleId="CTClausulaN1">
    <w:name w:val="CT Cláusula nível 1"/>
    <w:basedOn w:val="CTCorpo"/>
    <w:next w:val="CTClausulaN1"/>
    <w:qFormat/>
    <w:pPr>
      <w:keepLines/>
      <w:spacing w:before="0" w:after="200" w:line="276" w:lineRule="auto"/>
      <w:numPr>
        <w:ilvl w:val="0"/>
        <w:numId w:val="90"/>
      </w:numPr>
    </w:pPr>
  </w:style>
  <w:style w:type="paragraph" w:customStyle="1" w:styleId="CTClausulaN2">
    <w:name w:val="CT Cláusula nível 2"/>
    <w:basedOn w:val="CTCorpo"/>
    <w:next w:val="CTClausulaN2"/>
    <w:qFormat/>
    <w:pPr>
      <w:keepLines/>
      <w:spacing w:before="0" w:after="120" w:line="276" w:lineRule="auto"/>
      <w:numPr>
        <w:ilvl w:val="1"/>
        <w:numId w:val="90"/>
      </w:numPr>
    </w:pPr>
  </w:style>
  <w:style w:type="paragraph" w:customStyle="1" w:styleId="CTPreambulo">
    <w:name w:val="CT Preâmbulo"/>
    <w:basedOn w:val="CTCorpo"/>
    <w:next w:val="CTCorpo"/>
    <w:qFormat/>
    <w:pPr>
      <w:spacing w:before="0" w:after="200" w:line="276" w:lineRule="auto"/>
    </w:pPr>
  </w:style>
  <w:style w:type="paragraph" w:customStyle="1" w:styleId="CTFecho">
    <w:name w:val="CT Fecho"/>
    <w:basedOn w:val="CTCorpo"/>
    <w:next w:val="CTAssinatura"/>
    <w:qFormat/>
    <w:pPr>
      <w:spacing w:before="0" w:after="200" w:line="276" w:lineRule="auto"/>
    </w:pPr>
  </w:style>
  <w:style w:type="paragraph" w:customStyle="1" w:styleId="CTAssinatura">
    <w:name w:val="CT Assinatura"/>
    <w:basedOn w:val="CTCorpo"/>
    <w:next w:val="CTAssinatura"/>
    <w:qFormat/>
    <w:pPr>
      <w:keepNext/>
      <w:keepLines/>
      <w:spacing w:before="0" w:after="0" w:line="240" w:lineRule="auto"/>
      <w:jc w:val="center"/>
    </w:pPr>
    <w:rPr>
      <w:sz w:val="20"/>
      <w:szCs w:val="20"/>
    </w:rPr>
  </w:style>
  <w:style w:type="paragraph" w:customStyle="1" w:styleId="CTCabecalho">
    <w:name w:val="CT Cabeçalho"/>
    <w:basedOn w:val="Normal"/>
    <w:next w:val="CTCabecalho"/>
    <w:qFormat/>
    <w:pPr>
      <w:spacing w:before="0" w:after="0"/>
      <w:jc w:val="right"/>
    </w:pPr>
    <w:rPr>
      <w:rFonts w:ascii="Cambria" w:hAnsi="Cambria" w:eastAsia="Cambria" w:cs="Cambria"/>
      <w:sz w:val="18"/>
      <w:szCs w:val="18"/>
    </w:rPr>
  </w:style>
  <w:style w:type="paragraph" w:customStyle="1" w:styleId="CTRodape">
    <w:name w:val="CT Rodapé"/>
    <w:basedOn w:val="Normal"/>
    <w:next w:val="CTRodape"/>
    <w:qFormat/>
    <w:pPr>
      <w:spacing w:before="0" w:after="0"/>
      <w:jc w:val="left"/>
    </w:pPr>
    <w:rPr>
      <w:rFonts w:ascii="Cambria" w:hAnsi="Cambria" w:eastAsia="Cambria" w:cs="Cambria"/>
      <w:sz w:val="18"/>
      <w:szCs w:val="18"/>
    </w:rPr>
  </w:style>
  <w:style w:type="paragraph" w:customStyle="1" w:styleId="CTMarcaPrevia">
    <w:name w:val="CT Marca de prévia"/>
    <w:basedOn w:val="Normal"/>
    <w:next w:val="CTMarcaPrevia"/>
    <w:qFormat/>
    <w:pPr>
      <w:spacing w:before="0" w:after="0"/>
      <w:jc w:val="center"/>
    </w:pPr>
    <w:rPr>
      <w:rFonts w:ascii="Cambria" w:hAnsi="Cambria" w:eastAsia="Cambria" w:cs="Cambria"/>
      <w:b/>
      <w:bCs/>
      <w:caps/>
      <w:sz w:val="18"/>
      <w:szCs w:val="18"/>
    </w:rPr>
  </w:style>
  <w:style w:type="character" w:customStyle="1" w:styleId="CTCabecalhoCaractere">
    <w:name w:val="CT Cabeçalho caractere"/>
    <w:basedOn w:val="DefaultParagraphFont"/>
    <w:rPr>
      <w:rFonts w:ascii="Cambria" w:hAnsi="Cambria" w:eastAsia="Cambria" w:cs="Cambria"/>
      <w:sz w:val="18"/>
      <w:szCs w:val="18"/>
    </w:rPr>
  </w:style>
  <w:style w:type="paragraph" w:customStyle="1" w:styleId="CTAssinaturaLinha">
    <w:name w:val="CT Linha de assinatura"/>
    <w:basedOn w:val="CTAssinatura"/>
    <w:next w:val="CTAssinatura"/>
    <w:pPr>
      <w:keepNext/>
      <w:keepLines/>
      <w:pBdr>
        <w:top w:val="single" w:sz="6" w:space="5" w:color="333333"/>
      </w:pBdr>
    </w:pPr>
  </w:style>
  <w:style w:type="character" w:customStyle="1" w:styleId="CTAssinaturaNome">
    <w:name w:val="CT Nome da assinatura"/>
    <w:basedOn w:val="DefaultParagraphFont"/>
    <w:rPr>
      <w:rFonts w:ascii="Cambria" w:hAnsi="Cambria" w:eastAsia="Cambria" w:cs="Cambria"/>
      <w:b/>
      <w:bCs/>
      <w:sz w:val="20"/>
      <w:szCs w:val="20"/>
    </w:rPr>
  </w:style>
  <w:style w:type="character" w:customStyle="1" w:styleId="CTAssinaturaQualificacao">
    <w:name w:val="CT Qualificação da assinatura"/>
    <w:basedOn w:val="DefaultParagraphFont"/>
    <w:rPr>
      <w:rFonts w:ascii="Cambria" w:hAnsi="Cambria" w:eastAsia="Cambria" w:cs="Cambri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Acordo Individual de Banco de Horas</dc:title>
  <dc:creator>CT Sorvetes Ltda</dc:creator>
  <cp:lastModifiedBy>Un-named</cp:lastModifiedBy>
  <cp:revision>1</cp:revision>
  <dcterms:created xsi:type="dcterms:W3CDTF">2026-07-20T18:19:03.470Z</dcterms:created>
  <dcterms:modified xsi:type="dcterms:W3CDTF">2026-07-20T18:19:03.470Z</dcterms:modified>
</cp:coreProperties>
</file>

<file path=docProps/custom.xml><?xml version="1.0" encoding="utf-8"?>
<Properties xmlns="http://schemas.openxmlformats.org/officeDocument/2006/custom-properties" xmlns:vt="http://schemas.openxmlformats.org/officeDocument/2006/docPropsVTypes"/>
</file>