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TTituloDocumento"/>
      </w:pPr>
      <w:r>
        <w:t xml:space="preserve">REGULAMENTO DE METAS E PRÊMIOS POR DESEMPENHO</w:t>
      </w:r>
    </w:p>
    <w:p>
      <w:pPr>
        <w:pStyle w:val="CTPreambulo"/>
      </w:pPr>
    </w:p>
    <w:p>
      <w:pPr>
        <w:pStyle w:val="CTPreambulo"/>
      </w:pPr>
      <w:r>
        <w:t xml:space="preserve">Contrato celebrado entre a pessoa jurídica de direito privado {{integration.employer_name}}, portadora do CNPJ n˚ {{integration.employer_cnpj}}, com sede no {{integration.employer_address}}, doravante designada como EMPREGADORA, e {{employee.name}}, portador(a) da CTPS n˚ {{employee.ctps_number}} e série n˚ {{employee.ctps_series}}, doravante designado(a) como EMPREGADO(A), de acordo com as condições a seguir especificadas.</w:t>
      </w:r>
    </w:p>
    <w:p>
      <w:pPr>
        <w:pStyle w:val="CTClausulaN1"/>
      </w:pPr>
      <w:r>
        <w:t xml:space="preserve">Definição e Finalidade</w:t>
      </w:r>
    </w:p>
    <w:p>
      <w:pPr>
        <w:pStyle w:val="CTCorpo"/>
      </w:pPr>
      <w:r>
        <w:t xml:space="preserve">A EMPREGADORA poderá, a seu critério, estabelecer metas de desempenho para seus colaboradores ou unidades operacionais. Tais metas têm como finalidade incentivar o desempenho individual ou coletivo, promover o alcance de resultados e reconhecer o empenho dos envolvidos, mediante a concessão de prêmios, assim entendidas as liberalidades concedidas em razão de desempenho superior ao ordinariamente esperado no exercício das atividades, nos termos do §4º do artigo 457 da CLT.</w:t>
      </w:r>
    </w:p>
    <w:p>
      <w:pPr>
        <w:pStyle w:val="CTClausulaN1"/>
      </w:pPr>
      <w:r>
        <w:t xml:space="preserve">Competência para Estipulação e Transparência</w:t>
      </w:r>
    </w:p>
    <w:p>
      <w:pPr>
        <w:pStyle w:val="CTCorpo"/>
      </w:pPr>
      <w:r>
        <w:t xml:space="preserve">A definição das metas, bem como o valor e a forma de cálculo dos prêmios correspondentes, são de competência exclusiva da EMPREGADORA, podendo ser fixadas de forma individual, setorial ou geral, conforme estratégia interna e avaliação de desempenho. As metas, os critérios de apuração e os valores ou percentuais dos prêmios serão comunicados por escrito ou por meio dos sistemas internos da EMPREGADORA antes do início de cada período de apuração.</w:t>
      </w:r>
    </w:p>
    <w:p>
      <w:pPr>
        <w:pStyle w:val="CTClausulaN1"/>
      </w:pPr>
      <w:r>
        <w:t xml:space="preserve">Flexibilidade e Alterações</w:t>
      </w:r>
    </w:p>
    <w:p>
      <w:pPr>
        <w:pStyle w:val="CTCorpo"/>
      </w:pPr>
      <w:r>
        <w:t xml:space="preserve">A EMPREGADORA reserva-se o direito de alterar as metas estipuladas e os critérios de concessão dos prêmios — seja para mais ou para menos —, de forma total ou parcial. As alterações produzirão efeitos exclusivamente para os períodos de apuração futuros, preservando-se os prêmios correspondentes a metas já cumpridas e a períodos de apuração já encerrados.</w:t>
      </w:r>
    </w:p>
    <w:p>
      <w:pPr>
        <w:pStyle w:val="CTCorpo"/>
      </w:pPr>
      <w:r>
        <w:t xml:space="preserve">Essas alterações poderão incluir, entre outros fatores:</w:t>
      </w:r>
    </w:p>
    <w:p>
      <w:pPr>
        <w:pStyle w:val="CTCorpo"/>
        <w:numPr>
          <w:ilvl w:val="0"/>
          <w:numId w:val="1"/>
        </w:numPr>
      </w:pPr>
      <w:r>
        <w:t xml:space="preserve">Reajustes nas faixas de faturamento ou vendas;</w:t>
      </w:r>
    </w:p>
    <w:p>
      <w:pPr>
        <w:pStyle w:val="CTCorpo"/>
        <w:numPr>
          <w:ilvl w:val="0"/>
          <w:numId w:val="1"/>
        </w:numPr>
      </w:pPr>
      <w:r>
        <w:t xml:space="preserve">Mudança nos percentuais ou valores dos prêmios;</w:t>
      </w:r>
    </w:p>
    <w:p>
      <w:pPr>
        <w:pStyle w:val="CTCorpo"/>
        <w:numPr>
          <w:ilvl w:val="0"/>
          <w:numId w:val="1"/>
        </w:numPr>
      </w:pPr>
      <w:r>
        <w:t xml:space="preserve">Estabelecimento de novos requisitos, como assiduidade, pontualidade, desempenho individual, qualidade no atendimento ou cumprimento de procedimentos internos.</w:t>
      </w:r>
    </w:p>
    <w:p>
      <w:pPr>
        <w:pStyle w:val="CTClausulaN1"/>
      </w:pPr>
      <w:r>
        <w:t xml:space="preserve">Condições para Concessão</w:t>
      </w:r>
    </w:p>
    <w:p>
      <w:pPr>
        <w:pStyle w:val="CTCorpo"/>
      </w:pPr>
      <w:r>
        <w:t xml:space="preserve">A concessão dos prêmios estará sempre condicionada:</w:t>
      </w:r>
    </w:p>
    <w:p>
      <w:pPr>
        <w:pStyle w:val="CTCorpo"/>
        <w:numPr>
          <w:ilvl w:val="0"/>
          <w:numId w:val="1"/>
        </w:numPr>
      </w:pPr>
      <w:r>
        <w:t xml:space="preserve">Ao cumprimento integral da meta estipulada para o respectivo período de apuração;</w:t>
      </w:r>
    </w:p>
    <w:p>
      <w:pPr>
        <w:pStyle w:val="CTCorpo"/>
        <w:numPr>
          <w:ilvl w:val="0"/>
          <w:numId w:val="1"/>
        </w:numPr>
      </w:pPr>
      <w:r>
        <w:t xml:space="preserve">À regularidade no desempenho das atividades;</w:t>
      </w:r>
    </w:p>
    <w:p>
      <w:pPr>
        <w:pStyle w:val="CTCorpo"/>
        <w:numPr>
          <w:ilvl w:val="0"/>
          <w:numId w:val="1"/>
        </w:numPr>
      </w:pPr>
      <w:r>
        <w:t xml:space="preserve">À inexistência de advertências ou suspensões disciplinares aplicadas no período de apuração;</w:t>
      </w:r>
    </w:p>
    <w:p>
      <w:pPr>
        <w:pStyle w:val="CTCorpo"/>
        <w:numPr>
          <w:ilvl w:val="0"/>
          <w:numId w:val="1"/>
        </w:numPr>
      </w:pPr>
      <w:r>
        <w:t xml:space="preserve">Ao respeito às regras e diretrizes operacionais definidas pela EMPREGADORA.</w:t>
      </w:r>
    </w:p>
    <w:p>
      <w:pPr>
        <w:pStyle w:val="CTClausulaN1"/>
      </w:pPr>
      <w:r>
        <w:t xml:space="preserve">Apuração e Pagamento</w:t>
      </w:r>
    </w:p>
    <w:p>
      <w:pPr>
        <w:pStyle w:val="CTCorpo"/>
      </w:pPr>
      <w:r>
        <w:t xml:space="preserve">A apuração do cumprimento das metas será realizada ao final de cada período definido na comunicação prévia prevista neste Regulamento, e o prêmio, quando devido, será pago juntamente com a folha de pagamento subsequente ao encerramento da apuração.</w:t>
      </w:r>
    </w:p>
    <w:p>
      <w:pPr>
        <w:pStyle w:val="CTClausulaN1"/>
      </w:pPr>
      <w:r>
        <w:t xml:space="preserve">Natureza Jurídica do Prêmio</w:t>
      </w:r>
    </w:p>
    <w:p>
      <w:pPr>
        <w:pStyle w:val="CTCorpo"/>
      </w:pPr>
      <w:r>
        <w:t xml:space="preserve">Os prêmios concedidos nos termos deste Regulamento constituem liberalidade da EMPREGADORA em razão de desempenho superior ao ordinariamente esperado e, nos termos dos §§2º e 4º do artigo 457 da CLT, ainda que pagos com habitualidade, não integram a remuneração do EMPREGADO(A), não se incorporam ao contrato de trabalho e não constituem base de incidência de encargos trabalhistas e previdenciários. A concessão de prêmio em determinado período não gera direito adquirido à sua concessão em períodos futuros, cujas metas e critérios poderão ser redefinidos pelas regras de alteração deste Regulamento.</w:t>
      </w:r>
    </w:p>
    <w:p>
      <w:pPr>
        <w:pStyle w:val="CTCorpo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"/>
        <w:gridCol w:w="4500"/>
      </w:tblGrid>
      <w:tr>
        <w:trPr>
          <w:trHeight w:val="140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Style w:val="CTCorpo"/>
            </w:pPr>
          </w:p>
          <w:p>
            <w:pPr>
              <w:pStyle w:val="CTAssinaturaLinha"/>
            </w:pPr>
            <w:r>
              <w:rPr>
                <w:rStyle w:val="CTAssinaturaNome"/>
              </w:rPr>
              <w:t xml:space="preserve">{{employee.name}}</w:t>
            </w:r>
          </w:p>
          <w:p>
            <w:pPr>
              <w:pStyle w:val="CTAssinatura"/>
            </w:pPr>
            <w:r>
              <w:rPr>
                <w:rStyle w:val="CTAssinaturaQualificacao"/>
              </w:rPr>
              <w:t xml:space="preserve">EMPREGADO(A)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CTCorpo"/>
            </w:pP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Style w:val="CTCorpo"/>
            </w:pPr>
          </w:p>
          <w:p>
            <w:pPr>
              <w:pStyle w:val="CTAssinaturaLinha"/>
            </w:pPr>
            <w:r>
              <w:rPr>
                <w:rStyle w:val="CTAssinaturaNome"/>
              </w:rPr>
              <w:t xml:space="preserve">{{integration.employer_name}}</w:t>
            </w:r>
          </w:p>
          <w:p>
            <w:pPr>
              <w:pStyle w:val="CTAssinatura"/>
            </w:pPr>
            <w:r>
              <w:rPr>
                <w:rStyle w:val="CTAssinaturaQualificacao"/>
              </w:rPr>
              <w:t xml:space="preserve">EMPREGADORA</w:t>
            </w:r>
          </w:p>
        </w:tc>
      </w:tr>
    </w:tbl>
    <w:sectPr>
      <w:headerReference w:type="default" r:id="rId7"/>
      <w:footerReference w:type="default" r:id="rId8"/>
      <w:pgSz w:w="11906" w:h="16838"/>
      <w:pgMar w:top="1417" w:right="1701" w:bottom="1417" w:left="1701" w:header="709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pStyle w:val="CTRodap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pStyle w:val="CTCabecalho"/>
    </w:pPr>
    <w:r>
      <w:rPr>
        <w:rStyle w:val="CTCabecalhoCaractere"/>
      </w:rPr>
      <w:t xml:space="preserve">Página </w:t>
    </w:r>
    <w:r>
      <w:rPr>
        <w:rStyle w:val="CTCabecalhoCaractere"/>
      </w:rPr>
      <w:fldChar w:fldCharType="begin"/>
      <w:instrText xml:space="preserve"> PAGE </w:instrText>
      <w:fldChar w:fldCharType="separate"/>
      <w:t>1</w:t>
      <w:fldChar w:fldCharType="end"/>
    </w:r>
    <w:r>
      <w:rPr>
        <w:rStyle w:val="CTCabecalhoCaractere"/>
      </w:rPr>
      <w:t xml:space="preserve"> de </w:t>
    </w:r>
    <w:r>
      <w:rPr>
        <w:rStyle w:val="CTCabecalhoCaractere"/>
      </w:rPr>
      <w:fldChar w:fldCharType="begin"/>
      <w:instrText xml:space="preserve"> NUMPAGES 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abstractNum w:abstractNumId="90">
    <w:multiLevelType w:val="multilevel"/>
    <w:lvl w:ilvl="0">
      <w:start w:val="1"/>
      <w:numFmt w:val="decimal"/>
      <w:pStyle w:val="CTClausulaN1"/>
      <w:lvlText w:val="%1."/>
      <w:lvlJc w:val="left"/>
      <w:pPr>
        <w:ind w:left="425" w:hanging="425"/>
      </w:pPr>
      <w:rPr>
        <w:rFonts w:ascii="Cambria" w:hAnsi="Cambria" w:eastAsia="Cambria" w:cs="Cambria"/>
        <w:b/>
        <w:bCs/>
        <w:sz w:val="22"/>
        <w:szCs w:val="22"/>
      </w:rPr>
    </w:lvl>
    <w:lvl w:ilvl="1">
      <w:start w:val="1"/>
      <w:numFmt w:val="decimal"/>
      <w:pStyle w:val="CTClausulaN2"/>
      <w:lvlText w:val="%1.%2."/>
      <w:lvlJc w:val="left"/>
      <w:pPr>
        <w:ind w:left="992" w:hanging="567"/>
      </w:pPr>
      <w:rPr>
        <w:rFonts w:ascii="Cambria" w:hAnsi="Cambria" w:eastAsia="Cambria" w:cs="Cambria"/>
        <w:b/>
        <w:bCs/>
        <w:sz w:val="22"/>
        <w:szCs w:val="22"/>
      </w:rPr>
    </w:lvl>
  </w:abstractNum>
  <w:num w:numId="90">
    <w:abstractNumId w:val="9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autoHyphenation w:val="true"/>
  <w:hyphenationZone w:val="357"/>
  <w:doNotHyphenateCaps w:val="true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CTCorpo">
    <w:name w:val="CT Corpo"/>
    <w:basedOn w:val="Normal"/>
    <w:next w:val="CTCorpo"/>
    <w:qFormat/>
    <w:pPr>
      <w:widowControl/>
      <w:spacing w:before="0" w:after="200" w:line="276" w:lineRule="auto"/>
      <w:jc w:val="both"/>
    </w:pPr>
    <w:rPr>
      <w:rFonts w:ascii="Cambria" w:hAnsi="Cambria" w:eastAsia="Cambria" w:cs="Cambria"/>
      <w:sz w:val="22"/>
      <w:szCs w:val="22"/>
    </w:rPr>
  </w:style>
  <w:style w:type="paragraph" w:customStyle="1" w:styleId="CTTituloDocumento">
    <w:name w:val="CT Título do documento"/>
    <w:basedOn w:val="CTCorpo"/>
    <w:next w:val="CTPreambulo"/>
    <w:qFormat/>
    <w:pPr>
      <w:keepNext/>
      <w:keepLines/>
      <w:spacing w:before="0" w:after="360" w:line="276" w:lineRule="auto"/>
      <w:jc w:val="center"/>
      <w:pBdr>
        <w:bottom w:val="single" w:sz="4" w:space="10" w:color="999999"/>
      </w:pBdr>
    </w:pPr>
    <w:rPr>
      <w:b/>
      <w:bCs/>
      <w:caps/>
      <w:sz w:val="28"/>
      <w:szCs w:val="28"/>
    </w:rPr>
  </w:style>
  <w:style w:type="paragraph" w:customStyle="1" w:styleId="CTSecao">
    <w:name w:val="CT Seção"/>
    <w:basedOn w:val="CTCorpo"/>
    <w:next w:val="CTClausulaN1"/>
    <w:qFormat/>
    <w:pPr>
      <w:keepNext/>
      <w:keepLines/>
      <w:spacing w:before="280" w:after="120" w:line="276" w:lineRule="auto"/>
      <w:jc w:val="left"/>
    </w:pPr>
    <w:rPr>
      <w:b/>
      <w:bCs/>
      <w:caps/>
    </w:rPr>
  </w:style>
  <w:style w:type="paragraph" w:customStyle="1" w:styleId="CTClausulaN1">
    <w:name w:val="CT Cláusula nível 1"/>
    <w:basedOn w:val="CTCorpo"/>
    <w:next w:val="CTClausulaN1"/>
    <w:qFormat/>
    <w:pPr>
      <w:keepLines/>
      <w:spacing w:before="0" w:after="200" w:line="276" w:lineRule="auto"/>
      <w:numPr>
        <w:ilvl w:val="0"/>
        <w:numId w:val="90"/>
      </w:numPr>
    </w:pPr>
  </w:style>
  <w:style w:type="paragraph" w:customStyle="1" w:styleId="CTClausulaN2">
    <w:name w:val="CT Cláusula nível 2"/>
    <w:basedOn w:val="CTCorpo"/>
    <w:next w:val="CTClausulaN2"/>
    <w:qFormat/>
    <w:pPr>
      <w:keepLines/>
      <w:spacing w:before="0" w:after="120" w:line="276" w:lineRule="auto"/>
      <w:numPr>
        <w:ilvl w:val="1"/>
        <w:numId w:val="90"/>
      </w:numPr>
    </w:pPr>
  </w:style>
  <w:style w:type="paragraph" w:customStyle="1" w:styleId="CTPreambulo">
    <w:name w:val="CT Preâmbulo"/>
    <w:basedOn w:val="CTCorpo"/>
    <w:next w:val="CTCorpo"/>
    <w:qFormat/>
    <w:pPr>
      <w:spacing w:before="0" w:after="200" w:line="276" w:lineRule="auto"/>
    </w:pPr>
  </w:style>
  <w:style w:type="paragraph" w:customStyle="1" w:styleId="CTFecho">
    <w:name w:val="CT Fecho"/>
    <w:basedOn w:val="CTCorpo"/>
    <w:next w:val="CTAssinatura"/>
    <w:qFormat/>
    <w:pPr>
      <w:spacing w:before="0" w:after="200" w:line="276" w:lineRule="auto"/>
    </w:pPr>
  </w:style>
  <w:style w:type="paragraph" w:customStyle="1" w:styleId="CTAssinatura">
    <w:name w:val="CT Assinatura"/>
    <w:basedOn w:val="CTCorpo"/>
    <w:next w:val="CTAssinatura"/>
    <w:qFormat/>
    <w:pPr>
      <w:keepNext/>
      <w:keepLines/>
      <w:spacing w:before="0" w:after="0" w:line="240" w:lineRule="auto"/>
      <w:jc w:val="center"/>
    </w:pPr>
    <w:rPr>
      <w:sz w:val="20"/>
      <w:szCs w:val="20"/>
    </w:rPr>
  </w:style>
  <w:style w:type="paragraph" w:customStyle="1" w:styleId="CTCabecalho">
    <w:name w:val="CT Cabeçalho"/>
    <w:basedOn w:val="Normal"/>
    <w:next w:val="CTCabecalho"/>
    <w:qFormat/>
    <w:pPr>
      <w:spacing w:before="0" w:after="0"/>
      <w:jc w:val="right"/>
    </w:pPr>
    <w:rPr>
      <w:rFonts w:ascii="Cambria" w:hAnsi="Cambria" w:eastAsia="Cambria" w:cs="Cambria"/>
      <w:sz w:val="18"/>
      <w:szCs w:val="18"/>
    </w:rPr>
  </w:style>
  <w:style w:type="paragraph" w:customStyle="1" w:styleId="CTRodape">
    <w:name w:val="CT Rodapé"/>
    <w:basedOn w:val="Normal"/>
    <w:next w:val="CTRodape"/>
    <w:qFormat/>
    <w:pPr>
      <w:spacing w:before="0" w:after="0"/>
      <w:jc w:val="left"/>
    </w:pPr>
    <w:rPr>
      <w:rFonts w:ascii="Cambria" w:hAnsi="Cambria" w:eastAsia="Cambria" w:cs="Cambria"/>
      <w:sz w:val="18"/>
      <w:szCs w:val="18"/>
    </w:rPr>
  </w:style>
  <w:style w:type="paragraph" w:customStyle="1" w:styleId="CTMarcaPrevia">
    <w:name w:val="CT Marca de prévia"/>
    <w:basedOn w:val="Normal"/>
    <w:next w:val="CTMarcaPrevia"/>
    <w:qFormat/>
    <w:pPr>
      <w:spacing w:before="0" w:after="0"/>
      <w:jc w:val="center"/>
    </w:pPr>
    <w:rPr>
      <w:rFonts w:ascii="Cambria" w:hAnsi="Cambria" w:eastAsia="Cambria" w:cs="Cambria"/>
      <w:b/>
      <w:bCs/>
      <w:caps/>
      <w:sz w:val="18"/>
      <w:szCs w:val="18"/>
    </w:rPr>
  </w:style>
  <w:style w:type="character" w:customStyle="1" w:styleId="CTCabecalhoCaractere">
    <w:name w:val="CT Cabeçalho caractere"/>
    <w:basedOn w:val="DefaultParagraphFont"/>
    <w:rPr>
      <w:rFonts w:ascii="Cambria" w:hAnsi="Cambria" w:eastAsia="Cambria" w:cs="Cambria"/>
      <w:sz w:val="18"/>
      <w:szCs w:val="18"/>
    </w:rPr>
  </w:style>
  <w:style w:type="paragraph" w:customStyle="1" w:styleId="CTAssinaturaLinha">
    <w:name w:val="CT Linha de assinatura"/>
    <w:basedOn w:val="CTAssinatura"/>
    <w:next w:val="CTAssinatura"/>
    <w:pPr>
      <w:keepNext/>
      <w:keepLines/>
      <w:pBdr>
        <w:top w:val="single" w:sz="6" w:space="5" w:color="333333"/>
      </w:pBdr>
    </w:pPr>
  </w:style>
  <w:style w:type="character" w:customStyle="1" w:styleId="CTAssinaturaNome">
    <w:name w:val="CT Nome da assinatura"/>
    <w:basedOn w:val="DefaultParagraphFont"/>
    <w:rPr>
      <w:rFonts w:ascii="Cambria" w:hAnsi="Cambria" w:eastAsia="Cambria" w:cs="Cambria"/>
      <w:b/>
      <w:bCs/>
      <w:sz w:val="20"/>
      <w:szCs w:val="20"/>
    </w:rPr>
  </w:style>
  <w:style w:type="character" w:customStyle="1" w:styleId="CTAssinaturaQualificacao">
    <w:name w:val="CT Qualificação da assinatura"/>
    <w:basedOn w:val="DefaultParagraphFont"/>
    <w:rPr>
      <w:rFonts w:ascii="Cambria" w:hAnsi="Cambria" w:eastAsia="Cambria" w:cs="Cambria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Regulamento de Metas e Prêmios por Desempenho</dc:title>
  <dc:creator>CT Sorvetes Ltda</dc:creator>
  <cp:lastModifiedBy>Un-named</cp:lastModifiedBy>
  <cp:revision>1</cp:revision>
  <dcterms:created xsi:type="dcterms:W3CDTF">2026-07-20T18:19:03.700Z</dcterms:created>
  <dcterms:modified xsi:type="dcterms:W3CDTF">2026-07-20T18:19:03.700Z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