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ACORDO INDIVIDUAL DE BANCO DE HORAS</w:t>
      </w:r>
    </w:p>
    <w:p>
      <w:pPr>
        <w:pBdr>
          <w:bottom w:val="single" w:color="999999" w:sz="6"/>
        </w:pBdr>
        <w:spacing w:after="300" w:before="0"/>
      </w:pPr>
      <w:r>
        <w:t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COALA SHAKES COMÉRCIO DE ALIMENTOS LTDA, portadora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  <w:r>
        <w:rPr>
          <w:rFonts w:ascii="Calibri" w:cs="Calibri" w:eastAsia="Calibri" w:hAnsi="Calibri"/>
          <w:sz w:val="22"/>
          <w:szCs w:val="22"/>
        </w:rPr>
        <w:t xml:space="preserve"> CNPJ n˚ 12.345.678/0001-90, com sede no Avenida dos Holandeses, nº 1000, Calhau, São Luís/MA, CEP 65071-380, doravante designada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EMPREGADORA</w:t>
      </w:r>
      <w:r>
        <w:rPr>
          <w:rFonts w:ascii="Calibri" w:cs="Calibri" w:eastAsia="Calibri" w:hAnsi="Calibri"/>
          <w:sz w:val="22"/>
          <w:szCs w:val="22"/>
        </w:rPr>
        <w:t xml:space="preserve">, e MARIA DE FÁTIMA SOUSA,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1234567 e série n˚ 00010/MA, doravante designado(a)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EMPREGADO(A)</w:t>
      </w:r>
      <w:r>
        <w:rPr>
          <w:rFonts w:ascii="Calibri" w:cs="Calibri" w:eastAsia="Calibri" w:hAnsi="Calibri"/>
          <w:sz w:val="22"/>
          <w:szCs w:val="22"/>
        </w:rPr>
        <w:t xml:space="preserve">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A EMPREGADORA e o(a) EMPREGADO(A) concordam em estabelecer um regime de banco de horas, nos termos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artigo 59, §5º e §6º, da CLT</w:t>
      </w:r>
      <w:r>
        <w:rPr>
          <w:rFonts w:ascii="Calibri" w:cs="Calibri" w:eastAsia="Calibri" w:hAnsi="Calibri"/>
          <w:sz w:val="22"/>
          <w:szCs w:val="22"/>
        </w:rPr>
        <w:t xml:space="preserve">, pelo qual o(a) EMPREGADO(A) poderá compensar as horas excedentes de trabalho realizadas em um determinado período com horas a serem trabalhadas em outro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com a concessão de folgas, observadas as normas da convenção coletiva de trabalho aplicável à categoria, que prevalecerão naquilo que dispuserem sobre a matéria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O(A) EMPREGADO(A) concorda em prestar as horas excedentes em horário diurno ou noturno, em qualquer turno, observando as necessidades da empresa e os preceitos legais.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prorrogação da jornada observará o limite legal de 2 (duas) horas diárias, não podendo a jornada total exceder 10 (dez) horas por dia, nos termos do artigo 59, caput, da CLT. As horas excedentes prestadas em horário noturno serão acrescidas do adicional noturno e computadas com a hora noturna reduzida, nos termos do artigo 73 da CLT, sendo o adicional devido em pecúnia ainda que a hora venha a ser compensada.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acordo produz efeitos exclusivamente sobre as horas prestadas a partir do início de sua vigência, permanecendo as horas anteriores regidas pelas regras então aplicáveis.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O acréscimo à jornada de um dia será compensado pela diminuição da jornada em outro dia de trabalho ou pela concessão de folga,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máximo de 6 (seis) meses, contados da data da efetiva prestação das horas excedentes, nos termos do §5º do artigo 59 da CLT. Ao final de cada período de apuração, o saldo de horas não compensadas será liquidado na forma da cláusula 7ª.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O(A) EMPREGADO(A) poderá acumular até 60 (sessenta) horas no banco de horas, não podendo ultrapassar esse limite, salvo disposição em contrário em convenção ou acordo coletivo de trabalho.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Atingido o limite, as horas excedentes serão pagas como horas extras, com o acréscimo legal ou convencional.</w:t>
      </w:r>
    </w:p>
    <w:p>
      <w:pPr>
        <w:spacing w:after="180" w:before="180" w:line="320"/>
        <w:ind w:left="576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Parágrafo Único — </w:t>
      </w:r>
      <w:r>
        <w:rPr>
          <w:rFonts w:ascii="Calibri" w:cs="Calibri" w:eastAsia="Calibri" w:hAnsi="Calibri"/>
          <w:sz w:val="22"/>
          <w:szCs w:val="22"/>
        </w:rPr>
        <w:t xml:space="preserve">As faltas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atrasos injustificados e as saídas antecipadas por iniciativa do(a) EMPREGADO(A)</w:t>
      </w:r>
      <w:r>
        <w:rPr>
          <w:rFonts w:ascii="Calibri" w:cs="Calibri" w:eastAsia="Calibri" w:hAnsi="Calibri"/>
          <w:sz w:val="22"/>
          <w:szCs w:val="22"/>
        </w:rPr>
        <w:t xml:space="preserve"> serão debitados para compensação no banco de horas.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horas negativas decorrentes de determinação da EMPREGADORA, tais como dispensa antecipada ou redução de jornada por conveniência da empresa, não serão debitadas do(a) EMPREGADO(A), correndo por conta e risco da atividade econômica, nos termos do artigo 2º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Não se computam para fins de compensação de jornada as horas trabalhadas nos feriados e nos domingos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destinados ao descanso semanal remunerado, que serão remuneradas ou compensadas na forma da lei e da norma coletiva aplicável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Não ocorrendo a compensação das horas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estabelecido na cláusula 4ª</w:t>
      </w:r>
      <w:r>
        <w:rPr>
          <w:rFonts w:ascii="Calibri" w:cs="Calibri" w:eastAsia="Calibri" w:hAnsi="Calibri"/>
          <w:sz w:val="22"/>
          <w:szCs w:val="22"/>
        </w:rPr>
        <w:t xml:space="preserve">, elas serão remuneradas como horas extras,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acréscimo legal ou convencional, o que for mais benéfico, e os reflexos devidos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Em caso de rescisão do contrato de trabalho, havendo saldo positivo no banco de horas, a EMPREGADORA quitará o saldo como horas extras,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calculadas sobre o valor da remuneração da data da rescisão, nos termos do §3º do artigo 59 da CLT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	</w:t>
      </w:r>
      <w:r>
        <w:rPr>
          <w:rFonts w:ascii="Calibri" w:cs="Calibri" w:eastAsia="Calibri" w:hAnsi="Calibri"/>
          <w:sz w:val="22"/>
          <w:szCs w:val="22"/>
        </w:rPr>
        <w:t xml:space="preserve">Havendo saldo negativo na rescisão,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serão descontadas das verbas rescisórias exclusivamente as horas negativas decorrentes de faltas, atrasos ou saídas antecipadas injustificadas do(a) EMPREGADO(A), na forma do Parágrafo Único da cláusula 5ª. O saldo negativo decorrente de determinação da EMPREGADORA será por ela absorvido, sem qualquer desconto.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EMPREGADORA disponibilizará ao(à) EMPREGADO(A), mensalmente, demonstrativo do saldo do banco de horas, com os créditos e débitos do período, sendo assegurado ao(à) EMPREGADO(A) o direito de impugnar eventuais divergências no prazo de apuração seguinte.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ACORDO INDIVIDUAL DE BANCO DE HORAS em duas vias, ficando a primeira em poder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EMPREGADORA</w:t>
      </w:r>
      <w:r>
        <w:rPr>
          <w:rFonts w:ascii="Calibri" w:cs="Calibri" w:eastAsia="Calibri" w:hAnsi="Calibri"/>
          <w:sz w:val="22"/>
          <w:szCs w:val="22"/>
        </w:rPr>
        <w:t xml:space="preserve"> e a segunda com o(a) EMPREGADO(A), que dela dará o competente recibo.</w:t>
      </w:r>
    </w:p>
    <w:p>
      <w:pPr>
        <w:spacing w:after="200" w:before="400"/>
      </w:pPr>
      <w:r>
        <w:t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MARIA DE FÁTIMA SOUSA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COALA SHAKES COMÉRCIO DE ALIMENTOS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Banco de Horas — COALA SHAKES COMÉRCIO DE ALIMENTOS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Individual de Banco de Horas</dc:title>
  <dc:creator>Coala One</dc:creator>
  <cp:lastModifiedBy>Coala One</cp:lastModifiedBy>
  <cp:revision>1</cp:revision>
  <dcterms:created xsi:type="dcterms:W3CDTF">2026-07-20T18:19:03.470Z</dcterms:created>
  <dcterms:modified xsi:type="dcterms:W3CDTF">2026-07-20T18:19:03.470Z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