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CTTituloDocumento"/>
      </w:pPr>
      <w:r>
        <w:t xml:space="preserve">CONTRATO DE TRABALHO A TÍTULO DE EXPERIÊNCIA</w:t>
      </w:r>
    </w:p>
    <w:p>
      <w:pPr>
        <w:pStyle w:val="CTPreambulo"/>
      </w:pPr>
      <w:r>
        <w:t xml:space="preserve">Contrato celebrado entre a pessoa jurídica de direito privado COALA SHAKES COMÉRCIO DE ALIMENTOS LTDA, inscrita sob CNPJ 12.345.678/0001-90, com sede em Avenida dos Holandeses, nº 1000, Calhau, São Luís/MA, CEP 65071-380, e MARIA DE FÁTIMA SOUSA, identificado(a) por CPF 529.982.247-25, titular de CTPS Digital vinculada ao referido CPF, residente e domiciliado(a) em Rua das Acácias, nº 45, Jardim Renascença, São Luís/MA, CEP 65075-020, doravante denominado(a) EMPREGADO(A), mediante as condições seguintes.</w:t>
      </w:r>
    </w:p>
    <w:p>
      <w:pPr>
        <w:pStyle w:val="CTSecao"/>
      </w:pPr>
      <w:r>
        <w:t xml:space="preserve">FUNÇÃO E REMUNERAÇÃO</w:t>
      </w:r>
    </w:p>
    <w:p>
      <w:pPr>
        <w:pStyle w:val="CTClausulaN1"/>
      </w:pPr>
      <w:r>
        <w:t xml:space="preserve">Fica o EMPREGADO(A) admitido(a) no quadro de funcionários da EMPREGADORA para exercer a função de ATENDENTE DE LOJA, CBO 5134-15, mediante salário-base mensal de R$ 1.787,30 (mil setecentos e oitenta e sete reais e trinta centavos), pago até o quinto dia útil do mês subsequente ao vencido, observado o piso salarial fixado na Convenção Coletiva de Trabalho da categoria.</w:t>
      </w:r>
    </w:p>
    <w:p>
      <w:pPr>
        <w:pStyle w:val="CTSecao"/>
      </w:pPr>
      <w:r>
        <w:t xml:space="preserve">JORNADA DE TRABALHO</w:t>
      </w:r>
    </w:p>
    <w:p>
      <w:pPr>
        <w:pStyle w:val="CTClausulaN1"/>
      </w:pPr>
      <w:r>
        <w:t xml:space="preserve">A jornada, os períodos de descanso e o controle de frequência observarão as condições abaixo.</w:t>
      </w:r>
    </w:p>
    <w:p>
      <w:pPr>
        <w:pStyle w:val="CTClausulaN2"/>
      </w:pPr>
      <w:r>
        <w:t xml:space="preserve">A jornada de trabalho será de 44 (quarenta e quatro) horas semanais. O horário de trabalho e o controle de jornada serão registrados na forma adotada pela EMPREGADORA, observada a legislação aplicável. Alterações de escala ou horário somente poderão ocorrer dentro dos limites legais e normativos, sem redução salarial nem alteração contratual lesiva.</w:t>
      </w:r>
    </w:p>
    <w:p>
      <w:pPr>
        <w:pStyle w:val="CTClausulaN2"/>
      </w:pPr>
      <w:r>
        <w:t xml:space="preserve">Ficam assegurados o intervalo intrajornada previsto em lei e na Convenção Coletiva de Trabalho aplicável e o descanso semanal remunerado de 24 (vinte e quatro) horas consecutivas. A coincidência com o domingo observará a periodicidade mínima legal ou convencional aplicável, prevalecendo a condição mais favorável ao EMPREGADO(A).</w:t>
      </w:r>
    </w:p>
    <w:p>
      <w:pPr>
        <w:pStyle w:val="CTClausulaN2"/>
      </w:pPr>
      <w:r>
        <w:t xml:space="preserve">A escala pactuada não caracteriza turno ininterrupto de revezamento quando inexistir alternância periódica do EMPREGADO(A) entre os turnos diurno e noturno.</w:t>
      </w:r>
    </w:p>
    <w:p>
      <w:pPr>
        <w:pStyle w:val="CTClausulaN1"/>
      </w:pPr>
      <w:r>
        <w:t xml:space="preserve">O EMPREGADO(A) deverá prestar serviços em horas extraordinárias quando solicitado(a) pela EMPREGADORA, nos limites permitidos em lei. As horas extraordinárias serão pagas com o adicional legal ou convencional, o que for mais benéfico, salvo quando validamente compensadas com a correspondente redução da jornada em outro dia.</w:t>
      </w:r>
    </w:p>
    <w:p>
      <w:pPr>
        <w:pStyle w:val="CTClausulaN1"/>
      </w:pPr>
      <w:r>
        <w:t xml:space="preserve">O EMPREGADO(A) poderá prestar serviços nos turnos diurno ou noturno, sem simultaneidade, mediante prévia comunicação e observados os limites legais, a norma coletiva e a vedação de alteração contratual lesiva. O trabalho prestado entre 22h e 5h será remunerado com o adicional noturno de, no mínimo, 20% (vinte por cento) sobre a hora diurna, computada a hora noturna reduzida de 52 (cinquenta e dois) minutos e 30 (trinta) segundos, nos termos do artigo 73 da CLT.</w:t>
      </w:r>
    </w:p>
    <w:p>
      <w:pPr>
        <w:pStyle w:val="CTClausulaN1"/>
      </w:pPr>
      <w:r>
        <w:t xml:space="preserve">Fica ajustado, nos termos do §1º do artigo 469 da CLT, que o EMPREGADO(A) poderá prestar serviços tanto na localidade de celebração deste contrato como em outros estabelecimentos da EMPREGADORA situados no município de São Luís/MA e em sua região metropolitana, quando houver real necessidade do serviço e observados os limites legais. Em caso de transferência provisória, será devido o adicional previsto no §3º do artigo 469 da CLT enquanto durar essa situação.</w:t>
      </w:r>
    </w:p>
    <w:p>
      <w:pPr>
        <w:pStyle w:val="CTSecao"/>
      </w:pPr>
      <w:r>
        <w:t xml:space="preserve">DESCONTOS E BENEFÍCIOS</w:t>
      </w:r>
    </w:p>
    <w:p>
      <w:pPr>
        <w:pStyle w:val="CTClausulaN1"/>
      </w:pPr>
      <w:r>
        <w:t xml:space="preserve">Os descontos incidentes sobre a remuneração observarão as hipóteses e os limites abaixo.</w:t>
      </w:r>
    </w:p>
    <w:p>
      <w:pPr>
        <w:pStyle w:val="CTClausulaN2"/>
      </w:pPr>
      <w:r>
        <w:t xml:space="preserve">Além dos descontos previstos em lei, a EMPREGADORA poderá descontar as importâncias correspondentes a danos causados pelo EMPREGADO(A), desde que comprovados o dolo ou a culpa e observados os requisitos do §1º do artigo 462 da CLT.</w:t>
      </w:r>
    </w:p>
    <w:p>
      <w:pPr>
        <w:pStyle w:val="CTClausulaN2"/>
      </w:pPr>
      <w:r>
        <w:t xml:space="preserve">O EMPREGADO(A) autoriza expressamente os descontos em folha relativos a benefícios e conveniências instituídos em seu favor ou de seus dependentes, tais como coparticipação em plano de saúde ou odontológico, seguro de vida, vale-transporte, vale-refeição e convênios com estabelecimentos comerciais e farmácias, bem como valores por ele expressamente aderidos, nos termos da Súmula 342 do TST, ressalvada a hipótese de coação ou vício de vontade.</w:t>
      </w:r>
    </w:p>
    <w:p>
      <w:pPr>
        <w:pStyle w:val="CTSecao"/>
      </w:pPr>
      <w:r>
        <w:t xml:space="preserve">PRAZO E ENCERRAMENTO</w:t>
      </w:r>
    </w:p>
    <w:p>
      <w:pPr>
        <w:pStyle w:val="CTClausulaN1"/>
      </w:pPr>
      <w:r>
        <w:t xml:space="preserve">O contrato de experiência observará o período inicial e a única prorrogação descritos abaixo.</w:t>
      </w:r>
    </w:p>
    <w:p>
      <w:pPr>
        <w:pStyle w:val="CTClausulaN2"/>
      </w:pPr>
      <w:r>
        <w:t xml:space="preserve">O presente contrato inicia-se em 1 de agosto de 2026 e vigorará por 30 dias, encerrando-se o primeiro período em 30 de agosto de 2026. O primeiro dia de trabalho é considerado dia 1 para efeito da contagem.</w:t>
      </w:r>
    </w:p>
    <w:p>
      <w:pPr>
        <w:pStyle w:val="CTClausulaN2"/>
      </w:pPr>
      <w:r>
        <w:t xml:space="preserve">Na ausência de manifestação contrária até o primeiro termo, o contrato será prorrogado uma única vez por 60 dias, com término final em 29 de outubro de 2026. A prorrogação será registrada pela EMPREGADORA nos assentamentos funcionais do EMPREGADO(A). Havendo continuidade da prestação de serviços após o termo final ou nova prorrogação, o contrato passará a vigorar por prazo indeterminado, nos termos do artigo 451 da CLT. Em nenhuma hipótese o prazo total excederá 90 (noventa) dias, nos termos do parágrafo único do artigo 445 da CLT.</w:t>
      </w:r>
    </w:p>
    <w:p>
      <w:pPr>
        <w:pStyle w:val="CTClausulaN1"/>
      </w:pPr>
      <w:r>
        <w:t xml:space="preserve">Na hipótese de este contrato se transformar em contrato de trabalho por prazo indeterminado, continuarão em plena vigência as obrigações aqui previstas, no que forem compatíveis.</w:t>
      </w:r>
    </w:p>
    <w:p>
      <w:pPr>
        <w:pStyle w:val="CTClausulaN1"/>
      </w:pPr>
      <w:r>
        <w:t xml:space="preserve">Nos termos do artigo 481 da CLT, fica assegurado a ambas as partes o direito recíproco de rescindir o presente contrato antes de expirado o seu termo, hipótese em que se aplicarão os princípios que regem a rescisão dos contratos por prazo indeterminado, inclusive quanto ao aviso prévio. Não exercida a faculdade prevista nesta cláusula, aplicam-se: (a) em caso de rescisão antecipada pela EMPREGADORA, sem justa causa, a indenização de metade da remuneração a que o EMPREGADO(A) teria direito até o termo do contrato, conforme o artigo 479 da CLT; e (b) em caso de rescisão antecipada pelo EMPREGADO(A), sem justa causa, a indenização dos prejuízos que desse fato resultarem à EMPREGADORA, limitada àquela a que teria direito o EMPREGADO(A) em idênticas condições, conforme o artigo 480 da CLT.</w:t>
      </w:r>
    </w:p>
    <w:p>
      <w:pPr>
        <w:pStyle w:val="CTSecao"/>
      </w:pPr>
      <w:r>
        <w:t xml:space="preserve">OBRIGAÇÕES E DISPOSIÇÕES COMPLEMENTARES</w:t>
      </w:r>
    </w:p>
    <w:p>
      <w:pPr>
        <w:pStyle w:val="CTClausulaN1"/>
      </w:pPr>
      <w:r>
        <w:t xml:space="preserve">O EMPREGADO(A) obriga-se a utilizar o uniforme e os equipamentos de trabalho fornecidos gratuitamente pela EMPREGADORA, zelando por sua conservação e higiene, e a devolvê-los ao término do contrato. O uniforme e os equipamentos permanecem de propriedade da EMPREGADORA, e seu fornecimento não constitui salário-utilidade, nos termos do §2º do artigo 458 da CLT.</w:t>
      </w:r>
    </w:p>
    <w:p>
      <w:pPr>
        <w:pStyle w:val="CTClausulaN1"/>
      </w:pPr>
      <w:r>
        <w:t xml:space="preserve">O EMPREGADO(A) declara ciência de que seus dados pessoais serão tratados pela EMPREGADORA na forma do Termo de Ciência sobre o Tratamento de Dados Pessoais na Relação de Trabalho, que integra o pacote admissional, com fundamento nas bases legais previstas na Lei nº 13.709/2018, especialmente para o cumprimento de obrigações legais, regulatórias, fiscais, previdenciárias e trabalhistas e para a execução do contrato de trabalho, assegurados os direitos previstos no artigo 18 da referida lei.</w:t>
      </w:r>
    </w:p>
    <w:p>
      <w:pPr>
        <w:pStyle w:val="CTClausulaN1"/>
      </w:pPr>
      <w:r>
        <w:t xml:space="preserve">O EMPREGADO(A) observará as normas de saúde, segurança, higiene e boas práticas aplicáveis à função.</w:t>
      </w:r>
    </w:p>
    <w:p>
      <w:pPr>
        <w:pStyle w:val="CTClausulaN2"/>
      </w:pPr>
      <w:r>
        <w:t xml:space="preserve">O EMPREGADO(A) declara ter se submetido a exame médico admissional, com emissão do respectivo ASO, e ter recebido orientação sobre o PGR e o PCMSO da EMPREGADORA, obrigando-se a comparecer aos exames periódicos, de retorno ao trabalho, de mudança de função e demissional, nas datas que lhe forem designadas.</w:t>
      </w:r>
    </w:p>
    <w:p>
      <w:pPr>
        <w:pStyle w:val="CTClausulaN2"/>
      </w:pPr>
      <w:r>
        <w:t xml:space="preserve">O EMPREGADO(A) declara ter recebido gratuitamente os equipamentos de proteção individual adequados à função, obrigando-se a utilizá-los durante toda a jornada, a zelar por sua guarda e conservação e a comunicar qualquer alteração que os torne impróprios ao uso, ciente de que a recusa injustificada ao uso constitui ato faltoso, nos termos do artigo 158, parágrafo único, da CLT e da NR-06.</w:t>
      </w:r>
    </w:p>
    <w:p>
      <w:pPr>
        <w:pStyle w:val="CTClausulaN2"/>
      </w:pPr>
      <w:r>
        <w:t xml:space="preserve">O EMPREGADO(A) declara ter recebido, no ato da admissão, as orientações sobre suas atribuições, normas internas e regras de segurança, higiene e boas práticas de manipulação de alimentos aplicáveis à função.</w:t>
      </w:r>
    </w:p>
    <w:p>
      <w:pPr>
        <w:pStyle w:val="CTClausulaN1"/>
      </w:pPr>
      <w:r>
        <w:t xml:space="preserve">Os prêmios eventualmente pagos ao EMPREGADO(A) observarão os requisitos do Regulamento de Bonificação vigente para o período.</w:t>
      </w:r>
    </w:p>
    <w:p>
      <w:pPr>
        <w:pStyle w:val="CTClausulaN2"/>
      </w:pPr>
      <w:r>
        <w:t xml:space="preserve">Os valores pagos a título de prêmio decorrem de desempenho superior ao ordinariamente esperado, possuem natureza não salarial e não se incorporam à remuneração para nenhum efeito, nos termos do §2º do artigo 457 da CLT, não integrando a base de cálculo de férias, décimo terceiro salário, FGTS, horas extras, adicionais ou encargos previdenciários.</w:t>
      </w:r>
    </w:p>
    <w:p>
      <w:pPr>
        <w:pStyle w:val="CTClausulaN2"/>
      </w:pPr>
      <w:r>
        <w:t xml:space="preserve">O pagamento de prêmios está condicionado ao atingimento das metas previstas no regulamento, não gerando direito adquirido nem expectativa de continuidade. O regulamento poderá ser alterado ou revogado quanto a períodos futuros. Pagamentos que remunerem desempenho ordinário, metas rotineiras ou parcela salarial variável não serão tratados como prêmio apenas pela denominação adotada.</w:t>
      </w:r>
    </w:p>
    <w:p>
      <w:pPr>
        <w:pStyle w:val="CTSecao"/>
      </w:pPr>
      <w:r>
        <w:t xml:space="preserve">CONFIDENCIALIDADE E PROPRIEDADE INTELECTUAL</w:t>
      </w:r>
    </w:p>
    <w:p>
      <w:pPr>
        <w:pStyle w:val="CTClausulaN1"/>
      </w:pPr>
      <w:r>
        <w:t xml:space="preserve">As obrigações de confidencialidade e de propriedade intelectual observarão as condições abaixo.</w:t>
      </w:r>
    </w:p>
    <w:p>
      <w:pPr>
        <w:pStyle w:val="CTClausulaN2"/>
      </w:pPr>
      <w:r>
        <w:t xml:space="preserve">O EMPREGADO(A) obriga-se a manter sigilo sobre formulações, fichas técnicas, parâmetros de produção, métodos operacionais, informações comerciais, dados de fornecedores e de clientes e demais informações confidenciais a que tiver acesso em razão da função, na forma do Termo de Confidencialidade que integra o pacote admissional. A obrigação subsiste enquanto as informações mantiverem caráter confidencial, inclusive após a extinção do contrato, nos termos do artigo 195, inciso XI, da Lei nº 9.279/1996, sem prejuízo do disposto na alínea "g" do artigo 482 da CLT.</w:t>
      </w:r>
    </w:p>
    <w:p>
      <w:pPr>
        <w:pStyle w:val="CTClausulaN2"/>
      </w:pPr>
      <w:r>
        <w:t xml:space="preserve">As criações, melhorias e adaptações de formulações ou processos desenvolvidas pelo EMPREGADO(A) no exercício da função ou com utilização de recursos, dados ou instalações da EMPREGADORA pertencem à EMPREGADORA, observado o disposto nos artigos 88 a 93 da Lei nº 9.279/1996.</w:t>
      </w:r>
    </w:p>
    <w:p>
      <w:pPr>
        <w:pStyle w:val="CTFecho"/>
      </w:pPr>
      <w:r>
        <w:t xml:space="preserve">E, por estarem de pleno acordo, as partes assinam o presente contrato para que produza seus efeitos jurídicos.</w:t>
      </w:r>
    </w:p>
    <w:p>
      <w:pPr>
        <w:pStyle w:val="CTFecho"/>
        <w:jc w:val="right"/>
      </w:pPr>
      <w:r>
        <w:t xml:space="preserve">São Luís/MA, 1 de agosto de 2026.</w:t>
      </w:r>
    </w:p>
    <w:tbl>
      <w:tblPr>
        <w:tblW w:w="8504" w:type="dxa"/>
        <w:tblLayout w:type="fixed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252"/>
        <w:gridCol w:w="4252"/>
      </w:tblGrid>
      <w:tr>
        <w:trPr>
          <w:cantSplit/>
        </w:trPr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</w:pPr>
            <w:r>
              <w:rPr>
                <w:rStyle w:val="CTAssinaturaNome"/>
              </w:rPr>
              <w:t xml:space="preserve">MARIA DE FÁTIMA SOUSA</w:t>
            </w:r>
          </w:p>
          <w:p>
            <w:pPr>
              <w:pStyle w:val="CTAssinatura"/>
            </w:pPr>
            <w:r>
              <w:t xml:space="preserve">CPF 529.982.247-25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EMPREGADO(A)</w:t>
            </w:r>
          </w:p>
        </w:tc>
        <w:tc>
          <w:tcPr>
            <w:tcW w:w="4252" w:type="dxa"/>
            <w:tcMar>
              <w:left w:w="180" w:type="dxa"/>
              <w:right w:w="180" w:type="dxa"/>
            </w:tcMar>
          </w:tcPr>
          <w:p>
            <w:pPr>
              <w:pStyle w:val="CTAssinaturaLinha"/>
            </w:pPr>
            <w:r>
              <w:rPr>
                <w:rStyle w:val="CTAssinaturaNome"/>
              </w:rPr>
              <w:t xml:space="preserve">COALA SHAKES COMÉRCIO DE ALIMENTOS LTDA</w:t>
            </w:r>
          </w:p>
          <w:p>
            <w:pPr>
              <w:pStyle w:val="CTAssinatura"/>
            </w:pPr>
            <w:r>
              <w:t xml:space="preserve">CNPJ 12.345.678/0001-90</w:t>
            </w:r>
          </w:p>
          <w:p>
            <w:pPr>
              <w:pStyle w:val="CTAssinatura"/>
            </w:pPr>
            <w:r>
              <w:rPr>
                <w:rStyle w:val="CTAssinaturaQualificacao"/>
              </w:rPr>
              <w:t xml:space="preserve">EMPREGADORA</w:t>
            </w:r>
          </w:p>
        </w:tc>
      </w:tr>
    </w:tbl>
    <w:sectPr>
      <w:headerReference w:type="default" r:id="rId7"/>
      <w:footerReference w:type="default" r:id="rId8"/>
      <w:pgSz w:w="11906" w:h="16838"/>
      <w:pgMar w:top="1417" w:right="1701" w:bottom="1417" w:left="1701" w:header="709" w:footer="709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="http://schemas.openxmlformats.org/wordprocessingml/2006/main">
  <w:p>
    <w:pPr>
      <w:pStyle w:val="CTRodap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pStyle w:val="CTCabecalho"/>
    </w:pPr>
    <w:r>
      <w:rPr>
        <w:rStyle w:val="CTCabecalhoCaractere"/>
      </w:rPr>
      <w:t xml:space="preserve">Página </w:t>
    </w:r>
    <w:r>
      <w:rPr>
        <w:rStyle w:val="CTCabecalhoCaractere"/>
      </w:rPr>
      <w:fldChar w:fldCharType="begin"/>
      <w:instrText xml:space="preserve"> PAGE </w:instrText>
      <w:fldChar w:fldCharType="separate"/>
      <w:t>1</w:t>
      <w:fldChar w:fldCharType="end"/>
    </w:r>
    <w:r>
      <w:rPr>
        <w:rStyle w:val="CTCabecalhoCaractere"/>
      </w:rPr>
      <w:t xml:space="preserve"> de </w:t>
    </w:r>
    <w:r>
      <w:rPr>
        <w:rStyle w:val="CTCabecalhoCaractere"/>
      </w:rPr>
      <w:fldChar w:fldCharType="begin"/>
      <w:instrText xml:space="preserve"> NUMPAGES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abstractNum w:abstractNumId="90">
    <w:multiLevelType w:val="multilevel"/>
    <w:lvl w:ilvl="0">
      <w:start w:val="1"/>
      <w:numFmt w:val="decimal"/>
      <w:pStyle w:val="CTClausulaN1"/>
      <w:lvlText w:val="%1."/>
      <w:lvlJc w:val="left"/>
      <w:pPr>
        <w:ind w:left="425" w:hanging="425"/>
      </w:pPr>
      <w:rPr>
        <w:rFonts w:ascii="Cambria" w:hAnsi="Cambria" w:eastAsia="Cambria" w:cs="Cambria"/>
        <w:b/>
        <w:bCs/>
        <w:sz w:val="22"/>
        <w:szCs w:val="22"/>
      </w:rPr>
    </w:lvl>
    <w:lvl w:ilvl="1">
      <w:start w:val="1"/>
      <w:numFmt w:val="decimal"/>
      <w:pStyle w:val="CTClausulaN2"/>
      <w:lvlText w:val="%1.%2."/>
      <w:lvlJc w:val="left"/>
      <w:pPr>
        <w:ind w:left="992" w:hanging="567"/>
      </w:pPr>
      <w:rPr>
        <w:rFonts w:ascii="Cambria" w:hAnsi="Cambria" w:eastAsia="Cambria" w:cs="Cambria"/>
        <w:b/>
        <w:bCs/>
        <w:sz w:val="22"/>
        <w:szCs w:val="22"/>
      </w:rPr>
    </w:lvl>
  </w:abstractNum>
  <w:num w:numId="90">
    <w:abstractNumId w:val="90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autoHyphenation w:val="true"/>
  <w:hyphenationZone w:val="357"/>
  <w:doNotHyphenateCaps w:val="true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customStyle="1" w:styleId="CTCorpo">
    <w:name w:val="CT Corpo"/>
    <w:basedOn w:val="Normal"/>
    <w:next w:val="CTCorpo"/>
    <w:qFormat/>
    <w:pPr>
      <w:widowControl/>
      <w:spacing w:before="0" w:after="200" w:line="276" w:lineRule="auto"/>
      <w:jc w:val="both"/>
    </w:pPr>
    <w:rPr>
      <w:rFonts w:ascii="Cambria" w:hAnsi="Cambria" w:eastAsia="Cambria" w:cs="Cambria"/>
      <w:sz w:val="22"/>
      <w:szCs w:val="22"/>
    </w:rPr>
  </w:style>
  <w:style w:type="paragraph" w:customStyle="1" w:styleId="CTTituloDocumento">
    <w:name w:val="CT Título do documento"/>
    <w:basedOn w:val="CTCorpo"/>
    <w:next w:val="CTPreambulo"/>
    <w:qFormat/>
    <w:pPr>
      <w:keepNext/>
      <w:keepLines/>
      <w:spacing w:before="0" w:after="360" w:line="276" w:lineRule="auto"/>
      <w:jc w:val="center"/>
      <w:pBdr>
        <w:bottom w:val="single" w:sz="4" w:space="10" w:color="999999"/>
      </w:pBdr>
    </w:pPr>
    <w:rPr>
      <w:b/>
      <w:bCs/>
      <w:caps/>
      <w:sz w:val="28"/>
      <w:szCs w:val="28"/>
    </w:rPr>
  </w:style>
  <w:style w:type="paragraph" w:customStyle="1" w:styleId="CTSecao">
    <w:name w:val="CT Seção"/>
    <w:basedOn w:val="CTCorpo"/>
    <w:next w:val="CTClausulaN1"/>
    <w:qFormat/>
    <w:pPr>
      <w:keepNext/>
      <w:keepLines/>
      <w:spacing w:before="280" w:after="120" w:line="276" w:lineRule="auto"/>
      <w:jc w:val="left"/>
    </w:pPr>
    <w:rPr>
      <w:b/>
      <w:bCs/>
      <w:caps/>
    </w:rPr>
  </w:style>
  <w:style w:type="paragraph" w:customStyle="1" w:styleId="CTClausulaN1">
    <w:name w:val="CT Cláusula nível 1"/>
    <w:basedOn w:val="CTCorpo"/>
    <w:next w:val="CTClausulaN1"/>
    <w:qFormat/>
    <w:pPr>
      <w:keepLines/>
      <w:spacing w:before="0" w:after="200" w:line="276" w:lineRule="auto"/>
      <w:numPr>
        <w:ilvl w:val="0"/>
        <w:numId w:val="90"/>
      </w:numPr>
    </w:pPr>
  </w:style>
  <w:style w:type="paragraph" w:customStyle="1" w:styleId="CTClausulaN2">
    <w:name w:val="CT Cláusula nível 2"/>
    <w:basedOn w:val="CTCorpo"/>
    <w:next w:val="CTClausulaN2"/>
    <w:qFormat/>
    <w:pPr>
      <w:keepLines/>
      <w:spacing w:before="0" w:after="120" w:line="276" w:lineRule="auto"/>
      <w:numPr>
        <w:ilvl w:val="1"/>
        <w:numId w:val="90"/>
      </w:numPr>
    </w:pPr>
  </w:style>
  <w:style w:type="paragraph" w:customStyle="1" w:styleId="CTPreambulo">
    <w:name w:val="CT Preâmbulo"/>
    <w:basedOn w:val="CTCorpo"/>
    <w:next w:val="CTCorpo"/>
    <w:qFormat/>
    <w:pPr>
      <w:spacing w:before="0" w:after="200" w:line="276" w:lineRule="auto"/>
    </w:pPr>
  </w:style>
  <w:style w:type="paragraph" w:customStyle="1" w:styleId="CTFecho">
    <w:name w:val="CT Fecho"/>
    <w:basedOn w:val="CTCorpo"/>
    <w:next w:val="CTAssinatura"/>
    <w:qFormat/>
    <w:pPr>
      <w:spacing w:before="0" w:after="200" w:line="276" w:lineRule="auto"/>
    </w:pPr>
  </w:style>
  <w:style w:type="paragraph" w:customStyle="1" w:styleId="CTAssinatura">
    <w:name w:val="CT Assinatura"/>
    <w:basedOn w:val="CTCorpo"/>
    <w:next w:val="CTAssinatura"/>
    <w:qFormat/>
    <w:pPr>
      <w:keepNext/>
      <w:keepLines/>
      <w:spacing w:before="0" w:after="0" w:line="240" w:lineRule="auto"/>
      <w:jc w:val="center"/>
    </w:pPr>
    <w:rPr>
      <w:sz w:val="20"/>
      <w:szCs w:val="20"/>
    </w:rPr>
  </w:style>
  <w:style w:type="paragraph" w:customStyle="1" w:styleId="CTCabecalho">
    <w:name w:val="CT Cabeçalho"/>
    <w:basedOn w:val="Normal"/>
    <w:next w:val="CTCabecalho"/>
    <w:qFormat/>
    <w:pPr>
      <w:spacing w:before="0" w:after="0"/>
      <w:jc w:val="right"/>
    </w:pPr>
    <w:rPr>
      <w:rFonts w:ascii="Cambria" w:hAnsi="Cambria" w:eastAsia="Cambria" w:cs="Cambria"/>
      <w:sz w:val="18"/>
      <w:szCs w:val="18"/>
    </w:rPr>
  </w:style>
  <w:style w:type="paragraph" w:customStyle="1" w:styleId="CTRodape">
    <w:name w:val="CT Rodapé"/>
    <w:basedOn w:val="Normal"/>
    <w:next w:val="CTRodape"/>
    <w:qFormat/>
    <w:pPr>
      <w:spacing w:before="0" w:after="0"/>
      <w:jc w:val="left"/>
    </w:pPr>
    <w:rPr>
      <w:rFonts w:ascii="Cambria" w:hAnsi="Cambria" w:eastAsia="Cambria" w:cs="Cambria"/>
      <w:sz w:val="18"/>
      <w:szCs w:val="18"/>
    </w:rPr>
  </w:style>
  <w:style w:type="paragraph" w:customStyle="1" w:styleId="CTMarcaPrevia">
    <w:name w:val="CT Marca de prévia"/>
    <w:basedOn w:val="Normal"/>
    <w:next w:val="CTMarcaPrevia"/>
    <w:qFormat/>
    <w:pPr>
      <w:spacing w:before="0" w:after="0"/>
      <w:jc w:val="center"/>
    </w:pPr>
    <w:rPr>
      <w:rFonts w:ascii="Cambria" w:hAnsi="Cambria" w:eastAsia="Cambria" w:cs="Cambria"/>
      <w:b/>
      <w:bCs/>
      <w:caps/>
      <w:sz w:val="18"/>
      <w:szCs w:val="18"/>
    </w:rPr>
  </w:style>
  <w:style w:type="character" w:customStyle="1" w:styleId="CTCabecalhoCaractere">
    <w:name w:val="CT Cabeçalho caractere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AssinaturaLinha">
    <w:name w:val="CT Linha de assinatura"/>
    <w:basedOn w:val="CTAssinatura"/>
    <w:next w:val="CTAssinatura"/>
    <w:pPr>
      <w:keepNext/>
      <w:keepLines/>
      <w:pBdr>
        <w:top w:val="single" w:sz="6" w:space="5" w:color="333333"/>
      </w:pBdr>
    </w:pPr>
  </w:style>
  <w:style w:type="character" w:customStyle="1" w:styleId="CTAssinaturaNome">
    <w:name w:val="CT Nome da assinatura"/>
    <w:basedOn w:val="DefaultParagraphFont"/>
    <w:rPr>
      <w:rFonts w:ascii="Cambria" w:hAnsi="Cambria" w:eastAsia="Cambria" w:cs="Cambria"/>
      <w:b/>
      <w:bCs/>
      <w:sz w:val="20"/>
      <w:szCs w:val="20"/>
    </w:rPr>
  </w:style>
  <w:style w:type="character" w:customStyle="1" w:styleId="CTAssinaturaQualificacao">
    <w:name w:val="CT Qualificação da assinatura"/>
    <w:basedOn w:val="DefaultParagraphFont"/>
    <w:rPr>
      <w:rFonts w:ascii="Cambria" w:hAnsi="Cambria" w:eastAsia="Cambria" w:cs="Cambria"/>
      <w:sz w:val="18"/>
      <w:szCs w:val="18"/>
    </w:rPr>
  </w:style>
  <w:style w:type="paragraph" w:customStyle="1" w:styleId="CTReciboNumero">
    <w:name w:val="CT Recibo número"/>
    <w:basedOn w:val="CTCorpo"/>
    <w:next w:val="CTReciboEtiqueta"/>
    <w:pPr>
      <w:spacing w:before="0" w:after="80"/>
      <w:jc w:val="right"/>
    </w:pPr>
    <w:rPr>
      <w:color w:val="64748B"/>
      <w:sz w:val="18"/>
      <w:szCs w:val="18"/>
    </w:rPr>
  </w:style>
  <w:style w:type="paragraph" w:customStyle="1" w:styleId="CTReciboEtiqueta">
    <w:name w:val="CT Recibo etiqueta"/>
    <w:basedOn w:val="CTCorpo"/>
    <w:next w:val="CTReciboTitulo"/>
    <w:pPr>
      <w:spacing w:before="0" w:after="220"/>
      <w:jc w:val="right"/>
    </w:pPr>
    <w:rPr>
      <w:b/>
      <w:bCs/>
      <w:caps/>
      <w:color w:val="ED1E79"/>
      <w:sz w:val="18"/>
      <w:szCs w:val="18"/>
      <w:spacing w:val="18"/>
    </w:rPr>
  </w:style>
  <w:style w:type="paragraph" w:customStyle="1" w:styleId="CTReciboTitulo">
    <w:name w:val="CT Recibo título"/>
    <w:basedOn w:val="CTCorpo"/>
    <w:next w:val="CTReciboSubtitulo"/>
    <w:qFormat/>
    <w:pPr>
      <w:keepNext/>
      <w:keepLines/>
      <w:spacing w:before="0" w:after="60"/>
      <w:jc w:val="left"/>
    </w:pPr>
    <w:rPr>
      <w:b/>
      <w:bCs/>
      <w:caps/>
      <w:sz w:val="28"/>
      <w:szCs w:val="28"/>
    </w:rPr>
  </w:style>
  <w:style w:type="paragraph" w:customStyle="1" w:styleId="CTReciboSubtitulo">
    <w:name w:val="CT Recibo subtítulo"/>
    <w:basedOn w:val="CTCorpo"/>
    <w:next w:val="CTReciboIntroducao"/>
    <w:pPr>
      <w:spacing w:before="0" w:after="120"/>
      <w:jc w:val="left"/>
    </w:pPr>
    <w:rPr>
      <w:color w:val="64748B"/>
      <w:sz w:val="20"/>
      <w:szCs w:val="20"/>
    </w:rPr>
  </w:style>
  <w:style w:type="paragraph" w:customStyle="1" w:styleId="CTReciboIntroducao">
    <w:name w:val="CT Recibo introdução"/>
    <w:basedOn w:val="CTCorpo"/>
    <w:next w:val="CTReciboSecao"/>
    <w:pPr>
      <w:spacing w:before="0" w:after="220"/>
      <w:jc w:val="left"/>
    </w:pPr>
  </w:style>
  <w:style w:type="paragraph" w:customStyle="1" w:styleId="CTReciboSecao">
    <w:name w:val="CT Recibo seção"/>
    <w:basedOn w:val="CTCorpo"/>
    <w:next w:val="CTReciboTabela"/>
    <w:qFormat/>
    <w:pPr>
      <w:keepNext/>
      <w:keepLines/>
      <w:spacing w:before="120" w:after="80"/>
      <w:jc w:val="left"/>
    </w:pPr>
    <w:rPr>
      <w:b/>
      <w:bCs/>
    </w:rPr>
  </w:style>
  <w:style w:type="paragraph" w:customStyle="1" w:styleId="CTReciboRotulo">
    <w:name w:val="CT Recibo rótulo"/>
    <w:basedOn w:val="CTCorpo"/>
    <w:next w:val="CTReciboValor"/>
    <w:pPr>
      <w:spacing w:before="0" w:after="30"/>
      <w:jc w:val="left"/>
    </w:pPr>
    <w:rPr>
      <w:b/>
      <w:bCs/>
      <w:caps/>
      <w:color w:val="8391A7"/>
      <w:sz w:val="16"/>
      <w:szCs w:val="16"/>
      <w:spacing w:val="10"/>
    </w:rPr>
  </w:style>
  <w:style w:type="paragraph" w:customStyle="1" w:styleId="CTReciboValor">
    <w:name w:val="CT Recibo valor"/>
    <w:basedOn w:val="CTCorpo"/>
    <w:next w:val="CTReciboValor"/>
    <w:pPr>
      <w:spacing w:before="0" w:after="0"/>
      <w:jc w:val="left"/>
    </w:pPr>
    <w:rPr>
      <w:b/>
      <w:bCs/>
      <w:sz w:val="20"/>
      <w:szCs w:val="20"/>
    </w:rPr>
  </w:style>
  <w:style w:type="paragraph" w:customStyle="1" w:styleId="CTReciboTabela">
    <w:name w:val="CT Recibo tabela"/>
    <w:basedOn w:val="CTCorpo"/>
    <w:next w:val="CTReciboTabela"/>
    <w:pPr>
      <w:spacing w:before="0" w:after="0"/>
      <w:jc w:val="left"/>
    </w:pPr>
    <w:rPr>
      <w:sz w:val="18"/>
      <w:szCs w:val="18"/>
    </w:rPr>
  </w:style>
  <w:style w:type="paragraph" w:customStyle="1" w:styleId="CTReciboValorDireita">
    <w:name w:val="CT Recibo valor à direita"/>
    <w:basedOn w:val="CTReciboTabela"/>
    <w:next w:val="CTReciboValorDireita"/>
    <w:pPr>
      <w:spacing w:before="0" w:after="0"/>
      <w:jc w:val="right"/>
    </w:pPr>
    <w:rPr>
      <w:b/>
      <w:bCs/>
    </w:rPr>
  </w:style>
  <w:style w:type="paragraph" w:customStyle="1" w:styleId="CTReciboTotalRotulo">
    <w:name w:val="CT Recibo total rótulo"/>
    <w:basedOn w:val="CTCorpo"/>
    <w:next w:val="CTReciboTotalValor"/>
    <w:pPr>
      <w:spacing w:before="0" w:after="20"/>
      <w:jc w:val="left"/>
    </w:pPr>
    <w:rPr>
      <w:b/>
      <w:bCs/>
      <w:caps/>
      <w:color w:val="ED1E79"/>
      <w:sz w:val="16"/>
      <w:szCs w:val="16"/>
    </w:rPr>
  </w:style>
  <w:style w:type="paragraph" w:customStyle="1" w:styleId="CTReciboTotalValor">
    <w:name w:val="CT Recibo total valor"/>
    <w:basedOn w:val="CTCorpo"/>
    <w:next w:val="CTReciboTotalValor"/>
    <w:pPr>
      <w:spacing w:before="0" w:after="0"/>
      <w:jc w:val="right"/>
    </w:pPr>
    <w:rPr>
      <w:b/>
      <w:bCs/>
      <w:sz w:val="28"/>
      <w:szCs w:val="28"/>
    </w:rPr>
  </w:style>
  <w:style w:type="paragraph" w:customStyle="1" w:styleId="CTReciboDeclaracao">
    <w:name w:val="CT Recibo declaração"/>
    <w:basedOn w:val="CTCorpo"/>
    <w:next w:val="CTReciboData"/>
    <w:pPr>
      <w:keepLines/>
      <w:spacing w:before="0" w:after="0" w:line="276" w:lineRule="auto"/>
      <w:jc w:val="both"/>
    </w:pPr>
  </w:style>
  <w:style w:type="paragraph" w:customStyle="1" w:styleId="CTReciboData">
    <w:name w:val="CT Recibo data"/>
    <w:basedOn w:val="CTCorpo"/>
    <w:next w:val="CTAssinatura"/>
    <w:pPr>
      <w:keepNext/>
      <w:keepLines/>
      <w:spacing w:before="180" w:after="260"/>
      <w:jc w:val="right"/>
    </w:pPr>
  </w:style>
  <w:style w:type="character" w:customStyle="1" w:styleId="CTReciboDestaque">
    <w:name w:val="CT Recibo destaque"/>
    <w:basedOn w:val="DefaultParagraphFont"/>
    <w:rPr>
      <w:rFonts w:ascii="Cambria" w:hAnsi="Cambria" w:eastAsia="Cambria" w:cs="Cambria"/>
      <w:b/>
      <w:bCs/>
      <w:sz w:val="22"/>
      <w:szCs w:val="22"/>
    </w:rPr>
  </w:style>
  <w:style w:type="character" w:customStyle="1" w:styleId="CTReciboAuxiliar">
    <w:name w:val="CT Recibo auxiliar"/>
    <w:basedOn w:val="DefaultParagraphFont"/>
    <w:rPr>
      <w:rFonts w:ascii="Cambria" w:hAnsi="Cambria" w:eastAsia="Cambria" w:cs="Cambria"/>
      <w:color w:val="64748B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Trabalho a Título de Experiência</dc:title>
  <dc:creator>Coala One</dc:creator>
  <cp:lastModifiedBy>Coala One</cp:lastModifiedBy>
  <cp:revision>1</cp:revision>
  <dcterms:created xsi:type="dcterms:W3CDTF">2026-07-20T18:19:03.268Z</dcterms:created>
  <dcterms:modified xsi:type="dcterms:W3CDTF">2026-07-20T18:19:03.279Z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