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1B2A4A"/>
          <w:sz w:val="32"/>
          <w:szCs w:val="32"/>
        </w:rPr>
        <w:t xml:space="preserve">TSM CONSULTZ</w:t>
      </w:r>
    </w:p>
    <w:p>
      <w:pPr>
        <w:spacing w:after="300"/>
        <w:jc w:val="center"/>
      </w:pPr>
      <w:r>
        <w:rPr>
          <w:b/>
          <w:bCs/>
          <w:color w:val="C0392B"/>
          <w:sz w:val="48"/>
          <w:szCs w:val="48"/>
        </w:rPr>
        <w:t xml:space="preserve">Document Processing &amp; Revenue Recovery Manual</w:t>
      </w:r>
    </w:p>
    <w:p>
      <w:pPr>
        <w:spacing w:after="500"/>
        <w:jc w:val="center"/>
      </w:pPr>
      <w:r>
        <w:rPr>
          <w:i/>
          <w:iCs/>
          <w:color w:val="6B7280"/>
          <w:sz w:val="24"/>
          <w:szCs w:val="24"/>
        </w:rPr>
        <w:t xml:space="preserve">Employee Operating Guide — Multi-Vertical Intake Pipeline</w:t>
      </w:r>
    </w:p>
    <w:p>
      <w:pPr>
        <w:spacing w:after="800"/>
        <w:jc w:val="center"/>
      </w:pPr>
      <w:r>
        <w:rPr>
          <w:color w:val="1B2A4A"/>
          <w:sz w:val="21"/>
          <w:szCs w:val="21"/>
        </w:rPr>
        <w:t xml:space="preserve">How to move every incoming document from upload to a routed, actionable, dollars-and-cents next step — without losing the data that makes recovery possible.</w:t>
      </w:r>
    </w:p>
    <w:p>
      <w:pPr>
        <w:spacing w:after="80"/>
        <w:jc w:val="center"/>
      </w:pPr>
      <w:r>
        <w:rPr>
          <w:color w:val="6B7280"/>
          <w:sz w:val="18"/>
          <w:szCs w:val="18"/>
        </w:rPr>
        <w:t xml:space="preserve">Internal Use — TSM Consultz LLC</w:t>
      </w:r>
    </w:p>
    <w:p>
      <w:pPr>
        <w:jc w:val="center"/>
      </w:pPr>
      <w:r>
        <w:rPr>
          <w:color w:val="6B7280"/>
          <w:sz w:val="16"/>
          <w:szCs w:val="16"/>
        </w:rPr>
        <w:t xml:space="preserve">Version 2.0 · August 30, 2026 (rebuilt — prior scratch build was lost; regenerated from verified source, see note)</w:t>
      </w:r>
    </w:p>
    <w:p>
      <w:r>
        <w:br w:type="page"/>
      </w:r>
    </w:p>
    <w:p>
      <w:pPr>
        <w:pStyle w:val="Heading1"/>
        <w:spacing w:after="200" w:before="400"/>
      </w:pPr>
      <w:r>
        <w:rPr>
          <w:b/>
          <w:bCs/>
          <w:color w:val="1B2A4A"/>
          <w:sz w:val="32"/>
          <w:szCs w:val="32"/>
        </w:rPr>
        <w:t xml:space="preserve">Note on This Edition</w:t>
      </w:r>
    </w:p>
    <w:p>
      <w:pPr>
        <w:spacing w:after="160"/>
      </w:pPr>
      <w:r>
        <w:rPr>
          <w:i w:val="false"/>
          <w:iCs w:val="false"/>
          <w:color w:val="1A1A1A"/>
          <w:sz w:val="21"/>
          <w:szCs w:val="21"/>
        </w:rPr>
        <w:t xml:space="preserve">This is a from-scratch regeneration of the v1.1 manual. The prior build's scratch working files (build_v2_head.js, build_v2_body.js, build_v2_sections1-4.js, build_v2_sections6-9.js, data.js) were lost to a container reset before they were committed anywhere, and the original source manual this document was meant to mirror was not recoverable either. Rather than guess at lost prose, every fact in this edition — document types, file paths, relay chains, the exclusion-code collision risk in Section 7 — was re-verified directly against a fresh clone of administrator2016/tsm-apps (HEAD 6d585e9c). RCM-OS and the Appendix TOC entries — the two gaps flagged against v1.1 — are included from the start this time.</w:t>
      </w:r>
    </w:p>
    <w:p>
      <w:r>
        <w:br w:type="page"/>
      </w:r>
    </w:p>
    <w:p>
      <w:pPr>
        <w:pStyle w:val="Heading1"/>
        <w:spacing w:after="200" w:before="400"/>
      </w:pPr>
      <w:r>
        <w:rPr>
          <w:b/>
          <w:bCs/>
          <w:color w:val="1B2A4A"/>
          <w:sz w:val="32"/>
          <w:szCs w:val="32"/>
        </w:rPr>
        <w:t xml:space="preserve">Contents</w:t>
      </w:r>
    </w:p>
    <w:p>
      <w:pPr>
        <w:spacing w:after="100"/>
      </w:pPr>
      <w:r>
        <w:rPr>
          <w:i w:val="false"/>
          <w:iCs w:val="false"/>
          <w:color w:val="1A1A1A"/>
          <w:sz w:val="21"/>
          <w:szCs w:val="21"/>
        </w:rPr>
        <w:t xml:space="preserve">1. Purpose &amp; the Big Picture</w:t>
      </w:r>
    </w:p>
    <w:p>
      <w:pPr>
        <w:spacing w:after="100"/>
      </w:pPr>
      <w:r>
        <w:rPr>
          <w:i w:val="false"/>
          <w:iCs w:val="false"/>
          <w:color w:val="1A1A1A"/>
          <w:sz w:val="21"/>
          <w:szCs w:val="21"/>
        </w:rPr>
        <w:t xml:space="preserve">2. The Universal Intake Pipeline</w:t>
      </w:r>
    </w:p>
    <w:p>
      <w:pPr>
        <w:spacing w:after="100"/>
      </w:pPr>
      <w:r>
        <w:rPr>
          <w:i w:val="false"/>
          <w:iCs w:val="false"/>
          <w:color w:val="1A1A1A"/>
          <w:sz w:val="21"/>
          <w:szCs w:val="21"/>
        </w:rPr>
        <w:t xml:space="preserve">3. What Gets Captured From Every Document</w:t>
      </w:r>
    </w:p>
    <w:p>
      <w:pPr>
        <w:spacing w:after="100"/>
      </w:pPr>
      <w:r>
        <w:rPr>
          <w:i w:val="false"/>
          <w:iCs w:val="false"/>
          <w:color w:val="1A1A1A"/>
          <w:sz w:val="21"/>
          <w:szCs w:val="21"/>
        </w:rPr>
        <w:t xml:space="preserve">4. The Mission Preview Checkpoint</w:t>
      </w:r>
    </w:p>
    <w:p>
      <w:pPr>
        <w:spacing w:after="100"/>
      </w:pPr>
      <w:r>
        <w:rPr>
          <w:i w:val="false"/>
          <w:iCs w:val="false"/>
          <w:color w:val="1A1A1A"/>
          <w:sz w:val="21"/>
          <w:szCs w:val="21"/>
        </w:rPr>
        <w:t xml:space="preserve">5. Vertical-by-Vertical Processing Guide</w:t>
      </w:r>
    </w:p>
    <w:p>
      <w:pPr>
        <w:spacing w:after="100"/>
      </w:pPr>
      <w:r>
        <w:rPr>
          <w:i w:val="false"/>
          <w:iCs w:val="false"/>
          <w:color w:val="1A1A1A"/>
          <w:sz w:val="21"/>
          <w:szCs w:val="21"/>
        </w:rPr>
        <w:t xml:space="preserve">   FinOps</w:t>
      </w:r>
    </w:p>
    <w:p>
      <w:pPr>
        <w:spacing w:after="100"/>
      </w:pPr>
      <w:r>
        <w:rPr>
          <w:i w:val="false"/>
          <w:iCs w:val="false"/>
          <w:color w:val="1A1A1A"/>
          <w:sz w:val="21"/>
          <w:szCs w:val="21"/>
        </w:rPr>
        <w:t xml:space="preserve">   Insurance</w:t>
      </w:r>
    </w:p>
    <w:p>
      <w:pPr>
        <w:spacing w:after="100"/>
      </w:pPr>
      <w:r>
        <w:rPr>
          <w:i w:val="false"/>
          <w:iCs w:val="false"/>
          <w:color w:val="1A1A1A"/>
          <w:sz w:val="21"/>
          <w:szCs w:val="21"/>
        </w:rPr>
        <w:t xml:space="preserve">   Construction</w:t>
      </w:r>
    </w:p>
    <w:p>
      <w:pPr>
        <w:spacing w:after="100"/>
      </w:pPr>
      <w:r>
        <w:rPr>
          <w:i w:val="false"/>
          <w:iCs w:val="false"/>
          <w:color w:val="1A1A1A"/>
          <w:sz w:val="21"/>
          <w:szCs w:val="21"/>
        </w:rPr>
        <w:t xml:space="preserve">   BPO Internal</w:t>
      </w:r>
    </w:p>
    <w:p>
      <w:pPr>
        <w:spacing w:after="100"/>
      </w:pPr>
      <w:r>
        <w:rPr>
          <w:i w:val="false"/>
          <w:iCs w:val="false"/>
          <w:color w:val="1A1A1A"/>
          <w:sz w:val="21"/>
          <w:szCs w:val="21"/>
        </w:rPr>
        <w:t xml:space="preserve">   Real Estate</w:t>
      </w:r>
    </w:p>
    <w:p>
      <w:pPr>
        <w:spacing w:after="100"/>
      </w:pPr>
      <w:r>
        <w:rPr>
          <w:i w:val="false"/>
          <w:iCs w:val="false"/>
          <w:color w:val="1A1A1A"/>
          <w:sz w:val="21"/>
          <w:szCs w:val="21"/>
        </w:rPr>
        <w:t xml:space="preserve">   Legal</w:t>
      </w:r>
    </w:p>
    <w:p>
      <w:pPr>
        <w:spacing w:after="100"/>
      </w:pPr>
      <w:r>
        <w:rPr>
          <w:i w:val="false"/>
          <w:iCs w:val="false"/>
          <w:color w:val="1A1A1A"/>
          <w:sz w:val="21"/>
          <w:szCs w:val="21"/>
        </w:rPr>
        <w:t xml:space="preserve">   Healthcare</w:t>
      </w:r>
    </w:p>
    <w:p>
      <w:pPr>
        <w:spacing w:after="100"/>
      </w:pPr>
      <w:r>
        <w:rPr>
          <w:i w:val="false"/>
          <w:iCs w:val="false"/>
          <w:color w:val="1A1A1A"/>
          <w:sz w:val="21"/>
          <w:szCs w:val="21"/>
        </w:rPr>
        <w:t xml:space="preserve">      HC Office Manager → Neural Intake</w:t>
      </w:r>
    </w:p>
    <w:p>
      <w:pPr>
        <w:spacing w:after="100"/>
      </w:pPr>
      <w:r>
        <w:rPr>
          <w:i w:val="false"/>
          <w:iCs w:val="false"/>
          <w:color w:val="1A1A1A"/>
          <w:sz w:val="21"/>
          <w:szCs w:val="21"/>
        </w:rPr>
        <w:t xml:space="preserve">   PM Copilot</w:t>
      </w:r>
    </w:p>
    <w:p>
      <w:pPr>
        <w:spacing w:after="100"/>
      </w:pPr>
      <w:r>
        <w:rPr>
          <w:i w:val="false"/>
          <w:iCs w:val="false"/>
          <w:color w:val="1A1A1A"/>
          <w:sz w:val="21"/>
          <w:szCs w:val="21"/>
        </w:rPr>
        <w:t xml:space="preserve">   Network Operations Center</w:t>
      </w:r>
    </w:p>
    <w:p>
      <w:pPr>
        <w:spacing w:after="100"/>
      </w:pPr>
      <w:r>
        <w:rPr>
          <w:i w:val="false"/>
          <w:iCs w:val="false"/>
          <w:color w:val="1A1A1A"/>
          <w:sz w:val="21"/>
          <w:szCs w:val="21"/>
        </w:rPr>
        <w:t xml:space="preserve">6. Document Card Controls (Every Vertical)</w:t>
      </w:r>
    </w:p>
    <w:p>
      <w:pPr>
        <w:spacing w:after="100"/>
      </w:pPr>
      <w:r>
        <w:rPr>
          <w:i w:val="false"/>
          <w:iCs w:val="false"/>
          <w:color w:val="1A1A1A"/>
          <w:sz w:val="21"/>
          <w:szCs w:val="21"/>
        </w:rPr>
        <w:t xml:space="preserve">7. Known Risk: Exclusion-Code Collisions</w:t>
      </w:r>
    </w:p>
    <w:p>
      <w:pPr>
        <w:spacing w:after="100"/>
      </w:pPr>
      <w:r>
        <w:rPr>
          <w:i w:val="false"/>
          <w:iCs w:val="false"/>
          <w:color w:val="1A1A1A"/>
          <w:sz w:val="21"/>
          <w:szCs w:val="21"/>
        </w:rPr>
        <w:t xml:space="preserve">8. Quick-Reference Checklist — Don't Miss These</w:t>
      </w:r>
    </w:p>
    <w:p>
      <w:pPr>
        <w:spacing w:after="100"/>
      </w:pPr>
      <w:r>
        <w:rPr>
          <w:i w:val="false"/>
          <w:iCs w:val="false"/>
          <w:color w:val="1A1A1A"/>
          <w:sz w:val="21"/>
          <w:szCs w:val="21"/>
        </w:rPr>
        <w:t xml:space="preserve">9. Glossary</w:t>
      </w:r>
    </w:p>
    <w:p>
      <w:pPr>
        <w:spacing w:after="100"/>
      </w:pPr>
      <w:r>
        <w:rPr>
          <w:i w:val="false"/>
          <w:iCs w:val="false"/>
          <w:color w:val="1A1A1A"/>
          <w:sz w:val="21"/>
          <w:szCs w:val="21"/>
        </w:rPr>
        <w:t xml:space="preserve">Appendix A: Registered but Not Classifier-Routed (RCM-OS &amp; Property Revenue)</w:t>
      </w:r>
    </w:p>
    <w:p>
      <w:pPr>
        <w:spacing w:after="100"/>
      </w:pPr>
      <w:r>
        <w:rPr>
          <w:i w:val="false"/>
          <w:iCs w:val="false"/>
          <w:color w:val="1A1A1A"/>
          <w:sz w:val="21"/>
          <w:szCs w:val="21"/>
        </w:rPr>
        <w:t xml:space="preserve">Appendix B: Verticals Outside This Pipeline</w:t>
      </w:r>
    </w:p>
    <w:p>
      <w:r>
        <w:br w:type="page"/>
      </w:r>
    </w:p>
    <w:p>
      <w:pPr>
        <w:pStyle w:val="Heading1"/>
        <w:spacing w:after="200" w:before="400"/>
      </w:pPr>
      <w:r>
        <w:rPr>
          <w:b/>
          <w:bCs/>
          <w:color w:val="1B2A4A"/>
          <w:sz w:val="32"/>
          <w:szCs w:val="32"/>
        </w:rPr>
        <w:t xml:space="preserve">1. Purpose &amp; the Big Picture</w:t>
      </w:r>
    </w:p>
    <w:p>
      <w:pPr>
        <w:spacing w:after="160"/>
      </w:pPr>
      <w:r>
        <w:rPr>
          <w:i w:val="false"/>
          <w:iCs w:val="false"/>
          <w:color w:val="1A1A1A"/>
          <w:sz w:val="21"/>
          <w:szCs w:val="21"/>
        </w:rPr>
        <w:t xml:space="preserve">This manual explains how a document — an invoice, a claim, a permit, a title report, anything — moves through TSM's shared intake pipeline from the moment it's uploaded to the moment it becomes a routed, actionable, dollars-and-cents next step.</w:t>
      </w:r>
    </w:p>
    <w:p>
      <w:pPr>
        <w:spacing w:after="160"/>
      </w:pPr>
      <w:r>
        <w:rPr>
          <w:i w:val="false"/>
          <w:iCs w:val="false"/>
          <w:color w:val="1A1A1A"/>
          <w:sz w:val="21"/>
          <w:szCs w:val="21"/>
        </w:rPr>
        <w:t xml:space="preserve">The pipeline is a single shared entry point (html/tsm-doc-search-multi.html) that every one of the nine verticals in Section 5 feeds through. A document doesn't get a different upload experience per client vertical — it gets classified once, against a shared AI router, and then handed to the vertical's own War Room → Strategist → Executive Portal relay chain.</w:t>
      </w:r>
    </w:p>
    <w:p>
      <w:pPr>
        <w:spacing w:after="160"/>
      </w:pPr>
      <w:r>
        <w:rPr>
          <w:i w:val="false"/>
          <w:iCs w:val="false"/>
          <w:color w:val="1A1A1A"/>
          <w:sz w:val="21"/>
          <w:szCs w:val="21"/>
        </w:rPr>
        <w:t xml:space="preserve">Two other groups of verticals exist outside that chain, and this manual is explicit about the difference rather than blurring it: Appendix A covers verticals that are indexed in the shared search UI but not yet wired into the AI classifier, and Appendix B covers verticals with their own real relay chains that don't touch this shared pipeline at all.</w:t>
      </w:r>
    </w:p>
    <w:p>
      <w:pPr>
        <w:spacing w:after="160"/>
      </w:pPr>
      <w:r>
        <w:rPr>
          <w:i w:val="false"/>
          <w:iCs w:val="false"/>
          <w:color w:val="1A1A1A"/>
          <w:sz w:val="21"/>
          <w:szCs w:val="21"/>
        </w:rPr>
        <w:t xml:space="preserve">A parallel, read-only view sits above all of this: html/sentinel-center.html polls the same TSM_&lt;VERTICAL&gt;_STRATEGIST_RELAY keys each vertical's Strategist stage writes and rolls them into a single cross-vertical risk board. It doesn't change how a document is processed — it's downstream of the relay chain, not part of it — but Section 5's per-vertical relay tables note which Sentinel key each Strategist stage feeds, since that's the same write a Strategist reviewer is already producing.</w:t>
      </w:r>
    </w:p>
    <w:p>
      <w:pPr>
        <w:pStyle w:val="Heading1"/>
        <w:spacing w:after="200" w:before="400"/>
      </w:pPr>
      <w:r>
        <w:rPr>
          <w:b/>
          <w:bCs/>
          <w:color w:val="1B2A4A"/>
          <w:sz w:val="32"/>
          <w:szCs w:val="32"/>
        </w:rPr>
        <w:t xml:space="preserve">2. The Universal Intake Pipeline</w:t>
      </w:r>
    </w:p>
    <w:p>
      <w:pPr>
        <w:spacing w:after="160"/>
      </w:pPr>
      <w:r>
        <w:rPr>
          <w:i w:val="false"/>
          <w:iCs w:val="false"/>
          <w:color w:val="1A1A1A"/>
          <w:sz w:val="21"/>
          <w:szCs w:val="21"/>
        </w:rPr>
        <w:t xml:space="preserve">Every document follows the same four-stage path, regardless of vertical: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B2A4A" w:val="clear"/>
            <w:tcMar>
              <w:top w:type="dxa" w:w="80"/>
              <w:left w:type="dxa" w:w="120"/>
              <w:bottom w:type="dxa" w:w="80"/>
              <w:right w:type="dxa" w:w="120"/>
            </w:tcMar>
          </w:tcPr>
          <w:p>
            <w:r>
              <w:rPr>
                <w:b/>
                <w:bCs/>
                <w:color w:val="FFFFFF"/>
                <w:sz w:val="18"/>
                <w:szCs w:val="18"/>
              </w:rPr>
              <w:t xml:space="preserve">Stage</w:t>
            </w:r>
          </w:p>
        </w:tc>
        <w:tc>
          <w:tcPr>
            <w:tcW w:type="dxa" w:w="6800"/>
            <w:shd w:fill="1B2A4A" w:val="clear"/>
            <w:tcMar>
              <w:top w:type="dxa" w:w="80"/>
              <w:left w:type="dxa" w:w="120"/>
              <w:bottom w:type="dxa" w:w="80"/>
              <w:right w:type="dxa" w:w="120"/>
            </w:tcMar>
          </w:tcPr>
          <w:p>
            <w:r>
              <w:rPr>
                <w:b/>
                <w:bCs/>
                <w:color w:val="FFFFFF"/>
                <w:sz w:val="18"/>
                <w:szCs w:val="18"/>
              </w:rPr>
              <w:t xml:space="preserve">File Path</w:t>
            </w:r>
          </w:p>
        </w:tc>
      </w:tr>
      <w:tr>
        <w:tc>
          <w:tcPr>
            <w:tcW w:type="dxa" w:w="2200"/>
            <w:tcMar>
              <w:top w:type="dxa" w:w="80"/>
              <w:left w:type="dxa" w:w="120"/>
              <w:bottom w:type="dxa" w:w="80"/>
              <w:right w:type="dxa" w:w="120"/>
            </w:tcMar>
          </w:tcPr>
          <w:p>
            <w:r>
              <w:rPr>
                <w:color w:val="1A1A1A"/>
                <w:sz w:val="18"/>
                <w:szCs w:val="18"/>
              </w:rPr>
              <w:t xml:space="preserve">1. Upload / Intake</w:t>
            </w:r>
          </w:p>
        </w:tc>
        <w:tc>
          <w:tcPr>
            <w:tcW w:type="dxa" w:w="6800"/>
            <w:tcMar>
              <w:top w:type="dxa" w:w="80"/>
              <w:left w:type="dxa" w:w="120"/>
              <w:bottom w:type="dxa" w:w="80"/>
              <w:right w:type="dxa" w:w="120"/>
            </w:tcMar>
          </w:tcPr>
          <w:p>
            <w:r>
              <w:rPr>
                <w:color w:val="1A1A1A"/>
                <w:sz w:val="18"/>
                <w:szCs w:val="18"/>
              </w:rPr>
              <w:t xml:space="preserve">html/tsm-doc-search-multi.html</w:t>
            </w:r>
          </w:p>
        </w:tc>
      </w:tr>
      <w:tr>
        <w:tc>
          <w:tcPr>
            <w:tcW w:type="dxa" w:w="2200"/>
            <w:tcMar>
              <w:top w:type="dxa" w:w="80"/>
              <w:left w:type="dxa" w:w="120"/>
              <w:bottom w:type="dxa" w:w="80"/>
              <w:right w:type="dxa" w:w="120"/>
            </w:tcMar>
          </w:tcPr>
          <w:p>
            <w:r>
              <w:rPr>
                <w:color w:val="1A1A1A"/>
                <w:sz w:val="18"/>
                <w:szCs w:val="18"/>
              </w:rPr>
              <w:t xml:space="preserve">2. AI Classification</w:t>
            </w:r>
          </w:p>
        </w:tc>
        <w:tc>
          <w:tcPr>
            <w:tcW w:type="dxa" w:w="6800"/>
            <w:tcMar>
              <w:top w:type="dxa" w:w="80"/>
              <w:left w:type="dxa" w:w="120"/>
              <w:bottom w:type="dxa" w:w="80"/>
              <w:right w:type="dxa" w:w="120"/>
            </w:tcMar>
          </w:tcPr>
          <w:p>
            <w:r>
              <w:rPr>
                <w:color w:val="1A1A1A"/>
                <w:sz w:val="18"/>
                <w:szCs w:val="18"/>
              </w:rPr>
              <w:t xml:space="preserve">server.js — POST route using DOC_ROUTER_PROMPT / DOC_ROUTER_NODES</w:t>
            </w:r>
          </w:p>
        </w:tc>
      </w:tr>
      <w:tr>
        <w:tc>
          <w:tcPr>
            <w:tcW w:type="dxa" w:w="2200"/>
            <w:tcMar>
              <w:top w:type="dxa" w:w="80"/>
              <w:left w:type="dxa" w:w="120"/>
              <w:bottom w:type="dxa" w:w="80"/>
              <w:right w:type="dxa" w:w="120"/>
            </w:tcMar>
          </w:tcPr>
          <w:p>
            <w:r>
              <w:rPr>
                <w:color w:val="1A1A1A"/>
                <w:sz w:val="18"/>
                <w:szCs w:val="18"/>
              </w:rPr>
              <w:t xml:space="preserve">3. Vertical War Room</w:t>
            </w:r>
          </w:p>
        </w:tc>
        <w:tc>
          <w:tcPr>
            <w:tcW w:type="dxa" w:w="6800"/>
            <w:tcMar>
              <w:top w:type="dxa" w:w="80"/>
              <w:left w:type="dxa" w:w="120"/>
              <w:bottom w:type="dxa" w:w="80"/>
              <w:right w:type="dxa" w:w="120"/>
            </w:tcMar>
          </w:tcPr>
          <w:p>
            <w:r>
              <w:rPr>
                <w:color w:val="1A1A1A"/>
                <w:sz w:val="18"/>
                <w:szCs w:val="18"/>
              </w:rPr>
              <w:t xml:space="preserve">one page per vertical, e.g. html/war-rooms/re-war/re-war-room.html</w:t>
            </w:r>
          </w:p>
        </w:tc>
      </w:tr>
      <w:tr>
        <w:tc>
          <w:tcPr>
            <w:tcW w:type="dxa" w:w="2200"/>
            <w:tcMar>
              <w:top w:type="dxa" w:w="80"/>
              <w:left w:type="dxa" w:w="120"/>
              <w:bottom w:type="dxa" w:w="80"/>
              <w:right w:type="dxa" w:w="120"/>
            </w:tcMar>
          </w:tcPr>
          <w:p>
            <w:r>
              <w:rPr>
                <w:color w:val="1A1A1A"/>
                <w:sz w:val="18"/>
                <w:szCs w:val="18"/>
              </w:rPr>
              <w:t xml:space="preserve">4. Strategist → Executive Portal</w:t>
            </w:r>
          </w:p>
        </w:tc>
        <w:tc>
          <w:tcPr>
            <w:tcW w:type="dxa" w:w="6800"/>
            <w:tcMar>
              <w:top w:type="dxa" w:w="80"/>
              <w:left w:type="dxa" w:w="120"/>
              <w:bottom w:type="dxa" w:w="80"/>
              <w:right w:type="dxa" w:w="120"/>
            </w:tcMar>
          </w:tcPr>
          <w:p>
            <w:r>
              <w:rPr>
                <w:color w:val="1A1A1A"/>
                <w:sz w:val="18"/>
                <w:szCs w:val="18"/>
              </w:rPr>
              <w:t xml:space="preserve">the vertical's own relay chain (see Section 5)</w:t>
            </w:r>
          </w:p>
        </w:tc>
      </w:tr>
    </w:tbl>
    <w:p>
      <w:pPr>
        <w:spacing w:after="160"/>
      </w:pPr>
      <w:r>
        <w:rPr>
          <w:i w:val="false"/>
          <w:iCs w:val="false"/>
          <w:color w:val="1A1A1A"/>
          <w:sz w:val="21"/>
          <w:szCs w:val="21"/>
        </w:rPr>
        <w:t xml:space="preserve">The classifier's job is narrow and specific: given a filename and document content, return which vertical(s) a document belongs to, a document type, and a small set of structured fields (see Section 3). It does not decide what to do with the document — that's the War Room reviewer's job, informed by the fields the classifier extracted.</w:t>
      </w:r>
    </w:p>
    <w:p>
      <w:pPr>
        <w:pStyle w:val="Heading1"/>
        <w:spacing w:after="200" w:before="400"/>
      </w:pPr>
      <w:r>
        <w:rPr>
          <w:b/>
          <w:bCs/>
          <w:color w:val="1B2A4A"/>
          <w:sz w:val="32"/>
          <w:szCs w:val="32"/>
        </w:rPr>
        <w:t xml:space="preserve">3. What Gets Captured From Every Document</w:t>
      </w:r>
    </w:p>
    <w:p>
      <w:pPr>
        <w:spacing w:after="160"/>
      </w:pPr>
      <w:r>
        <w:rPr>
          <w:i w:val="false"/>
          <w:iCs w:val="false"/>
          <w:color w:val="1A1A1A"/>
          <w:sz w:val="21"/>
          <w:szCs w:val="21"/>
        </w:rPr>
        <w:t xml:space="preserve">Regardless of vertical, every intake record carries the same core field set. Knowing these fields matters because they're what a War Room reviewer sees on the document card, and what downstream routing logic (see Section 7) keys off of.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B2A4A" w:val="clear"/>
            <w:tcMar>
              <w:top w:type="dxa" w:w="80"/>
              <w:left w:type="dxa" w:w="120"/>
              <w:bottom w:type="dxa" w:w="80"/>
              <w:right w:type="dxa" w:w="120"/>
            </w:tcMar>
          </w:tcPr>
          <w:p>
            <w:r>
              <w:rPr>
                <w:b/>
                <w:bCs/>
                <w:color w:val="FFFFFF"/>
                <w:sz w:val="18"/>
                <w:szCs w:val="18"/>
              </w:rPr>
              <w:t xml:space="preserve">Stage</w:t>
            </w:r>
          </w:p>
        </w:tc>
        <w:tc>
          <w:tcPr>
            <w:tcW w:type="dxa" w:w="6800"/>
            <w:shd w:fill="1B2A4A" w:val="clear"/>
            <w:tcMar>
              <w:top w:type="dxa" w:w="80"/>
              <w:left w:type="dxa" w:w="120"/>
              <w:bottom w:type="dxa" w:w="80"/>
              <w:right w:type="dxa" w:w="120"/>
            </w:tcMar>
          </w:tcPr>
          <w:p>
            <w:r>
              <w:rPr>
                <w:b/>
                <w:bCs/>
                <w:color w:val="FFFFFF"/>
                <w:sz w:val="18"/>
                <w:szCs w:val="18"/>
              </w:rPr>
              <w:t xml:space="preserve">File Path</w:t>
            </w:r>
          </w:p>
        </w:tc>
      </w:tr>
      <w:tr>
        <w:tc>
          <w:tcPr>
            <w:tcW w:type="dxa" w:w="2200"/>
            <w:tcMar>
              <w:top w:type="dxa" w:w="80"/>
              <w:left w:type="dxa" w:w="120"/>
              <w:bottom w:type="dxa" w:w="80"/>
              <w:right w:type="dxa" w:w="120"/>
            </w:tcMar>
          </w:tcPr>
          <w:p>
            <w:r>
              <w:rPr>
                <w:color w:val="1A1A1A"/>
                <w:sz w:val="18"/>
                <w:szCs w:val="18"/>
              </w:rPr>
              <w:t xml:space="preserve">fileName</w:t>
            </w:r>
          </w:p>
        </w:tc>
        <w:tc>
          <w:tcPr>
            <w:tcW w:type="dxa" w:w="6800"/>
            <w:tcMar>
              <w:top w:type="dxa" w:w="80"/>
              <w:left w:type="dxa" w:w="120"/>
              <w:bottom w:type="dxa" w:w="80"/>
              <w:right w:type="dxa" w:w="120"/>
            </w:tcMar>
          </w:tcPr>
          <w:p>
            <w:r>
              <w:rPr>
                <w:color w:val="1A1A1A"/>
                <w:sz w:val="18"/>
                <w:szCs w:val="18"/>
              </w:rPr>
              <w:t xml:space="preserve">the uploaded file's name</w:t>
            </w:r>
          </w:p>
        </w:tc>
      </w:tr>
      <w:tr>
        <w:tc>
          <w:tcPr>
            <w:tcW w:type="dxa" w:w="2200"/>
            <w:tcMar>
              <w:top w:type="dxa" w:w="80"/>
              <w:left w:type="dxa" w:w="120"/>
              <w:bottom w:type="dxa" w:w="80"/>
              <w:right w:type="dxa" w:w="120"/>
            </w:tcMar>
          </w:tcPr>
          <w:p>
            <w:r>
              <w:rPr>
                <w:color w:val="1A1A1A"/>
                <w:sz w:val="18"/>
                <w:szCs w:val="18"/>
              </w:rPr>
              <w:t xml:space="preserve">documentType</w:t>
            </w:r>
          </w:p>
        </w:tc>
        <w:tc>
          <w:tcPr>
            <w:tcW w:type="dxa" w:w="6800"/>
            <w:tcMar>
              <w:top w:type="dxa" w:w="80"/>
              <w:left w:type="dxa" w:w="120"/>
              <w:bottom w:type="dxa" w:w="80"/>
              <w:right w:type="dxa" w:w="120"/>
            </w:tcMar>
          </w:tcPr>
          <w:p>
            <w:r>
              <w:rPr>
                <w:color w:val="1A1A1A"/>
                <w:sz w:val="18"/>
                <w:szCs w:val="18"/>
              </w:rPr>
              <w:t xml:space="preserve">e.g. INVOICE, CLAIM, PERMIT, DENIAL, ESCALATION</w:t>
            </w:r>
          </w:p>
        </w:tc>
      </w:tr>
      <w:tr>
        <w:tc>
          <w:tcPr>
            <w:tcW w:type="dxa" w:w="2200"/>
            <w:tcMar>
              <w:top w:type="dxa" w:w="80"/>
              <w:left w:type="dxa" w:w="120"/>
              <w:bottom w:type="dxa" w:w="80"/>
              <w:right w:type="dxa" w:w="120"/>
            </w:tcMar>
          </w:tcPr>
          <w:p>
            <w:r>
              <w:rPr>
                <w:color w:val="1A1A1A"/>
                <w:sz w:val="18"/>
                <w:szCs w:val="18"/>
              </w:rPr>
              <w:t xml:space="preserve">vendor</w:t>
            </w:r>
          </w:p>
        </w:tc>
        <w:tc>
          <w:tcPr>
            <w:tcW w:type="dxa" w:w="6800"/>
            <w:tcMar>
              <w:top w:type="dxa" w:w="80"/>
              <w:left w:type="dxa" w:w="120"/>
              <w:bottom w:type="dxa" w:w="80"/>
              <w:right w:type="dxa" w:w="120"/>
            </w:tcMar>
          </w:tcPr>
          <w:p>
            <w:r>
              <w:rPr>
                <w:color w:val="1A1A1A"/>
                <w:sz w:val="18"/>
                <w:szCs w:val="18"/>
              </w:rPr>
              <w:t xml:space="preserve">counterparty name, when applicable</w:t>
            </w:r>
          </w:p>
        </w:tc>
      </w:tr>
      <w:tr>
        <w:tc>
          <w:tcPr>
            <w:tcW w:type="dxa" w:w="2200"/>
            <w:tcMar>
              <w:top w:type="dxa" w:w="80"/>
              <w:left w:type="dxa" w:w="120"/>
              <w:bottom w:type="dxa" w:w="80"/>
              <w:right w:type="dxa" w:w="120"/>
            </w:tcMar>
          </w:tcPr>
          <w:p>
            <w:r>
              <w:rPr>
                <w:color w:val="1A1A1A"/>
                <w:sz w:val="18"/>
                <w:szCs w:val="18"/>
              </w:rPr>
              <w:t xml:space="preserve">invoiceNo</w:t>
            </w:r>
          </w:p>
        </w:tc>
        <w:tc>
          <w:tcPr>
            <w:tcW w:type="dxa" w:w="6800"/>
            <w:tcMar>
              <w:top w:type="dxa" w:w="80"/>
              <w:left w:type="dxa" w:w="120"/>
              <w:bottom w:type="dxa" w:w="80"/>
              <w:right w:type="dxa" w:w="120"/>
            </w:tcMar>
          </w:tcPr>
          <w:p>
            <w:r>
              <w:rPr>
                <w:color w:val="1A1A1A"/>
                <w:sz w:val="18"/>
                <w:szCs w:val="18"/>
              </w:rPr>
              <w:t xml:space="preserve">the document's own reference/claim/invoice number</w:t>
            </w:r>
          </w:p>
        </w:tc>
      </w:tr>
      <w:tr>
        <w:tc>
          <w:tcPr>
            <w:tcW w:type="dxa" w:w="2200"/>
            <w:tcMar>
              <w:top w:type="dxa" w:w="80"/>
              <w:left w:type="dxa" w:w="120"/>
              <w:bottom w:type="dxa" w:w="80"/>
              <w:right w:type="dxa" w:w="120"/>
            </w:tcMar>
          </w:tcPr>
          <w:p>
            <w:r>
              <w:rPr>
                <w:color w:val="1A1A1A"/>
                <w:sz w:val="18"/>
                <w:szCs w:val="18"/>
              </w:rPr>
              <w:t xml:space="preserve">exclusionCode</w:t>
            </w:r>
          </w:p>
        </w:tc>
        <w:tc>
          <w:tcPr>
            <w:tcW w:type="dxa" w:w="6800"/>
            <w:tcMar>
              <w:top w:type="dxa" w:w="80"/>
              <w:left w:type="dxa" w:w="120"/>
              <w:bottom w:type="dxa" w:w="80"/>
              <w:right w:type="dxa" w:w="120"/>
            </w:tcMar>
          </w:tcPr>
          <w:p>
            <w:r>
              <w:rPr>
                <w:color w:val="1A1A1A"/>
                <w:sz w:val="18"/>
                <w:szCs w:val="18"/>
              </w:rPr>
              <w:t xml:space="preserve">a short code the classifier assigns — drives routing logic</w:t>
            </w:r>
          </w:p>
        </w:tc>
      </w:tr>
      <w:tr>
        <w:tc>
          <w:tcPr>
            <w:tcW w:type="dxa" w:w="2200"/>
            <w:tcMar>
              <w:top w:type="dxa" w:w="80"/>
              <w:left w:type="dxa" w:w="120"/>
              <w:bottom w:type="dxa" w:w="80"/>
              <w:right w:type="dxa" w:w="120"/>
            </w:tcMar>
          </w:tcPr>
          <w:p>
            <w:r>
              <w:rPr>
                <w:color w:val="1A1A1A"/>
                <w:sz w:val="18"/>
                <w:szCs w:val="18"/>
              </w:rPr>
              <w:t xml:space="preserve">amount</w:t>
            </w:r>
          </w:p>
        </w:tc>
        <w:tc>
          <w:tcPr>
            <w:tcW w:type="dxa" w:w="6800"/>
            <w:tcMar>
              <w:top w:type="dxa" w:w="80"/>
              <w:left w:type="dxa" w:w="120"/>
              <w:bottom w:type="dxa" w:w="80"/>
              <w:right w:type="dxa" w:w="120"/>
            </w:tcMar>
          </w:tcPr>
          <w:p>
            <w:r>
              <w:rPr>
                <w:color w:val="1A1A1A"/>
                <w:sz w:val="18"/>
                <w:szCs w:val="18"/>
              </w:rPr>
              <w:t xml:space="preserve">dollar exposure, 0 if not applicable</w:t>
            </w:r>
          </w:p>
        </w:tc>
      </w:tr>
      <w:tr>
        <w:tc>
          <w:tcPr>
            <w:tcW w:type="dxa" w:w="2200"/>
            <w:tcMar>
              <w:top w:type="dxa" w:w="80"/>
              <w:left w:type="dxa" w:w="120"/>
              <w:bottom w:type="dxa" w:w="80"/>
              <w:right w:type="dxa" w:w="120"/>
            </w:tcMar>
          </w:tcPr>
          <w:p>
            <w:r>
              <w:rPr>
                <w:color w:val="1A1A1A"/>
                <w:sz w:val="18"/>
                <w:szCs w:val="18"/>
              </w:rPr>
              <w:t xml:space="preserve">sourceNode / routing</w:t>
            </w:r>
          </w:p>
        </w:tc>
        <w:tc>
          <w:tcPr>
            <w:tcW w:type="dxa" w:w="6800"/>
            <w:tcMar>
              <w:top w:type="dxa" w:w="80"/>
              <w:left w:type="dxa" w:w="120"/>
              <w:bottom w:type="dxa" w:w="80"/>
              <w:right w:type="dxa" w:w="120"/>
            </w:tcMar>
          </w:tcPr>
          <w:p>
            <w:r>
              <w:rPr>
                <w:color w:val="1A1A1A"/>
                <w:sz w:val="18"/>
                <w:szCs w:val="18"/>
              </w:rPr>
              <w:t xml:space="preserve">which War Room node it lands on, and its relay path</w:t>
            </w:r>
          </w:p>
        </w:tc>
      </w:tr>
    </w:tbl>
    <w:p>
      <w:pPr>
        <w:spacing w:after="160"/>
      </w:pPr>
      <w:r>
        <w:rPr>
          <w:i w:val="false"/>
          <w:iCs w:val="false"/>
          <w:color w:val="1A1A1A"/>
          <w:sz w:val="21"/>
          <w:szCs w:val="21"/>
        </w:rPr>
        <w:t xml:space="preserve">A document can be tagged to more than one vertical at once (e.g. a 1003 loan application tags both Real Estate and FinOps) — in that case it's indexed once but routed into each relevant vertical's own chain independently.</w:t>
      </w:r>
    </w:p>
    <w:p>
      <w:pPr>
        <w:pStyle w:val="Heading1"/>
        <w:spacing w:after="200" w:before="400"/>
      </w:pPr>
      <w:r>
        <w:rPr>
          <w:b/>
          <w:bCs/>
          <w:color w:val="1B2A4A"/>
          <w:sz w:val="32"/>
          <w:szCs w:val="32"/>
        </w:rPr>
        <w:t xml:space="preserve">4. The Mission Preview Checkpoint</w:t>
      </w:r>
    </w:p>
    <w:p>
      <w:pPr>
        <w:spacing w:after="160"/>
      </w:pPr>
      <w:r>
        <w:rPr>
          <w:i w:val="false"/>
          <w:iCs w:val="false"/>
          <w:color w:val="1A1A1A"/>
          <w:sz w:val="21"/>
          <w:szCs w:val="21"/>
        </w:rPr>
        <w:t xml:space="preserve">Not every classification is trusted automatically. The system defines a confidence threshold (MISSION_PREVIEW_CONFIDENCE_THRESHOLD = 0.6 in the current codebase) — below that, or on any schema-validation failure, the document pauses in a Mission Preview modal for a human to confirm or correct the classification before it auto-routes.</w:t>
      </w:r>
    </w:p>
    <w:p>
      <w:pPr>
        <w:spacing w:after="160"/>
      </w:pPr>
      <w:r>
        <w:rPr>
          <w:i w:val="false"/>
          <w:iCs w:val="false"/>
          <w:color w:val="1A1A1A"/>
          <w:sz w:val="21"/>
          <w:szCs w:val="21"/>
        </w:rPr>
        <w:t xml:space="preserve">This is a deliberate speed/safety trade-off: a confident, schema-valid classification skips the modal entirely so the common case stays fast, while a low-confidence or invalid one stops and asks rather than silently guessing.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0392B" w:sz="4"/>
              <w:left w:val="single" w:color="C0392B" w:sz="4"/>
              <w:bottom w:val="single" w:color="C0392B" w:sz="4"/>
              <w:right w:val="single" w:color="C0392B" w:sz="4"/>
            </w:tcBorders>
            <w:shd w:fill="F2F4F7" w:val="clear"/>
            <w:tcMar>
              <w:top w:type="dxa" w:w="120"/>
              <w:left w:type="dxa" w:w="160"/>
              <w:bottom w:type="dxa" w:w="120"/>
              <w:right w:type="dxa" w:w="160"/>
            </w:tcMar>
          </w:tcPr>
          <w:p>
            <w:pPr>
              <w:spacing w:after="80"/>
            </w:pPr>
            <w:r>
              <w:rPr>
                <w:b/>
                <w:bCs/>
                <w:color w:val="C0392B"/>
                <w:sz w:val="21"/>
                <w:szCs w:val="21"/>
              </w:rPr>
              <w:t xml:space="preserve">Reviewer Note</w:t>
            </w:r>
          </w:p>
          <w:p>
            <w:r>
              <w:rPr>
                <w:color w:val="1A1A1A"/>
                <w:sz w:val="20"/>
                <w:szCs w:val="20"/>
              </w:rPr>
              <w:t xml:space="preserve">If you see a Mission Preview modal, that's the system telling you it isn't sure — don't rubber-stamp it. Check the extracted fields (documentType, exclusionCode, amount) against the actual document before confirming.</w:t>
            </w:r>
          </w:p>
        </w:tc>
      </w:tr>
    </w:tbl>
    <w:p>
      <w:pPr>
        <w:pStyle w:val="Heading1"/>
        <w:spacing w:after="200" w:before="400"/>
      </w:pPr>
      <w:r>
        <w:rPr>
          <w:b/>
          <w:bCs/>
          <w:color w:val="1B2A4A"/>
          <w:sz w:val="32"/>
          <w:szCs w:val="32"/>
        </w:rPr>
        <w:t xml:space="preserve">5. Vertical-by-Vertical Processing Guide</w:t>
      </w:r>
    </w:p>
    <w:p>
      <w:pPr>
        <w:spacing w:after="160"/>
      </w:pPr>
      <w:r>
        <w:rPr>
          <w:i w:val="false"/>
          <w:iCs w:val="false"/>
          <w:color w:val="1A1A1A"/>
          <w:sz w:val="21"/>
          <w:szCs w:val="21"/>
        </w:rPr>
        <w:t xml:space="preserve">Each vertical below lists the document types you'll see (real example filenames from the system's own seed/reference data), the routing destination, and the recovery angle specific to that vertical's work. Every vertical currently uses the same shared “Open Node” card action — this manual gives operator guidance alongside it rather than inventing bespoke system text that couldn't be verified against the current codebase.</w:t>
      </w:r>
    </w:p>
    <w:p>
      <w:pPr>
        <w:pStyle w:val="Heading2"/>
        <w:spacing w:after="150" w:before="300"/>
      </w:pPr>
      <w:r>
        <w:rPr>
          <w:b/>
          <w:bCs/>
          <w:color w:val="1B2A4A"/>
          <w:sz w:val="26"/>
          <w:szCs w:val="26"/>
        </w:rPr>
        <w:t xml:space="preserve">FinOps</w:t>
      </w:r>
    </w:p>
    <w:p>
      <w:pPr>
        <w:spacing w:after="160"/>
      </w:pPr>
      <w:r>
        <w:rPr>
          <w:b/>
          <w:bCs/>
          <w:sz w:val="21"/>
          <w:szCs w:val="21"/>
        </w:rPr>
        <w:t xml:space="preserve">Covers: </w:t>
      </w:r>
      <w:r>
        <w:rPr>
          <w:sz w:val="21"/>
          <w:szCs w:val="21"/>
        </w:rPr>
        <w:t xml:space="preserve">General ledger reconciliation, AR aging, vendor invoices, budget variance, and BNCA escalations for financial operations clients.</w:t>
      </w:r>
    </w:p>
    <w:p>
      <w:pPr>
        <w:spacing w:after="100"/>
      </w:pPr>
      <w:r>
        <w:rPr>
          <w:b/>
          <w:bCs/>
          <w:color w:val="1B2A4A"/>
          <w:sz w:val="20"/>
          <w:szCs w:val="20"/>
        </w:rPr>
        <w:t xml:space="preserve">Primary node: </w:t>
      </w:r>
      <w:r>
        <w:rPr>
          <w:color w:val="1A1A1A"/>
          <w:sz w:val="20"/>
          <w:szCs w:val="20"/>
        </w:rPr>
        <w:t xml:space="preserve">fo-war-room (html/finops-suite/finops-war/finops-war-room.html)</w:t>
      </w:r>
    </w:p>
    <w:p>
      <w:pPr>
        <w:pStyle w:val="Heading3"/>
        <w:spacing w:after="100" w:before="200"/>
      </w:pPr>
      <w:r>
        <w:rPr>
          <w:b/>
          <w:bCs/>
          <w:color w:val="C0392B"/>
          <w:sz w:val="22"/>
          <w:szCs w:val="22"/>
        </w:rPr>
        <w:t xml:space="preserve">Document types you'll see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4200"/>
      </w:tblGrid>
      <w:tr>
        <w:trPr>
          <w:tblHeader/>
        </w:trPr>
        <w:tc>
          <w:tcPr>
            <w:tcW w:type="dxa" w:w="2100"/>
            <w:shd w:fill="1B2A4A" w:val="clear"/>
            <w:tcMar>
              <w:top w:type="dxa" w:w="80"/>
              <w:left w:type="dxa" w:w="120"/>
              <w:bottom w:type="dxa" w:w="80"/>
              <w:right w:type="dxa" w:w="120"/>
            </w:tcMar>
          </w:tcPr>
          <w:p>
            <w:r>
              <w:rPr>
                <w:b/>
                <w:bCs/>
                <w:color w:val="FFFFFF"/>
                <w:sz w:val="18"/>
                <w:szCs w:val="18"/>
              </w:rPr>
              <w:t xml:space="preserve">Type</w:t>
            </w:r>
          </w:p>
        </w:tc>
        <w:tc>
          <w:tcPr>
            <w:tcW w:type="dxa" w:w="3300"/>
            <w:shd w:fill="1B2A4A" w:val="clear"/>
            <w:tcMar>
              <w:top w:type="dxa" w:w="80"/>
              <w:left w:type="dxa" w:w="120"/>
              <w:bottom w:type="dxa" w:w="80"/>
              <w:right w:type="dxa" w:w="120"/>
            </w:tcMar>
          </w:tcPr>
          <w:p>
            <w:r>
              <w:rPr>
                <w:b/>
                <w:bCs/>
                <w:color w:val="FFFFFF"/>
                <w:sz w:val="18"/>
                <w:szCs w:val="18"/>
              </w:rPr>
              <w:t xml:space="preserve">Example Filename</w:t>
            </w:r>
          </w:p>
        </w:tc>
        <w:tc>
          <w:tcPr>
            <w:tcW w:type="dxa" w:w="4200"/>
            <w:shd w:fill="1B2A4A" w:val="clear"/>
            <w:tcMar>
              <w:top w:type="dxa" w:w="80"/>
              <w:left w:type="dxa" w:w="120"/>
              <w:bottom w:type="dxa" w:w="80"/>
              <w:right w:type="dxa" w:w="120"/>
            </w:tcMar>
          </w:tcPr>
          <w:p>
            <w:r>
              <w:rPr>
                <w:b/>
                <w:bCs/>
                <w:color w:val="FFFFFF"/>
                <w:sz w:val="18"/>
                <w:szCs w:val="18"/>
              </w:rPr>
              <w:t xml:space="preserve">What It Typically Is</w:t>
            </w:r>
          </w:p>
        </w:tc>
      </w:tr>
      <w:tr>
        <w:tc>
          <w:tcPr>
            <w:tcW w:type="dxa" w:w="2100"/>
            <w:tcMar>
              <w:top w:type="dxa" w:w="80"/>
              <w:left w:type="dxa" w:w="120"/>
              <w:bottom w:type="dxa" w:w="80"/>
              <w:right w:type="dxa" w:w="120"/>
            </w:tcMar>
          </w:tcPr>
          <w:p>
            <w:r>
              <w:rPr>
                <w:color w:val="1A1A1A"/>
                <w:sz w:val="18"/>
                <w:szCs w:val="18"/>
              </w:rPr>
              <w:t xml:space="preserve">LEDGER</w:t>
            </w:r>
          </w:p>
        </w:tc>
        <w:tc>
          <w:tcPr>
            <w:tcW w:type="dxa" w:w="3300"/>
            <w:tcMar>
              <w:top w:type="dxa" w:w="80"/>
              <w:left w:type="dxa" w:w="120"/>
              <w:bottom w:type="dxa" w:w="80"/>
              <w:right w:type="dxa" w:w="120"/>
            </w:tcMar>
          </w:tcPr>
          <w:p>
            <w:r>
              <w:rPr>
                <w:color w:val="1A1A1A"/>
                <w:sz w:val="18"/>
                <w:szCs w:val="18"/>
              </w:rPr>
              <w:t xml:space="preserve">GL_Reconciliation_Q2.record</w:t>
            </w:r>
          </w:p>
        </w:tc>
        <w:tc>
          <w:tcPr>
            <w:tcW w:type="dxa" w:w="4200"/>
            <w:tcMar>
              <w:top w:type="dxa" w:w="80"/>
              <w:left w:type="dxa" w:w="120"/>
              <w:bottom w:type="dxa" w:w="80"/>
              <w:right w:type="dxa" w:w="120"/>
            </w:tcMar>
          </w:tcPr>
          <w:p>
            <w:r>
              <w:rPr>
                <w:color w:val="1A1A1A"/>
                <w:sz w:val="18"/>
                <w:szCs w:val="18"/>
              </w:rPr>
              <w:t xml:space="preserve">A GL reconciliation entry carrying a variance exclusion code</w:t>
            </w:r>
          </w:p>
        </w:tc>
      </w:tr>
      <w:tr>
        <w:tc>
          <w:tcPr>
            <w:tcW w:type="dxa" w:w="2100"/>
            <w:tcMar>
              <w:top w:type="dxa" w:w="80"/>
              <w:left w:type="dxa" w:w="120"/>
              <w:bottom w:type="dxa" w:w="80"/>
              <w:right w:type="dxa" w:w="120"/>
            </w:tcMar>
          </w:tcPr>
          <w:p>
            <w:r>
              <w:rPr>
                <w:color w:val="1A1A1A"/>
                <w:sz w:val="18"/>
                <w:szCs w:val="18"/>
              </w:rPr>
              <w:t xml:space="preserve">LEDGER</w:t>
            </w:r>
          </w:p>
        </w:tc>
        <w:tc>
          <w:tcPr>
            <w:tcW w:type="dxa" w:w="3300"/>
            <w:tcMar>
              <w:top w:type="dxa" w:w="80"/>
              <w:left w:type="dxa" w:w="120"/>
              <w:bottom w:type="dxa" w:w="80"/>
              <w:right w:type="dxa" w:w="120"/>
            </w:tcMar>
          </w:tcPr>
          <w:p>
            <w:r>
              <w:rPr>
                <w:color w:val="1A1A1A"/>
                <w:sz w:val="18"/>
                <w:szCs w:val="18"/>
              </w:rPr>
              <w:t xml:space="preserve">AR_Aging_90day.record</w:t>
            </w:r>
          </w:p>
        </w:tc>
        <w:tc>
          <w:tcPr>
            <w:tcW w:type="dxa" w:w="4200"/>
            <w:tcMar>
              <w:top w:type="dxa" w:w="80"/>
              <w:left w:type="dxa" w:w="120"/>
              <w:bottom w:type="dxa" w:w="80"/>
              <w:right w:type="dxa" w:w="120"/>
            </w:tcMar>
          </w:tcPr>
          <w:p>
            <w:r>
              <w:rPr>
                <w:color w:val="1A1A1A"/>
                <w:sz w:val="18"/>
                <w:szCs w:val="18"/>
              </w:rPr>
              <w:t xml:space="preserve">A 90-day AR aging report, often auto-escalated to BNCA</w:t>
            </w:r>
          </w:p>
        </w:tc>
      </w:tr>
      <w:tr>
        <w:tc>
          <w:tcPr>
            <w:tcW w:type="dxa" w:w="2100"/>
            <w:tcMar>
              <w:top w:type="dxa" w:w="80"/>
              <w:left w:type="dxa" w:w="120"/>
              <w:bottom w:type="dxa" w:w="80"/>
              <w:right w:type="dxa" w:w="120"/>
            </w:tcMar>
          </w:tcPr>
          <w:p>
            <w:r>
              <w:rPr>
                <w:color w:val="1A1A1A"/>
                <w:sz w:val="18"/>
                <w:szCs w:val="18"/>
              </w:rPr>
              <w:t xml:space="preserve">VENDOR INVOICE</w:t>
            </w:r>
          </w:p>
        </w:tc>
        <w:tc>
          <w:tcPr>
            <w:tcW w:type="dxa" w:w="3300"/>
            <w:tcMar>
              <w:top w:type="dxa" w:w="80"/>
              <w:left w:type="dxa" w:w="120"/>
              <w:bottom w:type="dxa" w:w="80"/>
              <w:right w:type="dxa" w:w="120"/>
            </w:tcMar>
          </w:tcPr>
          <w:p>
            <w:r>
              <w:rPr>
                <w:color w:val="1A1A1A"/>
                <w:sz w:val="18"/>
                <w:szCs w:val="18"/>
              </w:rPr>
              <w:t xml:space="preserve">Vendor_Invoice_SaaSco.record</w:t>
            </w:r>
          </w:p>
        </w:tc>
        <w:tc>
          <w:tcPr>
            <w:tcW w:type="dxa" w:w="4200"/>
            <w:tcMar>
              <w:top w:type="dxa" w:w="80"/>
              <w:left w:type="dxa" w:w="120"/>
              <w:bottom w:type="dxa" w:w="80"/>
              <w:right w:type="dxa" w:w="120"/>
            </w:tcMar>
          </w:tcPr>
          <w:p>
            <w:r>
              <w:rPr>
                <w:color w:val="1A1A1A"/>
                <w:sz w:val="18"/>
                <w:szCs w:val="18"/>
              </w:rPr>
              <w:t xml:space="preserve">A standard AP vendor invoice awaiting reconciliation</w:t>
            </w:r>
          </w:p>
        </w:tc>
      </w:tr>
      <w:tr>
        <w:tc>
          <w:tcPr>
            <w:tcW w:type="dxa" w:w="2100"/>
            <w:tcMar>
              <w:top w:type="dxa" w:w="80"/>
              <w:left w:type="dxa" w:w="120"/>
              <w:bottom w:type="dxa" w:w="80"/>
              <w:right w:type="dxa" w:w="120"/>
            </w:tcMar>
          </w:tcPr>
          <w:p>
            <w:r>
              <w:rPr>
                <w:color w:val="1A1A1A"/>
                <w:sz w:val="18"/>
                <w:szCs w:val="18"/>
              </w:rPr>
              <w:t xml:space="preserve">ESCALATION</w:t>
            </w:r>
          </w:p>
        </w:tc>
        <w:tc>
          <w:tcPr>
            <w:tcW w:type="dxa" w:w="3300"/>
            <w:tcMar>
              <w:top w:type="dxa" w:w="80"/>
              <w:left w:type="dxa" w:w="120"/>
              <w:bottom w:type="dxa" w:w="80"/>
              <w:right w:type="dxa" w:w="120"/>
            </w:tcMar>
          </w:tcPr>
          <w:p>
            <w:r>
              <w:rPr>
                <w:color w:val="1A1A1A"/>
                <w:sz w:val="18"/>
                <w:szCs w:val="18"/>
              </w:rPr>
              <w:t xml:space="preserve">BNCA_AR_fo-financial.report</w:t>
            </w:r>
          </w:p>
        </w:tc>
        <w:tc>
          <w:tcPr>
            <w:tcW w:type="dxa" w:w="4200"/>
            <w:tcMar>
              <w:top w:type="dxa" w:w="80"/>
              <w:left w:type="dxa" w:w="120"/>
              <w:bottom w:type="dxa" w:w="80"/>
              <w:right w:type="dxa" w:w="120"/>
            </w:tcMar>
          </w:tcPr>
          <w:p>
            <w:r>
              <w:rPr>
                <w:color w:val="1A1A1A"/>
                <w:sz w:val="18"/>
                <w:szCs w:val="18"/>
              </w:rPr>
              <w:t xml:space="preserve">A system-generated escalation once an AR item clears the BNCA threshold</w:t>
            </w:r>
          </w:p>
        </w:tc>
      </w:tr>
    </w:tbl>
    <w:p>
      <w:pPr>
        <w:pStyle w:val="Heading3"/>
        <w:spacing w:after="100" w:before="200"/>
      </w:pPr>
      <w:r>
        <w:rPr>
          <w:b/>
          <w:bCs/>
          <w:color w:val="C0392B"/>
          <w:sz w:val="22"/>
          <w:szCs w:val="22"/>
        </w:rPr>
        <w:t xml:space="preserve">How this vertical is actioned today</w:t>
      </w:r>
    </w:p>
    <w:p>
      <w:pPr>
        <w:spacing w:after="160"/>
      </w:pPr>
      <w:r>
        <w:rPr>
          <w:i w:val="false"/>
          <w:iCs w:val="false"/>
          <w:color w:val="1A1A1A"/>
          <w:sz w:val="21"/>
          <w:szCs w:val="21"/>
        </w:rPr>
        <w:t xml:space="preserve">FinOps documents use the shared “Open Node” action. Reviewers open the flagged item in the War Room, confirm the GL code / invoice number against the exclusion code shown on the card, and either clear it or push it to the Strategist for reconciliation sign-off.</w:t>
      </w:r>
    </w:p>
    <w:p>
      <w:pPr>
        <w:pStyle w:val="Heading3"/>
        <w:spacing w:after="100" w:before="200"/>
      </w:pPr>
      <w:r>
        <w:rPr>
          <w:b/>
          <w:bCs/>
          <w:color w:val="C0392B"/>
          <w:sz w:val="22"/>
          <w:szCs w:val="22"/>
        </w:rPr>
        <w:t xml:space="preserve">Relay chain (War Room → Strategist → Executive Portal)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B2A4A" w:val="clear"/>
            <w:tcMar>
              <w:top w:type="dxa" w:w="80"/>
              <w:left w:type="dxa" w:w="120"/>
              <w:bottom w:type="dxa" w:w="80"/>
              <w:right w:type="dxa" w:w="120"/>
            </w:tcMar>
          </w:tcPr>
          <w:p>
            <w:r>
              <w:rPr>
                <w:b/>
                <w:bCs/>
                <w:color w:val="FFFFFF"/>
                <w:sz w:val="18"/>
                <w:szCs w:val="18"/>
              </w:rPr>
              <w:t xml:space="preserve">Stage</w:t>
            </w:r>
          </w:p>
        </w:tc>
        <w:tc>
          <w:tcPr>
            <w:tcW w:type="dxa" w:w="6800"/>
            <w:shd w:fill="1B2A4A" w:val="clear"/>
            <w:tcMar>
              <w:top w:type="dxa" w:w="80"/>
              <w:left w:type="dxa" w:w="120"/>
              <w:bottom w:type="dxa" w:w="80"/>
              <w:right w:type="dxa" w:w="120"/>
            </w:tcMar>
          </w:tcPr>
          <w:p>
            <w:r>
              <w:rPr>
                <w:b/>
                <w:bCs/>
                <w:color w:val="FFFFFF"/>
                <w:sz w:val="18"/>
                <w:szCs w:val="18"/>
              </w:rPr>
              <w:t xml:space="preserve">File Path</w:t>
            </w:r>
          </w:p>
        </w:tc>
      </w:tr>
      <w:tr>
        <w:tc>
          <w:tcPr>
            <w:tcW w:type="dxa" w:w="2200"/>
            <w:tcMar>
              <w:top w:type="dxa" w:w="80"/>
              <w:left w:type="dxa" w:w="120"/>
              <w:bottom w:type="dxa" w:w="80"/>
              <w:right w:type="dxa" w:w="120"/>
            </w:tcMar>
          </w:tcPr>
          <w:p>
            <w:r>
              <w:rPr>
                <w:color w:val="1A1A1A"/>
                <w:sz w:val="18"/>
                <w:szCs w:val="18"/>
              </w:rPr>
              <w:t xml:space="preserve">War Room</w:t>
            </w:r>
          </w:p>
        </w:tc>
        <w:tc>
          <w:tcPr>
            <w:tcW w:type="dxa" w:w="6800"/>
            <w:tcMar>
              <w:top w:type="dxa" w:w="80"/>
              <w:left w:type="dxa" w:w="120"/>
              <w:bottom w:type="dxa" w:w="80"/>
              <w:right w:type="dxa" w:w="120"/>
            </w:tcMar>
          </w:tcPr>
          <w:p>
            <w:r>
              <w:rPr>
                <w:color w:val="1A1A1A"/>
                <w:sz w:val="18"/>
                <w:szCs w:val="18"/>
              </w:rPr>
              <w:t xml:space="preserve">html/finops-suite/finops-war/finops-war-room.html</w:t>
            </w:r>
          </w:p>
        </w:tc>
      </w:tr>
      <w:tr>
        <w:tc>
          <w:tcPr>
            <w:tcW w:type="dxa" w:w="2200"/>
            <w:tcMar>
              <w:top w:type="dxa" w:w="80"/>
              <w:left w:type="dxa" w:w="120"/>
              <w:bottom w:type="dxa" w:w="80"/>
              <w:right w:type="dxa" w:w="120"/>
            </w:tcMar>
          </w:tcPr>
          <w:p>
            <w:r>
              <w:rPr>
                <w:color w:val="1A1A1A"/>
                <w:sz w:val="18"/>
                <w:szCs w:val="18"/>
              </w:rPr>
              <w:t xml:space="preserve">Strategist</w:t>
            </w:r>
          </w:p>
        </w:tc>
        <w:tc>
          <w:tcPr>
            <w:tcW w:type="dxa" w:w="6800"/>
            <w:tcMar>
              <w:top w:type="dxa" w:w="80"/>
              <w:left w:type="dxa" w:w="120"/>
              <w:bottom w:type="dxa" w:w="80"/>
              <w:right w:type="dxa" w:w="120"/>
            </w:tcMar>
          </w:tcPr>
          <w:p>
            <w:r>
              <w:rPr>
                <w:color w:val="1A1A1A"/>
                <w:sz w:val="18"/>
                <w:szCs w:val="18"/>
              </w:rPr>
              <w:t xml:space="preserve">html/finops-suite/finops-war/finops-main-strategist.html</w:t>
            </w:r>
          </w:p>
        </w:tc>
      </w:tr>
      <w:tr>
        <w:tc>
          <w:tcPr>
            <w:tcW w:type="dxa" w:w="2200"/>
            <w:tcMar>
              <w:top w:type="dxa" w:w="80"/>
              <w:left w:type="dxa" w:w="120"/>
              <w:bottom w:type="dxa" w:w="80"/>
              <w:right w:type="dxa" w:w="120"/>
            </w:tcMar>
          </w:tcPr>
          <w:p>
            <w:r>
              <w:rPr>
                <w:color w:val="1A1A1A"/>
                <w:sz w:val="18"/>
                <w:szCs w:val="18"/>
              </w:rPr>
              <w:t xml:space="preserve">Executive Portal (BNCA Escalated)</w:t>
            </w:r>
          </w:p>
        </w:tc>
        <w:tc>
          <w:tcPr>
            <w:tcW w:type="dxa" w:w="6800"/>
            <w:tcMar>
              <w:top w:type="dxa" w:w="80"/>
              <w:left w:type="dxa" w:w="120"/>
              <w:bottom w:type="dxa" w:w="80"/>
              <w:right w:type="dxa" w:w="120"/>
            </w:tcMar>
          </w:tcPr>
          <w:p>
            <w:r>
              <w:rPr>
                <w:color w:val="1A1A1A"/>
                <w:sz w:val="18"/>
                <w:szCs w:val="18"/>
              </w:rPr>
              <w:t xml:space="preserve">html/finops-suite/finops-war/finops-executive-portal.html</w:t>
            </w:r>
          </w:p>
        </w:tc>
      </w:tr>
      <w:tr>
        <w:tc>
          <w:tcPr>
            <w:tcW w:type="dxa" w:w="2200"/>
            <w:tcMar>
              <w:top w:type="dxa" w:w="80"/>
              <w:left w:type="dxa" w:w="120"/>
              <w:bottom w:type="dxa" w:w="80"/>
              <w:right w:type="dxa" w:w="120"/>
            </w:tcMar>
          </w:tcPr>
          <w:p>
            <w:r>
              <w:rPr>
                <w:color w:val="1A1A1A"/>
                <w:sz w:val="18"/>
                <w:szCs w:val="18"/>
              </w:rPr>
              <w:t xml:space="preserve">Sentinel Center Feed</w:t>
            </w:r>
          </w:p>
        </w:tc>
        <w:tc>
          <w:tcPr>
            <w:tcW w:type="dxa" w:w="6800"/>
            <w:tcMar>
              <w:top w:type="dxa" w:w="80"/>
              <w:left w:type="dxa" w:w="120"/>
              <w:bottom w:type="dxa" w:w="80"/>
              <w:right w:type="dxa" w:w="120"/>
            </w:tcMar>
          </w:tcPr>
          <w:p>
            <w:r>
              <w:rPr>
                <w:color w:val="1A1A1A"/>
                <w:sz w:val="18"/>
                <w:szCs w:val="18"/>
              </w:rPr>
              <w:t xml:space="preserve">html/sentinel-center.html reads this same relay via localStorage key TSM_FINOPS_STRATEGIST_RELAY (written by the Strategist stage above)</w:t>
            </w:r>
          </w:p>
        </w:tc>
      </w:tr>
    </w:tbl>
    <w:p>
      <w:pPr>
        <w:pStyle w:val="Heading3"/>
        <w:spacing w:after="100" w:before="200"/>
      </w:pPr>
      <w:r>
        <w:rPr>
          <w:b/>
          <w:bCs/>
          <w:color w:val="C0392B"/>
          <w:sz w:val="22"/>
          <w:szCs w:val="22"/>
        </w:rPr>
        <w:t xml:space="preserve">Why it matters for revenue recovery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0392B" w:sz="4"/>
              <w:left w:val="single" w:color="C0392B" w:sz="4"/>
              <w:bottom w:val="single" w:color="C0392B" w:sz="4"/>
              <w:right w:val="single" w:color="C0392B" w:sz="4"/>
            </w:tcBorders>
            <w:shd w:fill="F2F4F7" w:val="clear"/>
            <w:tcMar>
              <w:top w:type="dxa" w:w="120"/>
              <w:left w:type="dxa" w:w="160"/>
              <w:bottom w:type="dxa" w:w="120"/>
              <w:right w:type="dxa" w:w="160"/>
            </w:tcMar>
          </w:tcPr>
          <w:p>
            <w:pPr>
              <w:spacing w:after="80"/>
            </w:pPr>
            <w:r>
              <w:rPr>
                <w:b/>
                <w:bCs/>
                <w:color w:val="C0392B"/>
                <w:sz w:val="21"/>
                <w:szCs w:val="21"/>
              </w:rPr>
              <w:t xml:space="preserve">Recovery Note</w:t>
            </w:r>
          </w:p>
          <w:p>
            <w:r>
              <w:rPr>
                <w:color w:val="1A1A1A"/>
                <w:sz w:val="20"/>
                <w:szCs w:val="20"/>
              </w:rPr>
              <w:t xml:space="preserve">AR aging and GL variance items are where recoverable dollars sit longest — the 90-day AR aging record alone carries an $87,400 exposure in the seeded sample data. Catching the BNCA escalation early keeps aged receivables from becoming write-offs.</w:t>
            </w:r>
          </w:p>
        </w:tc>
      </w:tr>
    </w:tbl>
    <w:p>
      <w:r>
        <w:br w:type="page"/>
      </w:r>
    </w:p>
    <w:p>
      <w:pPr>
        <w:pStyle w:val="Heading2"/>
        <w:spacing w:after="150" w:before="300"/>
      </w:pPr>
      <w:r>
        <w:rPr>
          <w:b/>
          <w:bCs/>
          <w:color w:val="1B2A4A"/>
          <w:sz w:val="26"/>
          <w:szCs w:val="26"/>
        </w:rPr>
        <w:t xml:space="preserve">Insurance</w:t>
      </w:r>
    </w:p>
    <w:p>
      <w:pPr>
        <w:spacing w:after="160"/>
      </w:pPr>
      <w:r>
        <w:rPr>
          <w:b/>
          <w:bCs/>
          <w:sz w:val="21"/>
          <w:szCs w:val="21"/>
        </w:rPr>
        <w:t xml:space="preserve">Covers: </w:t>
      </w:r>
      <w:r>
        <w:rPr>
          <w:sz w:val="21"/>
          <w:szCs w:val="21"/>
        </w:rPr>
        <w:t xml:space="preserve">Claims, policies, renewals, and remittances for insurance-servicing clients.</w:t>
      </w:r>
    </w:p>
    <w:p>
      <w:pPr>
        <w:spacing w:after="100"/>
      </w:pPr>
      <w:r>
        <w:rPr>
          <w:b/>
          <w:bCs/>
          <w:color w:val="1B2A4A"/>
          <w:sz w:val="20"/>
          <w:szCs w:val="20"/>
        </w:rPr>
        <w:t xml:space="preserve">Primary node: </w:t>
      </w:r>
      <w:r>
        <w:rPr>
          <w:color w:val="1A1A1A"/>
          <w:sz w:val="20"/>
          <w:szCs w:val="20"/>
        </w:rPr>
        <w:t xml:space="preserve">ins-war-room (html/war-rooms/insure-war/insurance-war-room.html)</w:t>
      </w:r>
    </w:p>
    <w:p>
      <w:pPr>
        <w:pStyle w:val="Heading3"/>
        <w:spacing w:after="100" w:before="200"/>
      </w:pPr>
      <w:r>
        <w:rPr>
          <w:b/>
          <w:bCs/>
          <w:color w:val="C0392B"/>
          <w:sz w:val="22"/>
          <w:szCs w:val="22"/>
        </w:rPr>
        <w:t xml:space="preserve">Document types you'll see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4200"/>
      </w:tblGrid>
      <w:tr>
        <w:trPr>
          <w:tblHeader/>
        </w:trPr>
        <w:tc>
          <w:tcPr>
            <w:tcW w:type="dxa" w:w="2100"/>
            <w:shd w:fill="1B2A4A" w:val="clear"/>
            <w:tcMar>
              <w:top w:type="dxa" w:w="80"/>
              <w:left w:type="dxa" w:w="120"/>
              <w:bottom w:type="dxa" w:w="80"/>
              <w:right w:type="dxa" w:w="120"/>
            </w:tcMar>
          </w:tcPr>
          <w:p>
            <w:r>
              <w:rPr>
                <w:b/>
                <w:bCs/>
                <w:color w:val="FFFFFF"/>
                <w:sz w:val="18"/>
                <w:szCs w:val="18"/>
              </w:rPr>
              <w:t xml:space="preserve">Type</w:t>
            </w:r>
          </w:p>
        </w:tc>
        <w:tc>
          <w:tcPr>
            <w:tcW w:type="dxa" w:w="3300"/>
            <w:shd w:fill="1B2A4A" w:val="clear"/>
            <w:tcMar>
              <w:top w:type="dxa" w:w="80"/>
              <w:left w:type="dxa" w:w="120"/>
              <w:bottom w:type="dxa" w:w="80"/>
              <w:right w:type="dxa" w:w="120"/>
            </w:tcMar>
          </w:tcPr>
          <w:p>
            <w:r>
              <w:rPr>
                <w:b/>
                <w:bCs/>
                <w:color w:val="FFFFFF"/>
                <w:sz w:val="18"/>
                <w:szCs w:val="18"/>
              </w:rPr>
              <w:t xml:space="preserve">Example Filename</w:t>
            </w:r>
          </w:p>
        </w:tc>
        <w:tc>
          <w:tcPr>
            <w:tcW w:type="dxa" w:w="4200"/>
            <w:shd w:fill="1B2A4A" w:val="clear"/>
            <w:tcMar>
              <w:top w:type="dxa" w:w="80"/>
              <w:left w:type="dxa" w:w="120"/>
              <w:bottom w:type="dxa" w:w="80"/>
              <w:right w:type="dxa" w:w="120"/>
            </w:tcMar>
          </w:tcPr>
          <w:p>
            <w:r>
              <w:rPr>
                <w:b/>
                <w:bCs/>
                <w:color w:val="FFFFFF"/>
                <w:sz w:val="18"/>
                <w:szCs w:val="18"/>
              </w:rPr>
              <w:t xml:space="preserve">What It Typically Is</w:t>
            </w:r>
          </w:p>
        </w:tc>
      </w:tr>
      <w:tr>
        <w:tc>
          <w:tcPr>
            <w:tcW w:type="dxa" w:w="2100"/>
            <w:tcMar>
              <w:top w:type="dxa" w:w="80"/>
              <w:left w:type="dxa" w:w="120"/>
              <w:bottom w:type="dxa" w:w="80"/>
              <w:right w:type="dxa" w:w="120"/>
            </w:tcMar>
          </w:tcPr>
          <w:p>
            <w:r>
              <w:rPr>
                <w:color w:val="1A1A1A"/>
                <w:sz w:val="18"/>
                <w:szCs w:val="18"/>
              </w:rPr>
              <w:t xml:space="preserve">CLAIM</w:t>
            </w:r>
          </w:p>
        </w:tc>
        <w:tc>
          <w:tcPr>
            <w:tcW w:type="dxa" w:w="3300"/>
            <w:tcMar>
              <w:top w:type="dxa" w:w="80"/>
              <w:left w:type="dxa" w:w="120"/>
              <w:bottom w:type="dxa" w:w="80"/>
              <w:right w:type="dxa" w:w="120"/>
            </w:tcMar>
          </w:tcPr>
          <w:p>
            <w:r>
              <w:rPr>
                <w:color w:val="1A1A1A"/>
                <w:sz w:val="18"/>
                <w:szCs w:val="18"/>
              </w:rPr>
              <w:t xml:space="preserve">CLM-INS-4412_Ramirez.record</w:t>
            </w:r>
          </w:p>
        </w:tc>
        <w:tc>
          <w:tcPr>
            <w:tcW w:type="dxa" w:w="4200"/>
            <w:tcMar>
              <w:top w:type="dxa" w:w="80"/>
              <w:left w:type="dxa" w:w="120"/>
              <w:bottom w:type="dxa" w:w="80"/>
              <w:right w:type="dxa" w:w="120"/>
            </w:tcMar>
          </w:tcPr>
          <w:p>
            <w:r>
              <w:rPr>
                <w:color w:val="1A1A1A"/>
                <w:sz w:val="18"/>
                <w:szCs w:val="18"/>
              </w:rPr>
              <w:t xml:space="preserve">An open claim carrying a coverage-exclusion code</w:t>
            </w:r>
          </w:p>
        </w:tc>
      </w:tr>
      <w:tr>
        <w:tc>
          <w:tcPr>
            <w:tcW w:type="dxa" w:w="2100"/>
            <w:tcMar>
              <w:top w:type="dxa" w:w="80"/>
              <w:left w:type="dxa" w:w="120"/>
              <w:bottom w:type="dxa" w:w="80"/>
              <w:right w:type="dxa" w:w="120"/>
            </w:tcMar>
          </w:tcPr>
          <w:p>
            <w:r>
              <w:rPr>
                <w:color w:val="1A1A1A"/>
                <w:sz w:val="18"/>
                <w:szCs w:val="18"/>
              </w:rPr>
              <w:t xml:space="preserve">POLICY</w:t>
            </w:r>
          </w:p>
        </w:tc>
        <w:tc>
          <w:tcPr>
            <w:tcW w:type="dxa" w:w="3300"/>
            <w:tcMar>
              <w:top w:type="dxa" w:w="80"/>
              <w:left w:type="dxa" w:w="120"/>
              <w:bottom w:type="dxa" w:w="80"/>
              <w:right w:type="dxa" w:w="120"/>
            </w:tcMar>
          </w:tcPr>
          <w:p>
            <w:r>
              <w:rPr>
                <w:color w:val="1A1A1A"/>
                <w:sz w:val="18"/>
                <w:szCs w:val="18"/>
              </w:rPr>
              <w:t xml:space="preserve">POLICY_Commercial_Glendale.record</w:t>
            </w:r>
          </w:p>
        </w:tc>
        <w:tc>
          <w:tcPr>
            <w:tcW w:type="dxa" w:w="4200"/>
            <w:tcMar>
              <w:top w:type="dxa" w:w="80"/>
              <w:left w:type="dxa" w:w="120"/>
              <w:bottom w:type="dxa" w:w="80"/>
              <w:right w:type="dxa" w:w="120"/>
            </w:tcMar>
          </w:tcPr>
          <w:p>
            <w:r>
              <w:rPr>
                <w:color w:val="1A1A1A"/>
                <w:sz w:val="18"/>
                <w:szCs w:val="18"/>
              </w:rPr>
              <w:t xml:space="preserve">A commercial policy document, often high-dollar (six figures)</w:t>
            </w:r>
          </w:p>
        </w:tc>
      </w:tr>
      <w:tr>
        <w:tc>
          <w:tcPr>
            <w:tcW w:type="dxa" w:w="2100"/>
            <w:tcMar>
              <w:top w:type="dxa" w:w="80"/>
              <w:left w:type="dxa" w:w="120"/>
              <w:bottom w:type="dxa" w:w="80"/>
              <w:right w:type="dxa" w:w="120"/>
            </w:tcMar>
          </w:tcPr>
          <w:p>
            <w:r>
              <w:rPr>
                <w:color w:val="1A1A1A"/>
                <w:sz w:val="18"/>
                <w:szCs w:val="18"/>
              </w:rPr>
              <w:t xml:space="preserve">REMITTANCE</w:t>
            </w:r>
          </w:p>
        </w:tc>
        <w:tc>
          <w:tcPr>
            <w:tcW w:type="dxa" w:w="3300"/>
            <w:tcMar>
              <w:top w:type="dxa" w:w="80"/>
              <w:left w:type="dxa" w:w="120"/>
              <w:bottom w:type="dxa" w:w="80"/>
              <w:right w:type="dxa" w:w="120"/>
            </w:tcMar>
          </w:tcPr>
          <w:p>
            <w:r>
              <w:rPr>
                <w:color w:val="1A1A1A"/>
                <w:sz w:val="18"/>
                <w:szCs w:val="18"/>
              </w:rPr>
              <w:t xml:space="preserve">Remittance_Nationwide_Jul.record</w:t>
            </w:r>
          </w:p>
        </w:tc>
        <w:tc>
          <w:tcPr>
            <w:tcW w:type="dxa" w:w="4200"/>
            <w:tcMar>
              <w:top w:type="dxa" w:w="80"/>
              <w:left w:type="dxa" w:w="120"/>
              <w:bottom w:type="dxa" w:w="80"/>
              <w:right w:type="dxa" w:w="120"/>
            </w:tcMar>
          </w:tcPr>
          <w:p>
            <w:r>
              <w:rPr>
                <w:color w:val="1A1A1A"/>
                <w:sz w:val="18"/>
                <w:szCs w:val="18"/>
              </w:rPr>
              <w:t xml:space="preserve">A carrier remittance batch</w:t>
            </w:r>
          </w:p>
        </w:tc>
      </w:tr>
      <w:tr>
        <w:tc>
          <w:tcPr>
            <w:tcW w:type="dxa" w:w="2100"/>
            <w:tcMar>
              <w:top w:type="dxa" w:w="80"/>
              <w:left w:type="dxa" w:w="120"/>
              <w:bottom w:type="dxa" w:w="80"/>
              <w:right w:type="dxa" w:w="120"/>
            </w:tcMar>
          </w:tcPr>
          <w:p>
            <w:r>
              <w:rPr>
                <w:color w:val="1A1A1A"/>
                <w:sz w:val="18"/>
                <w:szCs w:val="18"/>
              </w:rPr>
              <w:t xml:space="preserve">ESCALATION</w:t>
            </w:r>
          </w:p>
        </w:tc>
        <w:tc>
          <w:tcPr>
            <w:tcW w:type="dxa" w:w="3300"/>
            <w:tcMar>
              <w:top w:type="dxa" w:w="80"/>
              <w:left w:type="dxa" w:w="120"/>
              <w:bottom w:type="dxa" w:w="80"/>
              <w:right w:type="dxa" w:w="120"/>
            </w:tcMar>
          </w:tcPr>
          <w:p>
            <w:r>
              <w:rPr>
                <w:color w:val="1A1A1A"/>
                <w:sz w:val="18"/>
                <w:szCs w:val="18"/>
              </w:rPr>
              <w:t xml:space="preserve">BNCA_CLM-INS-4412.report</w:t>
            </w:r>
          </w:p>
        </w:tc>
        <w:tc>
          <w:tcPr>
            <w:tcW w:type="dxa" w:w="4200"/>
            <w:tcMar>
              <w:top w:type="dxa" w:w="80"/>
              <w:left w:type="dxa" w:w="120"/>
              <w:bottom w:type="dxa" w:w="80"/>
              <w:right w:type="dxa" w:w="120"/>
            </w:tcMar>
          </w:tcPr>
          <w:p>
            <w:r>
              <w:rPr>
                <w:color w:val="1A1A1A"/>
                <w:sz w:val="18"/>
                <w:szCs w:val="18"/>
              </w:rPr>
              <w:t xml:space="preserve">A claim escalated once it clears the BNCA threshold</w:t>
            </w:r>
          </w:p>
        </w:tc>
      </w:tr>
    </w:tbl>
    <w:p>
      <w:pPr>
        <w:pStyle w:val="Heading3"/>
        <w:spacing w:after="100" w:before="200"/>
      </w:pPr>
      <w:r>
        <w:rPr>
          <w:b/>
          <w:bCs/>
          <w:color w:val="C0392B"/>
          <w:sz w:val="22"/>
          <w:szCs w:val="22"/>
        </w:rPr>
        <w:t xml:space="preserve">How this vertical is actioned today</w:t>
      </w:r>
    </w:p>
    <w:p>
      <w:pPr>
        <w:spacing w:after="160"/>
      </w:pPr>
      <w:r>
        <w:rPr>
          <w:i w:val="false"/>
          <w:iCs w:val="false"/>
          <w:color w:val="1A1A1A"/>
          <w:sz w:val="21"/>
          <w:szCs w:val="21"/>
        </w:rPr>
        <w:t xml:space="preserve">Insurance documents use the shared “Open Node” action. Reviewers verify the policyholder/claim number and coverage-exclusion code, then route to the Strategist for adjuster or underwriting follow-up.</w:t>
      </w:r>
    </w:p>
    <w:p>
      <w:pPr>
        <w:pStyle w:val="Heading3"/>
        <w:spacing w:after="100" w:before="200"/>
      </w:pPr>
      <w:r>
        <w:rPr>
          <w:b/>
          <w:bCs/>
          <w:color w:val="C0392B"/>
          <w:sz w:val="22"/>
          <w:szCs w:val="22"/>
        </w:rPr>
        <w:t xml:space="preserve">Relay chain (War Room → Strategist → Executive Portal)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B2A4A" w:val="clear"/>
            <w:tcMar>
              <w:top w:type="dxa" w:w="80"/>
              <w:left w:type="dxa" w:w="120"/>
              <w:bottom w:type="dxa" w:w="80"/>
              <w:right w:type="dxa" w:w="120"/>
            </w:tcMar>
          </w:tcPr>
          <w:p>
            <w:r>
              <w:rPr>
                <w:b/>
                <w:bCs/>
                <w:color w:val="FFFFFF"/>
                <w:sz w:val="18"/>
                <w:szCs w:val="18"/>
              </w:rPr>
              <w:t xml:space="preserve">Stage</w:t>
            </w:r>
          </w:p>
        </w:tc>
        <w:tc>
          <w:tcPr>
            <w:tcW w:type="dxa" w:w="6800"/>
            <w:shd w:fill="1B2A4A" w:val="clear"/>
            <w:tcMar>
              <w:top w:type="dxa" w:w="80"/>
              <w:left w:type="dxa" w:w="120"/>
              <w:bottom w:type="dxa" w:w="80"/>
              <w:right w:type="dxa" w:w="120"/>
            </w:tcMar>
          </w:tcPr>
          <w:p>
            <w:r>
              <w:rPr>
                <w:b/>
                <w:bCs/>
                <w:color w:val="FFFFFF"/>
                <w:sz w:val="18"/>
                <w:szCs w:val="18"/>
              </w:rPr>
              <w:t xml:space="preserve">File Path</w:t>
            </w:r>
          </w:p>
        </w:tc>
      </w:tr>
      <w:tr>
        <w:tc>
          <w:tcPr>
            <w:tcW w:type="dxa" w:w="2200"/>
            <w:tcMar>
              <w:top w:type="dxa" w:w="80"/>
              <w:left w:type="dxa" w:w="120"/>
              <w:bottom w:type="dxa" w:w="80"/>
              <w:right w:type="dxa" w:w="120"/>
            </w:tcMar>
          </w:tcPr>
          <w:p>
            <w:r>
              <w:rPr>
                <w:color w:val="1A1A1A"/>
                <w:sz w:val="18"/>
                <w:szCs w:val="18"/>
              </w:rPr>
              <w:t xml:space="preserve">War Room</w:t>
            </w:r>
          </w:p>
        </w:tc>
        <w:tc>
          <w:tcPr>
            <w:tcW w:type="dxa" w:w="6800"/>
            <w:tcMar>
              <w:top w:type="dxa" w:w="80"/>
              <w:left w:type="dxa" w:w="120"/>
              <w:bottom w:type="dxa" w:w="80"/>
              <w:right w:type="dxa" w:w="120"/>
            </w:tcMar>
          </w:tcPr>
          <w:p>
            <w:r>
              <w:rPr>
                <w:color w:val="1A1A1A"/>
                <w:sz w:val="18"/>
                <w:szCs w:val="18"/>
              </w:rPr>
              <w:t xml:space="preserve">html/war-rooms/insure-war/insurance-war-room.html</w:t>
            </w:r>
          </w:p>
        </w:tc>
      </w:tr>
      <w:tr>
        <w:tc>
          <w:tcPr>
            <w:tcW w:type="dxa" w:w="2200"/>
            <w:tcMar>
              <w:top w:type="dxa" w:w="80"/>
              <w:left w:type="dxa" w:w="120"/>
              <w:bottom w:type="dxa" w:w="80"/>
              <w:right w:type="dxa" w:w="120"/>
            </w:tcMar>
          </w:tcPr>
          <w:p>
            <w:r>
              <w:rPr>
                <w:color w:val="1A1A1A"/>
                <w:sz w:val="18"/>
                <w:szCs w:val="18"/>
              </w:rPr>
              <w:t xml:space="preserve">Strategist</w:t>
            </w:r>
          </w:p>
        </w:tc>
        <w:tc>
          <w:tcPr>
            <w:tcW w:type="dxa" w:w="6800"/>
            <w:tcMar>
              <w:top w:type="dxa" w:w="80"/>
              <w:left w:type="dxa" w:w="120"/>
              <w:bottom w:type="dxa" w:w="80"/>
              <w:right w:type="dxa" w:w="120"/>
            </w:tcMar>
          </w:tcPr>
          <w:p>
            <w:r>
              <w:rPr>
                <w:color w:val="1A1A1A"/>
                <w:sz w:val="18"/>
                <w:szCs w:val="18"/>
              </w:rPr>
              <w:t xml:space="preserve">html/war-rooms/insure-war/insurance-strategist.html</w:t>
            </w:r>
          </w:p>
        </w:tc>
      </w:tr>
      <w:tr>
        <w:tc>
          <w:tcPr>
            <w:tcW w:type="dxa" w:w="2200"/>
            <w:tcMar>
              <w:top w:type="dxa" w:w="80"/>
              <w:left w:type="dxa" w:w="120"/>
              <w:bottom w:type="dxa" w:w="80"/>
              <w:right w:type="dxa" w:w="120"/>
            </w:tcMar>
          </w:tcPr>
          <w:p>
            <w:r>
              <w:rPr>
                <w:color w:val="1A1A1A"/>
                <w:sz w:val="18"/>
                <w:szCs w:val="18"/>
              </w:rPr>
              <w:t xml:space="preserve">Executive Portal (BNCA Escalated)</w:t>
            </w:r>
          </w:p>
        </w:tc>
        <w:tc>
          <w:tcPr>
            <w:tcW w:type="dxa" w:w="6800"/>
            <w:tcMar>
              <w:top w:type="dxa" w:w="80"/>
              <w:left w:type="dxa" w:w="120"/>
              <w:bottom w:type="dxa" w:w="80"/>
              <w:right w:type="dxa" w:w="120"/>
            </w:tcMar>
          </w:tcPr>
          <w:p>
            <w:r>
              <w:rPr>
                <w:color w:val="1A1A1A"/>
                <w:sz w:val="18"/>
                <w:szCs w:val="18"/>
              </w:rPr>
              <w:t xml:space="preserve">html/war-rooms/insure-war/insurance-executive-portal.html</w:t>
            </w:r>
          </w:p>
        </w:tc>
      </w:tr>
      <w:tr>
        <w:tc>
          <w:tcPr>
            <w:tcW w:type="dxa" w:w="2200"/>
            <w:tcMar>
              <w:top w:type="dxa" w:w="80"/>
              <w:left w:type="dxa" w:w="120"/>
              <w:bottom w:type="dxa" w:w="80"/>
              <w:right w:type="dxa" w:w="120"/>
            </w:tcMar>
          </w:tcPr>
          <w:p>
            <w:r>
              <w:rPr>
                <w:color w:val="1A1A1A"/>
                <w:sz w:val="18"/>
                <w:szCs w:val="18"/>
              </w:rPr>
              <w:t xml:space="preserve">Sentinel Center Feed</w:t>
            </w:r>
          </w:p>
        </w:tc>
        <w:tc>
          <w:tcPr>
            <w:tcW w:type="dxa" w:w="6800"/>
            <w:tcMar>
              <w:top w:type="dxa" w:w="80"/>
              <w:left w:type="dxa" w:w="120"/>
              <w:bottom w:type="dxa" w:w="80"/>
              <w:right w:type="dxa" w:w="120"/>
            </w:tcMar>
          </w:tcPr>
          <w:p>
            <w:r>
              <w:rPr>
                <w:color w:val="1A1A1A"/>
                <w:sz w:val="18"/>
                <w:szCs w:val="18"/>
              </w:rPr>
              <w:t xml:space="preserve">html/sentinel-center.html reads this same relay via localStorage key TSM_INSURANCE_STRATEGIST_RELAY (written by the Strategist stage above)</w:t>
            </w:r>
          </w:p>
        </w:tc>
      </w:tr>
    </w:tbl>
    <w:p>
      <w:pPr>
        <w:pStyle w:val="Heading3"/>
        <w:spacing w:after="100" w:before="200"/>
      </w:pPr>
      <w:r>
        <w:rPr>
          <w:b/>
          <w:bCs/>
          <w:color w:val="C0392B"/>
          <w:sz w:val="22"/>
          <w:szCs w:val="22"/>
        </w:rPr>
        <w:t xml:space="preserve">Why it matters for revenue recovery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0392B" w:sz="4"/>
              <w:left w:val="single" w:color="C0392B" w:sz="4"/>
              <w:bottom w:val="single" w:color="C0392B" w:sz="4"/>
              <w:right w:val="single" w:color="C0392B" w:sz="4"/>
            </w:tcBorders>
            <w:shd w:fill="F2F4F7" w:val="clear"/>
            <w:tcMar>
              <w:top w:type="dxa" w:w="120"/>
              <w:left w:type="dxa" w:w="160"/>
              <w:bottom w:type="dxa" w:w="120"/>
              <w:right w:type="dxa" w:w="160"/>
            </w:tcMar>
          </w:tcPr>
          <w:p>
            <w:pPr>
              <w:spacing w:after="80"/>
            </w:pPr>
            <w:r>
              <w:rPr>
                <w:b/>
                <w:bCs/>
                <w:color w:val="C0392B"/>
                <w:sz w:val="21"/>
                <w:szCs w:val="21"/>
              </w:rPr>
              <w:t xml:space="preserve">Recovery Note</w:t>
            </w:r>
          </w:p>
          <w:p>
            <w:r>
              <w:rPr>
                <w:color w:val="1A1A1A"/>
                <w:sz w:val="20"/>
                <w:szCs w:val="20"/>
              </w:rPr>
              <w:t xml:space="preserve">Coverage-exclusion codes (E&amp;O, CO-series) are the recovery signal here — a claim or policy that carries one and stalls in the War Room is money sitting on the table until someone actions it.</w:t>
            </w:r>
          </w:p>
        </w:tc>
      </w:tr>
    </w:tbl>
    <w:p>
      <w:r>
        <w:br w:type="page"/>
      </w:r>
    </w:p>
    <w:p>
      <w:pPr>
        <w:pStyle w:val="Heading2"/>
        <w:spacing w:after="150" w:before="300"/>
      </w:pPr>
      <w:r>
        <w:rPr>
          <w:b/>
          <w:bCs/>
          <w:color w:val="1B2A4A"/>
          <w:sz w:val="26"/>
          <w:szCs w:val="26"/>
        </w:rPr>
        <w:t xml:space="preserve">Construction</w:t>
      </w:r>
    </w:p>
    <w:p>
      <w:pPr>
        <w:spacing w:after="160"/>
      </w:pPr>
      <w:r>
        <w:rPr>
          <w:b/>
          <w:bCs/>
          <w:sz w:val="21"/>
          <w:szCs w:val="21"/>
        </w:rPr>
        <w:t xml:space="preserve">Covers: </w:t>
      </w:r>
      <w:r>
        <w:rPr>
          <w:sz w:val="21"/>
          <w:szCs w:val="21"/>
        </w:rPr>
        <w:t xml:space="preserve">Permits, subcontractor invoices, change orders, and cost-variance escalations.</w:t>
      </w:r>
    </w:p>
    <w:p>
      <w:pPr>
        <w:spacing w:after="100"/>
      </w:pPr>
      <w:r>
        <w:rPr>
          <w:b/>
          <w:bCs/>
          <w:color w:val="1B2A4A"/>
          <w:sz w:val="20"/>
          <w:szCs w:val="20"/>
        </w:rPr>
        <w:t xml:space="preserve">Primary node: </w:t>
      </w:r>
      <w:r>
        <w:rPr>
          <w:color w:val="1A1A1A"/>
          <w:sz w:val="20"/>
          <w:szCs w:val="20"/>
        </w:rPr>
        <w:t xml:space="preserve">con-war-room (html/war-rooms/construct-war/construction-war-room.html)</w:t>
      </w:r>
    </w:p>
    <w:p>
      <w:pPr>
        <w:pStyle w:val="Heading3"/>
        <w:spacing w:after="100" w:before="200"/>
      </w:pPr>
      <w:r>
        <w:rPr>
          <w:b/>
          <w:bCs/>
          <w:color w:val="C0392B"/>
          <w:sz w:val="22"/>
          <w:szCs w:val="22"/>
        </w:rPr>
        <w:t xml:space="preserve">Document types you'll see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4200"/>
      </w:tblGrid>
      <w:tr>
        <w:trPr>
          <w:tblHeader/>
        </w:trPr>
        <w:tc>
          <w:tcPr>
            <w:tcW w:type="dxa" w:w="2100"/>
            <w:shd w:fill="1B2A4A" w:val="clear"/>
            <w:tcMar>
              <w:top w:type="dxa" w:w="80"/>
              <w:left w:type="dxa" w:w="120"/>
              <w:bottom w:type="dxa" w:w="80"/>
              <w:right w:type="dxa" w:w="120"/>
            </w:tcMar>
          </w:tcPr>
          <w:p>
            <w:r>
              <w:rPr>
                <w:b/>
                <w:bCs/>
                <w:color w:val="FFFFFF"/>
                <w:sz w:val="18"/>
                <w:szCs w:val="18"/>
              </w:rPr>
              <w:t xml:space="preserve">Type</w:t>
            </w:r>
          </w:p>
        </w:tc>
        <w:tc>
          <w:tcPr>
            <w:tcW w:type="dxa" w:w="3300"/>
            <w:shd w:fill="1B2A4A" w:val="clear"/>
            <w:tcMar>
              <w:top w:type="dxa" w:w="80"/>
              <w:left w:type="dxa" w:w="120"/>
              <w:bottom w:type="dxa" w:w="80"/>
              <w:right w:type="dxa" w:w="120"/>
            </w:tcMar>
          </w:tcPr>
          <w:p>
            <w:r>
              <w:rPr>
                <w:b/>
                <w:bCs/>
                <w:color w:val="FFFFFF"/>
                <w:sz w:val="18"/>
                <w:szCs w:val="18"/>
              </w:rPr>
              <w:t xml:space="preserve">Example Filename</w:t>
            </w:r>
          </w:p>
        </w:tc>
        <w:tc>
          <w:tcPr>
            <w:tcW w:type="dxa" w:w="4200"/>
            <w:shd w:fill="1B2A4A" w:val="clear"/>
            <w:tcMar>
              <w:top w:type="dxa" w:w="80"/>
              <w:left w:type="dxa" w:w="120"/>
              <w:bottom w:type="dxa" w:w="80"/>
              <w:right w:type="dxa" w:w="120"/>
            </w:tcMar>
          </w:tcPr>
          <w:p>
            <w:r>
              <w:rPr>
                <w:b/>
                <w:bCs/>
                <w:color w:val="FFFFFF"/>
                <w:sz w:val="18"/>
                <w:szCs w:val="18"/>
              </w:rPr>
              <w:t xml:space="preserve">What It Typically Is</w:t>
            </w:r>
          </w:p>
        </w:tc>
      </w:tr>
      <w:tr>
        <w:tc>
          <w:tcPr>
            <w:tcW w:type="dxa" w:w="2100"/>
            <w:tcMar>
              <w:top w:type="dxa" w:w="80"/>
              <w:left w:type="dxa" w:w="120"/>
              <w:bottom w:type="dxa" w:w="80"/>
              <w:right w:type="dxa" w:w="120"/>
            </w:tcMar>
          </w:tcPr>
          <w:p>
            <w:r>
              <w:rPr>
                <w:color w:val="1A1A1A"/>
                <w:sz w:val="18"/>
                <w:szCs w:val="18"/>
              </w:rPr>
              <w:t xml:space="preserve">PERMIT</w:t>
            </w:r>
          </w:p>
        </w:tc>
        <w:tc>
          <w:tcPr>
            <w:tcW w:type="dxa" w:w="3300"/>
            <w:tcMar>
              <w:top w:type="dxa" w:w="80"/>
              <w:left w:type="dxa" w:w="120"/>
              <w:bottom w:type="dxa" w:w="80"/>
              <w:right w:type="dxa" w:w="120"/>
            </w:tcMar>
          </w:tcPr>
          <w:p>
            <w:r>
              <w:rPr>
                <w:color w:val="1A1A1A"/>
                <w:sz w:val="18"/>
                <w:szCs w:val="18"/>
              </w:rPr>
              <w:t xml:space="preserve">PERMIT_Mesa_88B.record</w:t>
            </w:r>
          </w:p>
        </w:tc>
        <w:tc>
          <w:tcPr>
            <w:tcW w:type="dxa" w:w="4200"/>
            <w:tcMar>
              <w:top w:type="dxa" w:w="80"/>
              <w:left w:type="dxa" w:w="120"/>
              <w:bottom w:type="dxa" w:w="80"/>
              <w:right w:type="dxa" w:w="120"/>
            </w:tcMar>
          </w:tcPr>
          <w:p>
            <w:r>
              <w:rPr>
                <w:color w:val="1A1A1A"/>
                <w:sz w:val="18"/>
                <w:szCs w:val="18"/>
              </w:rPr>
              <w:t xml:space="preserve">A municipal permit, e.g. City of Mesa</w:t>
            </w:r>
          </w:p>
        </w:tc>
      </w:tr>
      <w:tr>
        <w:tc>
          <w:tcPr>
            <w:tcW w:type="dxa" w:w="2100"/>
            <w:tcMar>
              <w:top w:type="dxa" w:w="80"/>
              <w:left w:type="dxa" w:w="120"/>
              <w:bottom w:type="dxa" w:w="80"/>
              <w:right w:type="dxa" w:w="120"/>
            </w:tcMar>
          </w:tcPr>
          <w:p>
            <w:r>
              <w:rPr>
                <w:color w:val="1A1A1A"/>
                <w:sz w:val="18"/>
                <w:szCs w:val="18"/>
              </w:rPr>
              <w:t xml:space="preserve">VENDOR INVOICE</w:t>
            </w:r>
          </w:p>
        </w:tc>
        <w:tc>
          <w:tcPr>
            <w:tcW w:type="dxa" w:w="3300"/>
            <w:tcMar>
              <w:top w:type="dxa" w:w="80"/>
              <w:left w:type="dxa" w:w="120"/>
              <w:bottom w:type="dxa" w:w="80"/>
              <w:right w:type="dxa" w:w="120"/>
            </w:tcMar>
          </w:tcPr>
          <w:p>
            <w:r>
              <w:rPr>
                <w:color w:val="1A1A1A"/>
                <w:sz w:val="18"/>
                <w:szCs w:val="18"/>
              </w:rPr>
              <w:t xml:space="preserve">Subcontractor_Invoice_Drywall.record</w:t>
            </w:r>
          </w:p>
        </w:tc>
        <w:tc>
          <w:tcPr>
            <w:tcW w:type="dxa" w:w="4200"/>
            <w:tcMar>
              <w:top w:type="dxa" w:w="80"/>
              <w:left w:type="dxa" w:w="120"/>
              <w:bottom w:type="dxa" w:w="80"/>
              <w:right w:type="dxa" w:w="120"/>
            </w:tcMar>
          </w:tcPr>
          <w:p>
            <w:r>
              <w:rPr>
                <w:color w:val="1A1A1A"/>
                <w:sz w:val="18"/>
                <w:szCs w:val="18"/>
              </w:rPr>
              <w:t xml:space="preserve">A subcontractor invoice pending AP reconciliation</w:t>
            </w:r>
          </w:p>
        </w:tc>
      </w:tr>
      <w:tr>
        <w:tc>
          <w:tcPr>
            <w:tcW w:type="dxa" w:w="2100"/>
            <w:tcMar>
              <w:top w:type="dxa" w:w="80"/>
              <w:left w:type="dxa" w:w="120"/>
              <w:bottom w:type="dxa" w:w="80"/>
              <w:right w:type="dxa" w:w="120"/>
            </w:tcMar>
          </w:tcPr>
          <w:p>
            <w:r>
              <w:rPr>
                <w:color w:val="1A1A1A"/>
                <w:sz w:val="18"/>
                <w:szCs w:val="18"/>
              </w:rPr>
              <w:t xml:space="preserve">DOCUMENT REPORT</w:t>
            </w:r>
          </w:p>
        </w:tc>
        <w:tc>
          <w:tcPr>
            <w:tcW w:type="dxa" w:w="3300"/>
            <w:tcMar>
              <w:top w:type="dxa" w:w="80"/>
              <w:left w:type="dxa" w:w="120"/>
              <w:bottom w:type="dxa" w:w="80"/>
              <w:right w:type="dxa" w:w="120"/>
            </w:tcMar>
          </w:tcPr>
          <w:p>
            <w:r>
              <w:rPr>
                <w:color w:val="1A1A1A"/>
                <w:sz w:val="18"/>
                <w:szCs w:val="18"/>
              </w:rPr>
              <w:t xml:space="preserve">Change_Order_07_Scottsdale.record</w:t>
            </w:r>
          </w:p>
        </w:tc>
        <w:tc>
          <w:tcPr>
            <w:tcW w:type="dxa" w:w="4200"/>
            <w:tcMar>
              <w:top w:type="dxa" w:w="80"/>
              <w:left w:type="dxa" w:w="120"/>
              <w:bottom w:type="dxa" w:w="80"/>
              <w:right w:type="dxa" w:w="120"/>
            </w:tcMar>
          </w:tcPr>
          <w:p>
            <w:r>
              <w:rPr>
                <w:color w:val="1A1A1A"/>
                <w:sz w:val="18"/>
                <w:szCs w:val="18"/>
              </w:rPr>
              <w:t xml:space="preserve">A change order carrying its own exclusion code</w:t>
            </w:r>
          </w:p>
        </w:tc>
      </w:tr>
      <w:tr>
        <w:tc>
          <w:tcPr>
            <w:tcW w:type="dxa" w:w="2100"/>
            <w:tcMar>
              <w:top w:type="dxa" w:w="80"/>
              <w:left w:type="dxa" w:w="120"/>
              <w:bottom w:type="dxa" w:w="80"/>
              <w:right w:type="dxa" w:w="120"/>
            </w:tcMar>
          </w:tcPr>
          <w:p>
            <w:r>
              <w:rPr>
                <w:color w:val="1A1A1A"/>
                <w:sz w:val="18"/>
                <w:szCs w:val="18"/>
              </w:rPr>
              <w:t xml:space="preserve">ESCALATION</w:t>
            </w:r>
          </w:p>
        </w:tc>
        <w:tc>
          <w:tcPr>
            <w:tcW w:type="dxa" w:w="3300"/>
            <w:tcMar>
              <w:top w:type="dxa" w:w="80"/>
              <w:left w:type="dxa" w:w="120"/>
              <w:bottom w:type="dxa" w:w="80"/>
              <w:right w:type="dxa" w:w="120"/>
            </w:tcMar>
          </w:tcPr>
          <w:p>
            <w:r>
              <w:rPr>
                <w:color w:val="1A1A1A"/>
                <w:sz w:val="18"/>
                <w:szCs w:val="18"/>
              </w:rPr>
              <w:t xml:space="preserve">BNCA_PERMIT_Mesa_88B.report</w:t>
            </w:r>
          </w:p>
        </w:tc>
        <w:tc>
          <w:tcPr>
            <w:tcW w:type="dxa" w:w="4200"/>
            <w:tcMar>
              <w:top w:type="dxa" w:w="80"/>
              <w:left w:type="dxa" w:w="120"/>
              <w:bottom w:type="dxa" w:w="80"/>
              <w:right w:type="dxa" w:w="120"/>
            </w:tcMar>
          </w:tcPr>
          <w:p>
            <w:r>
              <w:rPr>
                <w:color w:val="1A1A1A"/>
                <w:sz w:val="18"/>
                <w:szCs w:val="18"/>
              </w:rPr>
              <w:t xml:space="preserve">A permit item escalated to BNCA</w:t>
            </w:r>
          </w:p>
        </w:tc>
      </w:tr>
    </w:tbl>
    <w:p>
      <w:pPr>
        <w:pStyle w:val="Heading3"/>
        <w:spacing w:after="100" w:before="200"/>
      </w:pPr>
      <w:r>
        <w:rPr>
          <w:b/>
          <w:bCs/>
          <w:color w:val="C0392B"/>
          <w:sz w:val="22"/>
          <w:szCs w:val="22"/>
        </w:rPr>
        <w:t xml:space="preserve">How this vertical is actioned today</w:t>
      </w:r>
    </w:p>
    <w:p>
      <w:pPr>
        <w:spacing w:after="160"/>
      </w:pPr>
      <w:r>
        <w:rPr>
          <w:i w:val="false"/>
          <w:iCs w:val="false"/>
          <w:color w:val="1A1A1A"/>
          <w:sz w:val="21"/>
          <w:szCs w:val="21"/>
        </w:rPr>
        <w:t xml:space="preserve">Construction documents use the shared “Open Node” action. Reviewers cross-check the permit or change-order number against project records before clearing or escalating.</w:t>
      </w:r>
    </w:p>
    <w:p>
      <w:pPr>
        <w:pStyle w:val="Heading3"/>
        <w:spacing w:after="100" w:before="200"/>
      </w:pPr>
      <w:r>
        <w:rPr>
          <w:b/>
          <w:bCs/>
          <w:color w:val="C0392B"/>
          <w:sz w:val="22"/>
          <w:szCs w:val="22"/>
        </w:rPr>
        <w:t xml:space="preserve">Relay chain (War Room → Strategist → Executive Portal)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B2A4A" w:val="clear"/>
            <w:tcMar>
              <w:top w:type="dxa" w:w="80"/>
              <w:left w:type="dxa" w:w="120"/>
              <w:bottom w:type="dxa" w:w="80"/>
              <w:right w:type="dxa" w:w="120"/>
            </w:tcMar>
          </w:tcPr>
          <w:p>
            <w:r>
              <w:rPr>
                <w:b/>
                <w:bCs/>
                <w:color w:val="FFFFFF"/>
                <w:sz w:val="18"/>
                <w:szCs w:val="18"/>
              </w:rPr>
              <w:t xml:space="preserve">Stage</w:t>
            </w:r>
          </w:p>
        </w:tc>
        <w:tc>
          <w:tcPr>
            <w:tcW w:type="dxa" w:w="6800"/>
            <w:shd w:fill="1B2A4A" w:val="clear"/>
            <w:tcMar>
              <w:top w:type="dxa" w:w="80"/>
              <w:left w:type="dxa" w:w="120"/>
              <w:bottom w:type="dxa" w:w="80"/>
              <w:right w:type="dxa" w:w="120"/>
            </w:tcMar>
          </w:tcPr>
          <w:p>
            <w:r>
              <w:rPr>
                <w:b/>
                <w:bCs/>
                <w:color w:val="FFFFFF"/>
                <w:sz w:val="18"/>
                <w:szCs w:val="18"/>
              </w:rPr>
              <w:t xml:space="preserve">File Path</w:t>
            </w:r>
          </w:p>
        </w:tc>
      </w:tr>
      <w:tr>
        <w:tc>
          <w:tcPr>
            <w:tcW w:type="dxa" w:w="2200"/>
            <w:tcMar>
              <w:top w:type="dxa" w:w="80"/>
              <w:left w:type="dxa" w:w="120"/>
              <w:bottom w:type="dxa" w:w="80"/>
              <w:right w:type="dxa" w:w="120"/>
            </w:tcMar>
          </w:tcPr>
          <w:p>
            <w:r>
              <w:rPr>
                <w:color w:val="1A1A1A"/>
                <w:sz w:val="18"/>
                <w:szCs w:val="18"/>
              </w:rPr>
              <w:t xml:space="preserve">War Room</w:t>
            </w:r>
          </w:p>
        </w:tc>
        <w:tc>
          <w:tcPr>
            <w:tcW w:type="dxa" w:w="6800"/>
            <w:tcMar>
              <w:top w:type="dxa" w:w="80"/>
              <w:left w:type="dxa" w:w="120"/>
              <w:bottom w:type="dxa" w:w="80"/>
              <w:right w:type="dxa" w:w="120"/>
            </w:tcMar>
          </w:tcPr>
          <w:p>
            <w:r>
              <w:rPr>
                <w:color w:val="1A1A1A"/>
                <w:sz w:val="18"/>
                <w:szCs w:val="18"/>
              </w:rPr>
              <w:t xml:space="preserve">html/war-rooms/construct-war/construction-war-room.html</w:t>
            </w:r>
          </w:p>
        </w:tc>
      </w:tr>
      <w:tr>
        <w:tc>
          <w:tcPr>
            <w:tcW w:type="dxa" w:w="2200"/>
            <w:tcMar>
              <w:top w:type="dxa" w:w="80"/>
              <w:left w:type="dxa" w:w="120"/>
              <w:bottom w:type="dxa" w:w="80"/>
              <w:right w:type="dxa" w:w="120"/>
            </w:tcMar>
          </w:tcPr>
          <w:p>
            <w:r>
              <w:rPr>
                <w:color w:val="1A1A1A"/>
                <w:sz w:val="18"/>
                <w:szCs w:val="18"/>
              </w:rPr>
              <w:t xml:space="preserve">Strategist</w:t>
            </w:r>
          </w:p>
        </w:tc>
        <w:tc>
          <w:tcPr>
            <w:tcW w:type="dxa" w:w="6800"/>
            <w:tcMar>
              <w:top w:type="dxa" w:w="80"/>
              <w:left w:type="dxa" w:w="120"/>
              <w:bottom w:type="dxa" w:w="80"/>
              <w:right w:type="dxa" w:w="120"/>
            </w:tcMar>
          </w:tcPr>
          <w:p>
            <w:r>
              <w:rPr>
                <w:color w:val="1A1A1A"/>
                <w:sz w:val="18"/>
                <w:szCs w:val="18"/>
              </w:rPr>
              <w:t xml:space="preserve">html/war-rooms/construct-war/construction-strategist.html</w:t>
            </w:r>
          </w:p>
        </w:tc>
      </w:tr>
      <w:tr>
        <w:tc>
          <w:tcPr>
            <w:tcW w:type="dxa" w:w="2200"/>
            <w:tcMar>
              <w:top w:type="dxa" w:w="80"/>
              <w:left w:type="dxa" w:w="120"/>
              <w:bottom w:type="dxa" w:w="80"/>
              <w:right w:type="dxa" w:w="120"/>
            </w:tcMar>
          </w:tcPr>
          <w:p>
            <w:r>
              <w:rPr>
                <w:color w:val="1A1A1A"/>
                <w:sz w:val="18"/>
                <w:szCs w:val="18"/>
              </w:rPr>
              <w:t xml:space="preserve">Executive Portal (BNCA Escalated)</w:t>
            </w:r>
          </w:p>
        </w:tc>
        <w:tc>
          <w:tcPr>
            <w:tcW w:type="dxa" w:w="6800"/>
            <w:tcMar>
              <w:top w:type="dxa" w:w="80"/>
              <w:left w:type="dxa" w:w="120"/>
              <w:bottom w:type="dxa" w:w="80"/>
              <w:right w:type="dxa" w:w="120"/>
            </w:tcMar>
          </w:tcPr>
          <w:p>
            <w:r>
              <w:rPr>
                <w:color w:val="1A1A1A"/>
                <w:sz w:val="18"/>
                <w:szCs w:val="18"/>
              </w:rPr>
              <w:t xml:space="preserve">html/war-rooms/construct-war/construction-executive-portal.html</w:t>
            </w:r>
          </w:p>
        </w:tc>
      </w:tr>
      <w:tr>
        <w:tc>
          <w:tcPr>
            <w:tcW w:type="dxa" w:w="2200"/>
            <w:tcMar>
              <w:top w:type="dxa" w:w="80"/>
              <w:left w:type="dxa" w:w="120"/>
              <w:bottom w:type="dxa" w:w="80"/>
              <w:right w:type="dxa" w:w="120"/>
            </w:tcMar>
          </w:tcPr>
          <w:p>
            <w:r>
              <w:rPr>
                <w:color w:val="1A1A1A"/>
                <w:sz w:val="18"/>
                <w:szCs w:val="18"/>
              </w:rPr>
              <w:t xml:space="preserve">Sentinel Center Feed</w:t>
            </w:r>
          </w:p>
        </w:tc>
        <w:tc>
          <w:tcPr>
            <w:tcW w:type="dxa" w:w="6800"/>
            <w:tcMar>
              <w:top w:type="dxa" w:w="80"/>
              <w:left w:type="dxa" w:w="120"/>
              <w:bottom w:type="dxa" w:w="80"/>
              <w:right w:type="dxa" w:w="120"/>
            </w:tcMar>
          </w:tcPr>
          <w:p>
            <w:r>
              <w:rPr>
                <w:color w:val="1A1A1A"/>
                <w:sz w:val="18"/>
                <w:szCs w:val="18"/>
              </w:rPr>
              <w:t xml:space="preserve">html/sentinel-center.html reads this same relay via localStorage key TSM_CONSTRUCTION_STRATEGIST_RELAY (written by the Strategist stage above)</w:t>
            </w:r>
          </w:p>
        </w:tc>
      </w:tr>
    </w:tbl>
    <w:p>
      <w:pPr>
        <w:pStyle w:val="Heading3"/>
        <w:spacing w:after="100" w:before="200"/>
      </w:pPr>
      <w:r>
        <w:rPr>
          <w:b/>
          <w:bCs/>
          <w:color w:val="C0392B"/>
          <w:sz w:val="22"/>
          <w:szCs w:val="22"/>
        </w:rPr>
        <w:t xml:space="preserve">Why it matters for revenue recovery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0392B" w:sz="4"/>
              <w:left w:val="single" w:color="C0392B" w:sz="4"/>
              <w:bottom w:val="single" w:color="C0392B" w:sz="4"/>
              <w:right w:val="single" w:color="C0392B" w:sz="4"/>
            </w:tcBorders>
            <w:shd w:fill="F2F4F7" w:val="clear"/>
            <w:tcMar>
              <w:top w:type="dxa" w:w="120"/>
              <w:left w:type="dxa" w:w="160"/>
              <w:bottom w:type="dxa" w:w="120"/>
              <w:right w:type="dxa" w:w="160"/>
            </w:tcMar>
          </w:tcPr>
          <w:p>
            <w:pPr>
              <w:spacing w:after="80"/>
            </w:pPr>
            <w:r>
              <w:rPr>
                <w:b/>
                <w:bCs/>
                <w:color w:val="C0392B"/>
                <w:sz w:val="21"/>
                <w:szCs w:val="21"/>
              </w:rPr>
              <w:t xml:space="preserve">Recovery Note</w:t>
            </w:r>
          </w:p>
          <w:p>
            <w:r>
              <w:rPr>
                <w:color w:val="1A1A1A"/>
                <w:sz w:val="20"/>
                <w:szCs w:val="20"/>
              </w:rPr>
              <w:t xml:space="preserve">See Section 7 for a real, code-documented routing risk specific to Construction: a change-order exclusion code that reuses a “CO-” prefix can silently misroute to the wrong recovery path.</w:t>
            </w:r>
          </w:p>
        </w:tc>
      </w:tr>
    </w:tbl>
    <w:p>
      <w:r>
        <w:br w:type="page"/>
      </w:r>
    </w:p>
    <w:p>
      <w:pPr>
        <w:pStyle w:val="Heading2"/>
        <w:spacing w:after="150" w:before="300"/>
      </w:pPr>
      <w:r>
        <w:rPr>
          <w:b/>
          <w:bCs/>
          <w:color w:val="1B2A4A"/>
          <w:sz w:val="26"/>
          <w:szCs w:val="26"/>
        </w:rPr>
        <w:t xml:space="preserve">BPO Internal</w:t>
      </w:r>
    </w:p>
    <w:p>
      <w:pPr>
        <w:spacing w:after="160"/>
      </w:pPr>
      <w:r>
        <w:rPr>
          <w:b/>
          <w:bCs/>
          <w:sz w:val="21"/>
          <w:szCs w:val="21"/>
        </w:rPr>
        <w:t xml:space="preserve">Covers: </w:t>
      </w:r>
      <w:r>
        <w:rPr>
          <w:sz w:val="21"/>
          <w:szCs w:val="21"/>
        </w:rPr>
        <w:t xml:space="preserve">SLA reports, client onboarding, internal SOPs, and service-line invoices.</w:t>
      </w:r>
    </w:p>
    <w:p>
      <w:pPr>
        <w:spacing w:after="100"/>
      </w:pPr>
      <w:r>
        <w:rPr>
          <w:b/>
          <w:bCs/>
          <w:color w:val="1B2A4A"/>
          <w:sz w:val="20"/>
          <w:szCs w:val="20"/>
        </w:rPr>
        <w:t xml:space="preserve">Primary node: </w:t>
      </w:r>
      <w:r>
        <w:rPr>
          <w:color w:val="1A1A1A"/>
          <w:sz w:val="20"/>
          <w:szCs w:val="20"/>
        </w:rPr>
        <w:t xml:space="preserve">bpo-war-room (html/war-rooms/bpo-war/bpo-war-room.html)</w:t>
      </w:r>
    </w:p>
    <w:p>
      <w:pPr>
        <w:pStyle w:val="Heading3"/>
        <w:spacing w:after="100" w:before="200"/>
      </w:pPr>
      <w:r>
        <w:rPr>
          <w:b/>
          <w:bCs/>
          <w:color w:val="C0392B"/>
          <w:sz w:val="22"/>
          <w:szCs w:val="22"/>
        </w:rPr>
        <w:t xml:space="preserve">Document types you'll see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4200"/>
      </w:tblGrid>
      <w:tr>
        <w:trPr>
          <w:tblHeader/>
        </w:trPr>
        <w:tc>
          <w:tcPr>
            <w:tcW w:type="dxa" w:w="2100"/>
            <w:shd w:fill="1B2A4A" w:val="clear"/>
            <w:tcMar>
              <w:top w:type="dxa" w:w="80"/>
              <w:left w:type="dxa" w:w="120"/>
              <w:bottom w:type="dxa" w:w="80"/>
              <w:right w:type="dxa" w:w="120"/>
            </w:tcMar>
          </w:tcPr>
          <w:p>
            <w:r>
              <w:rPr>
                <w:b/>
                <w:bCs/>
                <w:color w:val="FFFFFF"/>
                <w:sz w:val="18"/>
                <w:szCs w:val="18"/>
              </w:rPr>
              <w:t xml:space="preserve">Type</w:t>
            </w:r>
          </w:p>
        </w:tc>
        <w:tc>
          <w:tcPr>
            <w:tcW w:type="dxa" w:w="3300"/>
            <w:shd w:fill="1B2A4A" w:val="clear"/>
            <w:tcMar>
              <w:top w:type="dxa" w:w="80"/>
              <w:left w:type="dxa" w:w="120"/>
              <w:bottom w:type="dxa" w:w="80"/>
              <w:right w:type="dxa" w:w="120"/>
            </w:tcMar>
          </w:tcPr>
          <w:p>
            <w:r>
              <w:rPr>
                <w:b/>
                <w:bCs/>
                <w:color w:val="FFFFFF"/>
                <w:sz w:val="18"/>
                <w:szCs w:val="18"/>
              </w:rPr>
              <w:t xml:space="preserve">Example Filename</w:t>
            </w:r>
          </w:p>
        </w:tc>
        <w:tc>
          <w:tcPr>
            <w:tcW w:type="dxa" w:w="4200"/>
            <w:shd w:fill="1B2A4A" w:val="clear"/>
            <w:tcMar>
              <w:top w:type="dxa" w:w="80"/>
              <w:left w:type="dxa" w:w="120"/>
              <w:bottom w:type="dxa" w:w="80"/>
              <w:right w:type="dxa" w:w="120"/>
            </w:tcMar>
          </w:tcPr>
          <w:p>
            <w:r>
              <w:rPr>
                <w:b/>
                <w:bCs/>
                <w:color w:val="FFFFFF"/>
                <w:sz w:val="18"/>
                <w:szCs w:val="18"/>
              </w:rPr>
              <w:t xml:space="preserve">What It Typically Is</w:t>
            </w:r>
          </w:p>
        </w:tc>
      </w:tr>
      <w:tr>
        <w:tc>
          <w:tcPr>
            <w:tcW w:type="dxa" w:w="2100"/>
            <w:tcMar>
              <w:top w:type="dxa" w:w="80"/>
              <w:left w:type="dxa" w:w="120"/>
              <w:bottom w:type="dxa" w:w="80"/>
              <w:right w:type="dxa" w:w="120"/>
            </w:tcMar>
          </w:tcPr>
          <w:p>
            <w:r>
              <w:rPr>
                <w:color w:val="1A1A1A"/>
                <w:sz w:val="18"/>
                <w:szCs w:val="18"/>
              </w:rPr>
              <w:t xml:space="preserve">DOCUMENT REPORT</w:t>
            </w:r>
          </w:p>
        </w:tc>
        <w:tc>
          <w:tcPr>
            <w:tcW w:type="dxa" w:w="3300"/>
            <w:tcMar>
              <w:top w:type="dxa" w:w="80"/>
              <w:left w:type="dxa" w:w="120"/>
              <w:bottom w:type="dxa" w:w="80"/>
              <w:right w:type="dxa" w:w="120"/>
            </w:tcMar>
          </w:tcPr>
          <w:p>
            <w:r>
              <w:rPr>
                <w:color w:val="1A1A1A"/>
                <w:sz w:val="18"/>
                <w:szCs w:val="18"/>
              </w:rPr>
              <w:t xml:space="preserve">SLA_Report_Acme_June.record</w:t>
            </w:r>
          </w:p>
        </w:tc>
        <w:tc>
          <w:tcPr>
            <w:tcW w:type="dxa" w:w="4200"/>
            <w:tcMar>
              <w:top w:type="dxa" w:w="80"/>
              <w:left w:type="dxa" w:w="120"/>
              <w:bottom w:type="dxa" w:w="80"/>
              <w:right w:type="dxa" w:w="120"/>
            </w:tcMar>
          </w:tcPr>
          <w:p>
            <w:r>
              <w:rPr>
                <w:color w:val="1A1A1A"/>
                <w:sz w:val="18"/>
                <w:szCs w:val="18"/>
              </w:rPr>
              <w:t xml:space="preserve">An SLA report carrying an SLA-breach exclusion code</w:t>
            </w:r>
          </w:p>
        </w:tc>
      </w:tr>
      <w:tr>
        <w:tc>
          <w:tcPr>
            <w:tcW w:type="dxa" w:w="2100"/>
            <w:tcMar>
              <w:top w:type="dxa" w:w="80"/>
              <w:left w:type="dxa" w:w="120"/>
              <w:bottom w:type="dxa" w:w="80"/>
              <w:right w:type="dxa" w:w="120"/>
            </w:tcMar>
          </w:tcPr>
          <w:p>
            <w:r>
              <w:rPr>
                <w:color w:val="1A1A1A"/>
                <w:sz w:val="18"/>
                <w:szCs w:val="18"/>
              </w:rPr>
              <w:t xml:space="preserve">DOCUMENT REPORT</w:t>
            </w:r>
          </w:p>
        </w:tc>
        <w:tc>
          <w:tcPr>
            <w:tcW w:type="dxa" w:w="3300"/>
            <w:tcMar>
              <w:top w:type="dxa" w:w="80"/>
              <w:left w:type="dxa" w:w="120"/>
              <w:bottom w:type="dxa" w:w="80"/>
              <w:right w:type="dxa" w:w="120"/>
            </w:tcMar>
          </w:tcPr>
          <w:p>
            <w:r>
              <w:rPr>
                <w:color w:val="1A1A1A"/>
                <w:sz w:val="18"/>
                <w:szCs w:val="18"/>
              </w:rPr>
              <w:t xml:space="preserve">Onboarding_Checklist_TechFirm.record</w:t>
            </w:r>
          </w:p>
        </w:tc>
        <w:tc>
          <w:tcPr>
            <w:tcW w:type="dxa" w:w="4200"/>
            <w:tcMar>
              <w:top w:type="dxa" w:w="80"/>
              <w:left w:type="dxa" w:w="120"/>
              <w:bottom w:type="dxa" w:w="80"/>
              <w:right w:type="dxa" w:w="120"/>
            </w:tcMar>
          </w:tcPr>
          <w:p>
            <w:r>
              <w:rPr>
                <w:color w:val="1A1A1A"/>
                <w:sz w:val="18"/>
                <w:szCs w:val="18"/>
              </w:rPr>
              <w:t xml:space="preserve">A new-client onboarding checklist</w:t>
            </w:r>
          </w:p>
        </w:tc>
      </w:tr>
      <w:tr>
        <w:tc>
          <w:tcPr>
            <w:tcW w:type="dxa" w:w="2100"/>
            <w:tcMar>
              <w:top w:type="dxa" w:w="80"/>
              <w:left w:type="dxa" w:w="120"/>
              <w:bottom w:type="dxa" w:w="80"/>
              <w:right w:type="dxa" w:w="120"/>
            </w:tcMar>
          </w:tcPr>
          <w:p>
            <w:r>
              <w:rPr>
                <w:color w:val="1A1A1A"/>
                <w:sz w:val="18"/>
                <w:szCs w:val="18"/>
              </w:rPr>
              <w:t xml:space="preserve">VENDOR INVOICE</w:t>
            </w:r>
          </w:p>
        </w:tc>
        <w:tc>
          <w:tcPr>
            <w:tcW w:type="dxa" w:w="3300"/>
            <w:tcMar>
              <w:top w:type="dxa" w:w="80"/>
              <w:left w:type="dxa" w:w="120"/>
              <w:bottom w:type="dxa" w:w="80"/>
              <w:right w:type="dxa" w:w="120"/>
            </w:tcMar>
          </w:tcPr>
          <w:p>
            <w:r>
              <w:rPr>
                <w:color w:val="1A1A1A"/>
                <w:sz w:val="18"/>
                <w:szCs w:val="18"/>
              </w:rPr>
              <w:t xml:space="preserve">Invoice_ClientServices_Jul.record</w:t>
            </w:r>
          </w:p>
        </w:tc>
        <w:tc>
          <w:tcPr>
            <w:tcW w:type="dxa" w:w="4200"/>
            <w:tcMar>
              <w:top w:type="dxa" w:w="80"/>
              <w:left w:type="dxa" w:w="120"/>
              <w:bottom w:type="dxa" w:w="80"/>
              <w:right w:type="dxa" w:w="120"/>
            </w:tcMar>
          </w:tcPr>
          <w:p>
            <w:r>
              <w:rPr>
                <w:color w:val="1A1A1A"/>
                <w:sz w:val="18"/>
                <w:szCs w:val="18"/>
              </w:rPr>
              <w:t xml:space="preserve">A service-line invoice</w:t>
            </w:r>
          </w:p>
        </w:tc>
      </w:tr>
      <w:tr>
        <w:tc>
          <w:tcPr>
            <w:tcW w:type="dxa" w:w="2100"/>
            <w:tcMar>
              <w:top w:type="dxa" w:w="80"/>
              <w:left w:type="dxa" w:w="120"/>
              <w:bottom w:type="dxa" w:w="80"/>
              <w:right w:type="dxa" w:w="120"/>
            </w:tcMar>
          </w:tcPr>
          <w:p>
            <w:r>
              <w:rPr>
                <w:color w:val="1A1A1A"/>
                <w:sz w:val="18"/>
                <w:szCs w:val="18"/>
              </w:rPr>
              <w:t xml:space="preserve">POLICY</w:t>
            </w:r>
          </w:p>
        </w:tc>
        <w:tc>
          <w:tcPr>
            <w:tcW w:type="dxa" w:w="3300"/>
            <w:tcMar>
              <w:top w:type="dxa" w:w="80"/>
              <w:left w:type="dxa" w:w="120"/>
              <w:bottom w:type="dxa" w:w="80"/>
              <w:right w:type="dxa" w:w="120"/>
            </w:tcMar>
          </w:tcPr>
          <w:p>
            <w:r>
              <w:rPr>
                <w:color w:val="1A1A1A"/>
                <w:sz w:val="18"/>
                <w:szCs w:val="18"/>
              </w:rPr>
              <w:t xml:space="preserve">SOP_Document_CallHandling_v3.record</w:t>
            </w:r>
          </w:p>
        </w:tc>
        <w:tc>
          <w:tcPr>
            <w:tcW w:type="dxa" w:w="4200"/>
            <w:tcMar>
              <w:top w:type="dxa" w:w="80"/>
              <w:left w:type="dxa" w:w="120"/>
              <w:bottom w:type="dxa" w:w="80"/>
              <w:right w:type="dxa" w:w="120"/>
            </w:tcMar>
          </w:tcPr>
          <w:p>
            <w:r>
              <w:rPr>
                <w:color w:val="1A1A1A"/>
                <w:sz w:val="18"/>
                <w:szCs w:val="18"/>
              </w:rPr>
              <w:t xml:space="preserve">An internal SOP document</w:t>
            </w:r>
          </w:p>
        </w:tc>
      </w:tr>
    </w:tbl>
    <w:p>
      <w:pPr>
        <w:pStyle w:val="Heading3"/>
        <w:spacing w:after="100" w:before="200"/>
      </w:pPr>
      <w:r>
        <w:rPr>
          <w:b/>
          <w:bCs/>
          <w:color w:val="C0392B"/>
          <w:sz w:val="22"/>
          <w:szCs w:val="22"/>
        </w:rPr>
        <w:t xml:space="preserve">How this vertical is actioned today</w:t>
      </w:r>
    </w:p>
    <w:p>
      <w:pPr>
        <w:spacing w:after="160"/>
      </w:pPr>
      <w:r>
        <w:rPr>
          <w:i w:val="false"/>
          <w:iCs w:val="false"/>
          <w:color w:val="1A1A1A"/>
          <w:sz w:val="21"/>
          <w:szCs w:val="21"/>
        </w:rPr>
        <w:t xml:space="preserve">BPO documents use the shared “Open Node” action. From the War Room, reviewers fire the extraction engine and route to the Strategist (bpo-strategist.html), which reviews five tabs — Strategy Brief, SLA Report, Client Impact, Escalations, and Mission Timeline — and generates a strategy brief before escalating to the Executive Portal for approval and execution. See BPO_Client_Chain_Manual.docx for the full five-stage operating procedure, including the client-facing portal this chain feeds.</w:t>
      </w:r>
    </w:p>
    <w:p>
      <w:pPr>
        <w:pStyle w:val="Heading3"/>
        <w:spacing w:after="100" w:before="200"/>
      </w:pPr>
      <w:r>
        <w:rPr>
          <w:b/>
          <w:bCs/>
          <w:color w:val="C0392B"/>
          <w:sz w:val="22"/>
          <w:szCs w:val="22"/>
        </w:rPr>
        <w:t xml:space="preserve">Relay chain (War Room → Strategist → Executive Portal)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B2A4A" w:val="clear"/>
            <w:tcMar>
              <w:top w:type="dxa" w:w="80"/>
              <w:left w:type="dxa" w:w="120"/>
              <w:bottom w:type="dxa" w:w="80"/>
              <w:right w:type="dxa" w:w="120"/>
            </w:tcMar>
          </w:tcPr>
          <w:p>
            <w:r>
              <w:rPr>
                <w:b/>
                <w:bCs/>
                <w:color w:val="FFFFFF"/>
                <w:sz w:val="18"/>
                <w:szCs w:val="18"/>
              </w:rPr>
              <w:t xml:space="preserve">Stage</w:t>
            </w:r>
          </w:p>
        </w:tc>
        <w:tc>
          <w:tcPr>
            <w:tcW w:type="dxa" w:w="6800"/>
            <w:shd w:fill="1B2A4A" w:val="clear"/>
            <w:tcMar>
              <w:top w:type="dxa" w:w="80"/>
              <w:left w:type="dxa" w:w="120"/>
              <w:bottom w:type="dxa" w:w="80"/>
              <w:right w:type="dxa" w:w="120"/>
            </w:tcMar>
          </w:tcPr>
          <w:p>
            <w:r>
              <w:rPr>
                <w:b/>
                <w:bCs/>
                <w:color w:val="FFFFFF"/>
                <w:sz w:val="18"/>
                <w:szCs w:val="18"/>
              </w:rPr>
              <w:t xml:space="preserve">File Path</w:t>
            </w:r>
          </w:p>
        </w:tc>
      </w:tr>
      <w:tr>
        <w:tc>
          <w:tcPr>
            <w:tcW w:type="dxa" w:w="2200"/>
            <w:tcMar>
              <w:top w:type="dxa" w:w="80"/>
              <w:left w:type="dxa" w:w="120"/>
              <w:bottom w:type="dxa" w:w="80"/>
              <w:right w:type="dxa" w:w="120"/>
            </w:tcMar>
          </w:tcPr>
          <w:p>
            <w:r>
              <w:rPr>
                <w:color w:val="1A1A1A"/>
                <w:sz w:val="18"/>
                <w:szCs w:val="18"/>
              </w:rPr>
              <w:t xml:space="preserve">War Room</w:t>
            </w:r>
          </w:p>
        </w:tc>
        <w:tc>
          <w:tcPr>
            <w:tcW w:type="dxa" w:w="6800"/>
            <w:tcMar>
              <w:top w:type="dxa" w:w="80"/>
              <w:left w:type="dxa" w:w="120"/>
              <w:bottom w:type="dxa" w:w="80"/>
              <w:right w:type="dxa" w:w="120"/>
            </w:tcMar>
          </w:tcPr>
          <w:p>
            <w:r>
              <w:rPr>
                <w:color w:val="1A1A1A"/>
                <w:sz w:val="18"/>
                <w:szCs w:val="18"/>
              </w:rPr>
              <w:t xml:space="preserve">html/war-rooms/bpo-war/bpo-war-room.html</w:t>
            </w:r>
          </w:p>
        </w:tc>
      </w:tr>
      <w:tr>
        <w:tc>
          <w:tcPr>
            <w:tcW w:type="dxa" w:w="2200"/>
            <w:tcMar>
              <w:top w:type="dxa" w:w="80"/>
              <w:left w:type="dxa" w:w="120"/>
              <w:bottom w:type="dxa" w:w="80"/>
              <w:right w:type="dxa" w:w="120"/>
            </w:tcMar>
          </w:tcPr>
          <w:p>
            <w:r>
              <w:rPr>
                <w:color w:val="1A1A1A"/>
                <w:sz w:val="18"/>
                <w:szCs w:val="18"/>
              </w:rPr>
              <w:t xml:space="preserve">Strategist</w:t>
            </w:r>
          </w:p>
        </w:tc>
        <w:tc>
          <w:tcPr>
            <w:tcW w:type="dxa" w:w="6800"/>
            <w:tcMar>
              <w:top w:type="dxa" w:w="80"/>
              <w:left w:type="dxa" w:w="120"/>
              <w:bottom w:type="dxa" w:w="80"/>
              <w:right w:type="dxa" w:w="120"/>
            </w:tcMar>
          </w:tcPr>
          <w:p>
            <w:r>
              <w:rPr>
                <w:color w:val="1A1A1A"/>
                <w:sz w:val="18"/>
                <w:szCs w:val="18"/>
              </w:rPr>
              <w:t xml:space="preserve">html/war-rooms/bpo-war/bpo-strategist.html</w:t>
            </w:r>
          </w:p>
        </w:tc>
      </w:tr>
      <w:tr>
        <w:tc>
          <w:tcPr>
            <w:tcW w:type="dxa" w:w="2200"/>
            <w:tcMar>
              <w:top w:type="dxa" w:w="80"/>
              <w:left w:type="dxa" w:w="120"/>
              <w:bottom w:type="dxa" w:w="80"/>
              <w:right w:type="dxa" w:w="120"/>
            </w:tcMar>
          </w:tcPr>
          <w:p>
            <w:r>
              <w:rPr>
                <w:color w:val="1A1A1A"/>
                <w:sz w:val="18"/>
                <w:szCs w:val="18"/>
              </w:rPr>
              <w:t xml:space="preserve">Executive Portal (BNCA Escalated)</w:t>
            </w:r>
          </w:p>
        </w:tc>
        <w:tc>
          <w:tcPr>
            <w:tcW w:type="dxa" w:w="6800"/>
            <w:tcMar>
              <w:top w:type="dxa" w:w="80"/>
              <w:left w:type="dxa" w:w="120"/>
              <w:bottom w:type="dxa" w:w="80"/>
              <w:right w:type="dxa" w:w="120"/>
            </w:tcMar>
          </w:tcPr>
          <w:p>
            <w:r>
              <w:rPr>
                <w:color w:val="1A1A1A"/>
                <w:sz w:val="18"/>
                <w:szCs w:val="18"/>
              </w:rPr>
              <w:t xml:space="preserve">html/war-rooms/bpo-war/bpo-executive-portal.html</w:t>
            </w:r>
          </w:p>
        </w:tc>
      </w:tr>
      <w:tr>
        <w:tc>
          <w:tcPr>
            <w:tcW w:type="dxa" w:w="2200"/>
            <w:tcMar>
              <w:top w:type="dxa" w:w="80"/>
              <w:left w:type="dxa" w:w="120"/>
              <w:bottom w:type="dxa" w:w="80"/>
              <w:right w:type="dxa" w:w="120"/>
            </w:tcMar>
          </w:tcPr>
          <w:p>
            <w:r>
              <w:rPr>
                <w:color w:val="1A1A1A"/>
                <w:sz w:val="18"/>
                <w:szCs w:val="18"/>
              </w:rPr>
              <w:t xml:space="preserve">Sentinel Center Feed</w:t>
            </w:r>
          </w:p>
        </w:tc>
        <w:tc>
          <w:tcPr>
            <w:tcW w:type="dxa" w:w="6800"/>
            <w:tcMar>
              <w:top w:type="dxa" w:w="80"/>
              <w:left w:type="dxa" w:w="120"/>
              <w:bottom w:type="dxa" w:w="80"/>
              <w:right w:type="dxa" w:w="120"/>
            </w:tcMar>
          </w:tcPr>
          <w:p>
            <w:r>
              <w:rPr>
                <w:color w:val="1A1A1A"/>
                <w:sz w:val="18"/>
                <w:szCs w:val="18"/>
              </w:rPr>
              <w:t xml:space="preserve">html/sentinel-center.html reads this same relay via localStorage key TSM_BPO_STRATEGIST_RELAY (written by the Strategist stage above)</w:t>
            </w:r>
          </w:p>
        </w:tc>
      </w:tr>
    </w:tbl>
    <w:p>
      <w:pPr>
        <w:pStyle w:val="Heading3"/>
        <w:spacing w:after="100" w:before="200"/>
      </w:pPr>
      <w:r>
        <w:rPr>
          <w:b/>
          <w:bCs/>
          <w:color w:val="C0392B"/>
          <w:sz w:val="22"/>
          <w:szCs w:val="22"/>
        </w:rPr>
        <w:t xml:space="preserve">Why it matters for revenue recovery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0392B" w:sz="4"/>
              <w:left w:val="single" w:color="C0392B" w:sz="4"/>
              <w:bottom w:val="single" w:color="C0392B" w:sz="4"/>
              <w:right w:val="single" w:color="C0392B" w:sz="4"/>
            </w:tcBorders>
            <w:shd w:fill="F2F4F7" w:val="clear"/>
            <w:tcMar>
              <w:top w:type="dxa" w:w="120"/>
              <w:left w:type="dxa" w:w="160"/>
              <w:bottom w:type="dxa" w:w="120"/>
              <w:right w:type="dxa" w:w="160"/>
            </w:tcMar>
          </w:tcPr>
          <w:p>
            <w:pPr>
              <w:spacing w:after="80"/>
            </w:pPr>
            <w:r>
              <w:rPr>
                <w:b/>
                <w:bCs/>
                <w:color w:val="C0392B"/>
                <w:sz w:val="21"/>
                <w:szCs w:val="21"/>
              </w:rPr>
              <w:t xml:space="preserve">Recovery Note</w:t>
            </w:r>
          </w:p>
          <w:p>
            <w:r>
              <w:rPr>
                <w:color w:val="1A1A1A"/>
                <w:sz w:val="20"/>
                <w:szCs w:val="20"/>
              </w:rPr>
              <w:t xml:space="preserve">SLA-breach codes are the clearest recovery signal in this vertical — an unresolved SLA breach is a contractual credit or penalty exposure until it's cleared.</w:t>
            </w:r>
          </w:p>
        </w:tc>
      </w:tr>
    </w:tbl>
    <w:p>
      <w:r>
        <w:br w:type="page"/>
      </w:r>
    </w:p>
    <w:p>
      <w:pPr>
        <w:pStyle w:val="Heading2"/>
        <w:spacing w:after="150" w:before="300"/>
      </w:pPr>
      <w:r>
        <w:rPr>
          <w:b/>
          <w:bCs/>
          <w:color w:val="1B2A4A"/>
          <w:sz w:val="26"/>
          <w:szCs w:val="26"/>
        </w:rPr>
        <w:t xml:space="preserve">Real Estate</w:t>
      </w:r>
    </w:p>
    <w:p>
      <w:pPr>
        <w:spacing w:after="160"/>
      </w:pPr>
      <w:r>
        <w:rPr>
          <w:b/>
          <w:bCs/>
          <w:sz w:val="21"/>
          <w:szCs w:val="21"/>
        </w:rPr>
        <w:t xml:space="preserve">Covers: </w:t>
      </w:r>
      <w:r>
        <w:rPr>
          <w:sz w:val="21"/>
          <w:szCs w:val="21"/>
        </w:rPr>
        <w:t xml:space="preserve">Listing agreements, title reports, closing disclosures, and inspection reports.</w:t>
      </w:r>
    </w:p>
    <w:p>
      <w:pPr>
        <w:spacing w:after="100"/>
      </w:pPr>
      <w:r>
        <w:rPr>
          <w:b/>
          <w:bCs/>
          <w:color w:val="1B2A4A"/>
          <w:sz w:val="20"/>
          <w:szCs w:val="20"/>
        </w:rPr>
        <w:t xml:space="preserve">Primary node: </w:t>
      </w:r>
      <w:r>
        <w:rPr>
          <w:color w:val="1A1A1A"/>
          <w:sz w:val="20"/>
          <w:szCs w:val="20"/>
        </w:rPr>
        <w:t xml:space="preserve">re-war-room (html/war-rooms/re-war/re-war-room.html)</w:t>
      </w:r>
    </w:p>
    <w:p>
      <w:pPr>
        <w:pStyle w:val="Heading3"/>
        <w:spacing w:after="100" w:before="200"/>
      </w:pPr>
      <w:r>
        <w:rPr>
          <w:b/>
          <w:bCs/>
          <w:color w:val="C0392B"/>
          <w:sz w:val="22"/>
          <w:szCs w:val="22"/>
        </w:rPr>
        <w:t xml:space="preserve">Document types you'll see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4200"/>
      </w:tblGrid>
      <w:tr>
        <w:trPr>
          <w:tblHeader/>
        </w:trPr>
        <w:tc>
          <w:tcPr>
            <w:tcW w:type="dxa" w:w="2100"/>
            <w:shd w:fill="1B2A4A" w:val="clear"/>
            <w:tcMar>
              <w:top w:type="dxa" w:w="80"/>
              <w:left w:type="dxa" w:w="120"/>
              <w:bottom w:type="dxa" w:w="80"/>
              <w:right w:type="dxa" w:w="120"/>
            </w:tcMar>
          </w:tcPr>
          <w:p>
            <w:r>
              <w:rPr>
                <w:b/>
                <w:bCs/>
                <w:color w:val="FFFFFF"/>
                <w:sz w:val="18"/>
                <w:szCs w:val="18"/>
              </w:rPr>
              <w:t xml:space="preserve">Type</w:t>
            </w:r>
          </w:p>
        </w:tc>
        <w:tc>
          <w:tcPr>
            <w:tcW w:type="dxa" w:w="3300"/>
            <w:shd w:fill="1B2A4A" w:val="clear"/>
            <w:tcMar>
              <w:top w:type="dxa" w:w="80"/>
              <w:left w:type="dxa" w:w="120"/>
              <w:bottom w:type="dxa" w:w="80"/>
              <w:right w:type="dxa" w:w="120"/>
            </w:tcMar>
          </w:tcPr>
          <w:p>
            <w:r>
              <w:rPr>
                <w:b/>
                <w:bCs/>
                <w:color w:val="FFFFFF"/>
                <w:sz w:val="18"/>
                <w:szCs w:val="18"/>
              </w:rPr>
              <w:t xml:space="preserve">Example Filename</w:t>
            </w:r>
          </w:p>
        </w:tc>
        <w:tc>
          <w:tcPr>
            <w:tcW w:type="dxa" w:w="4200"/>
            <w:shd w:fill="1B2A4A" w:val="clear"/>
            <w:tcMar>
              <w:top w:type="dxa" w:w="80"/>
              <w:left w:type="dxa" w:w="120"/>
              <w:bottom w:type="dxa" w:w="80"/>
              <w:right w:type="dxa" w:w="120"/>
            </w:tcMar>
          </w:tcPr>
          <w:p>
            <w:r>
              <w:rPr>
                <w:b/>
                <w:bCs/>
                <w:color w:val="FFFFFF"/>
                <w:sz w:val="18"/>
                <w:szCs w:val="18"/>
              </w:rPr>
              <w:t xml:space="preserve">What It Typically Is</w:t>
            </w:r>
          </w:p>
        </w:tc>
      </w:tr>
      <w:tr>
        <w:tc>
          <w:tcPr>
            <w:tcW w:type="dxa" w:w="2100"/>
            <w:tcMar>
              <w:top w:type="dxa" w:w="80"/>
              <w:left w:type="dxa" w:w="120"/>
              <w:bottom w:type="dxa" w:w="80"/>
              <w:right w:type="dxa" w:w="120"/>
            </w:tcMar>
          </w:tcPr>
          <w:p>
            <w:r>
              <w:rPr>
                <w:color w:val="1A1A1A"/>
                <w:sz w:val="18"/>
                <w:szCs w:val="18"/>
              </w:rPr>
              <w:t xml:space="preserve">CONTRACT</w:t>
            </w:r>
          </w:p>
        </w:tc>
        <w:tc>
          <w:tcPr>
            <w:tcW w:type="dxa" w:w="3300"/>
            <w:tcMar>
              <w:top w:type="dxa" w:w="80"/>
              <w:left w:type="dxa" w:w="120"/>
              <w:bottom w:type="dxa" w:w="80"/>
              <w:right w:type="dxa" w:w="120"/>
            </w:tcMar>
          </w:tcPr>
          <w:p>
            <w:r>
              <w:rPr>
                <w:color w:val="1A1A1A"/>
                <w:sz w:val="18"/>
                <w:szCs w:val="18"/>
              </w:rPr>
              <w:t xml:space="preserve">Listing_Agreement_123Maple.record</w:t>
            </w:r>
          </w:p>
        </w:tc>
        <w:tc>
          <w:tcPr>
            <w:tcW w:type="dxa" w:w="4200"/>
            <w:tcMar>
              <w:top w:type="dxa" w:w="80"/>
              <w:left w:type="dxa" w:w="120"/>
              <w:bottom w:type="dxa" w:w="80"/>
              <w:right w:type="dxa" w:w="120"/>
            </w:tcMar>
          </w:tcPr>
          <w:p>
            <w:r>
              <w:rPr>
                <w:color w:val="1A1A1A"/>
                <w:sz w:val="18"/>
                <w:szCs w:val="18"/>
              </w:rPr>
              <w:t xml:space="preserve">A listing agreement</w:t>
            </w:r>
          </w:p>
        </w:tc>
      </w:tr>
      <w:tr>
        <w:tc>
          <w:tcPr>
            <w:tcW w:type="dxa" w:w="2100"/>
            <w:tcMar>
              <w:top w:type="dxa" w:w="80"/>
              <w:left w:type="dxa" w:w="120"/>
              <w:bottom w:type="dxa" w:w="80"/>
              <w:right w:type="dxa" w:w="120"/>
            </w:tcMar>
          </w:tcPr>
          <w:p>
            <w:r>
              <w:rPr>
                <w:color w:val="1A1A1A"/>
                <w:sz w:val="18"/>
                <w:szCs w:val="18"/>
              </w:rPr>
              <w:t xml:space="preserve">TITLE DOCUMENT</w:t>
            </w:r>
          </w:p>
        </w:tc>
        <w:tc>
          <w:tcPr>
            <w:tcW w:type="dxa" w:w="3300"/>
            <w:tcMar>
              <w:top w:type="dxa" w:w="80"/>
              <w:left w:type="dxa" w:w="120"/>
              <w:bottom w:type="dxa" w:w="80"/>
              <w:right w:type="dxa" w:w="120"/>
            </w:tcMar>
          </w:tcPr>
          <w:p>
            <w:r>
              <w:rPr>
                <w:color w:val="1A1A1A"/>
                <w:sz w:val="18"/>
                <w:szCs w:val="18"/>
              </w:rPr>
              <w:t xml:space="preserve">Title_Report_OakRidge.record</w:t>
            </w:r>
          </w:p>
        </w:tc>
        <w:tc>
          <w:tcPr>
            <w:tcW w:type="dxa" w:w="4200"/>
            <w:tcMar>
              <w:top w:type="dxa" w:w="80"/>
              <w:left w:type="dxa" w:w="120"/>
              <w:bottom w:type="dxa" w:w="80"/>
              <w:right w:type="dxa" w:w="120"/>
            </w:tcMar>
          </w:tcPr>
          <w:p>
            <w:r>
              <w:rPr>
                <w:color w:val="1A1A1A"/>
                <w:sz w:val="18"/>
                <w:szCs w:val="18"/>
              </w:rPr>
              <w:t xml:space="preserve">A title report; can carry a LIEN exclusion code and a Title Defect flag</w:t>
            </w:r>
          </w:p>
        </w:tc>
      </w:tr>
      <w:tr>
        <w:tc>
          <w:tcPr>
            <w:tcW w:type="dxa" w:w="2100"/>
            <w:tcMar>
              <w:top w:type="dxa" w:w="80"/>
              <w:left w:type="dxa" w:w="120"/>
              <w:bottom w:type="dxa" w:w="80"/>
              <w:right w:type="dxa" w:w="120"/>
            </w:tcMar>
          </w:tcPr>
          <w:p>
            <w:r>
              <w:rPr>
                <w:color w:val="1A1A1A"/>
                <w:sz w:val="18"/>
                <w:szCs w:val="18"/>
              </w:rPr>
              <w:t xml:space="preserve">DOCUMENT REPORT</w:t>
            </w:r>
          </w:p>
        </w:tc>
        <w:tc>
          <w:tcPr>
            <w:tcW w:type="dxa" w:w="3300"/>
            <w:tcMar>
              <w:top w:type="dxa" w:w="80"/>
              <w:left w:type="dxa" w:w="120"/>
              <w:bottom w:type="dxa" w:w="80"/>
              <w:right w:type="dxa" w:w="120"/>
            </w:tcMar>
          </w:tcPr>
          <w:p>
            <w:r>
              <w:rPr>
                <w:color w:val="1A1A1A"/>
                <w:sz w:val="18"/>
                <w:szCs w:val="18"/>
              </w:rPr>
              <w:t xml:space="preserve">Closing_Disclosure_Unit12B.record</w:t>
            </w:r>
          </w:p>
        </w:tc>
        <w:tc>
          <w:tcPr>
            <w:tcW w:type="dxa" w:w="4200"/>
            <w:tcMar>
              <w:top w:type="dxa" w:w="80"/>
              <w:left w:type="dxa" w:w="120"/>
              <w:bottom w:type="dxa" w:w="80"/>
              <w:right w:type="dxa" w:w="120"/>
            </w:tcMar>
          </w:tcPr>
          <w:p>
            <w:r>
              <w:rPr>
                <w:color w:val="1A1A1A"/>
                <w:sz w:val="18"/>
                <w:szCs w:val="18"/>
              </w:rPr>
              <w:t xml:space="preserve">A closing disclosure, often six-figure exposure</w:t>
            </w:r>
          </w:p>
        </w:tc>
      </w:tr>
      <w:tr>
        <w:tc>
          <w:tcPr>
            <w:tcW w:type="dxa" w:w="2100"/>
            <w:tcMar>
              <w:top w:type="dxa" w:w="80"/>
              <w:left w:type="dxa" w:w="120"/>
              <w:bottom w:type="dxa" w:w="80"/>
              <w:right w:type="dxa" w:w="120"/>
            </w:tcMar>
          </w:tcPr>
          <w:p>
            <w:r>
              <w:rPr>
                <w:color w:val="1A1A1A"/>
                <w:sz w:val="18"/>
                <w:szCs w:val="18"/>
              </w:rPr>
              <w:t xml:space="preserve">DOCUMENT REPORT</w:t>
            </w:r>
          </w:p>
        </w:tc>
        <w:tc>
          <w:tcPr>
            <w:tcW w:type="dxa" w:w="3300"/>
            <w:tcMar>
              <w:top w:type="dxa" w:w="80"/>
              <w:left w:type="dxa" w:w="120"/>
              <w:bottom w:type="dxa" w:w="80"/>
              <w:right w:type="dxa" w:w="120"/>
            </w:tcMar>
          </w:tcPr>
          <w:p>
            <w:r>
              <w:rPr>
                <w:color w:val="1A1A1A"/>
                <w:sz w:val="18"/>
                <w:szCs w:val="18"/>
              </w:rPr>
              <w:t xml:space="preserve">Inspection_Report_456Cedar.record</w:t>
            </w:r>
          </w:p>
        </w:tc>
        <w:tc>
          <w:tcPr>
            <w:tcW w:type="dxa" w:w="4200"/>
            <w:tcMar>
              <w:top w:type="dxa" w:w="80"/>
              <w:left w:type="dxa" w:w="120"/>
              <w:bottom w:type="dxa" w:w="80"/>
              <w:right w:type="dxa" w:w="120"/>
            </w:tcMar>
          </w:tcPr>
          <w:p>
            <w:r>
              <w:rPr>
                <w:color w:val="1A1A1A"/>
                <w:sz w:val="18"/>
                <w:szCs w:val="18"/>
              </w:rPr>
              <w:t xml:space="preserve">An inspection report; can carry an Inspection Issues flag</w:t>
            </w:r>
          </w:p>
        </w:tc>
      </w:tr>
    </w:tbl>
    <w:p>
      <w:pPr>
        <w:pStyle w:val="Heading3"/>
        <w:spacing w:after="100" w:before="200"/>
      </w:pPr>
      <w:r>
        <w:rPr>
          <w:b/>
          <w:bCs/>
          <w:color w:val="C0392B"/>
          <w:sz w:val="22"/>
          <w:szCs w:val="22"/>
        </w:rPr>
        <w:t xml:space="preserve">How this vertical is actioned today</w:t>
      </w:r>
    </w:p>
    <w:p>
      <w:pPr>
        <w:spacing w:after="160"/>
      </w:pPr>
      <w:r>
        <w:rPr>
          <w:i w:val="false"/>
          <w:iCs w:val="false"/>
          <w:color w:val="1A1A1A"/>
          <w:sz w:val="21"/>
          <w:szCs w:val="21"/>
        </w:rPr>
        <w:t xml:space="preserve">Real Estate documents use the shared “Open Node” action. Title and inspection items carry a defectFlags field — reviewers should treat any populated flag (Title Defect, Inspection Issues) as a hold on closing until cleared.</w:t>
      </w:r>
    </w:p>
    <w:p>
      <w:pPr>
        <w:pStyle w:val="Heading3"/>
        <w:spacing w:after="100" w:before="200"/>
      </w:pPr>
      <w:r>
        <w:rPr>
          <w:b/>
          <w:bCs/>
          <w:color w:val="C0392B"/>
          <w:sz w:val="22"/>
          <w:szCs w:val="22"/>
        </w:rPr>
        <w:t xml:space="preserve">Relay chain (War Room → Strategist → Executive Portal)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B2A4A" w:val="clear"/>
            <w:tcMar>
              <w:top w:type="dxa" w:w="80"/>
              <w:left w:type="dxa" w:w="120"/>
              <w:bottom w:type="dxa" w:w="80"/>
              <w:right w:type="dxa" w:w="120"/>
            </w:tcMar>
          </w:tcPr>
          <w:p>
            <w:r>
              <w:rPr>
                <w:b/>
                <w:bCs/>
                <w:color w:val="FFFFFF"/>
                <w:sz w:val="18"/>
                <w:szCs w:val="18"/>
              </w:rPr>
              <w:t xml:space="preserve">Stage</w:t>
            </w:r>
          </w:p>
        </w:tc>
        <w:tc>
          <w:tcPr>
            <w:tcW w:type="dxa" w:w="6800"/>
            <w:shd w:fill="1B2A4A" w:val="clear"/>
            <w:tcMar>
              <w:top w:type="dxa" w:w="80"/>
              <w:left w:type="dxa" w:w="120"/>
              <w:bottom w:type="dxa" w:w="80"/>
              <w:right w:type="dxa" w:w="120"/>
            </w:tcMar>
          </w:tcPr>
          <w:p>
            <w:r>
              <w:rPr>
                <w:b/>
                <w:bCs/>
                <w:color w:val="FFFFFF"/>
                <w:sz w:val="18"/>
                <w:szCs w:val="18"/>
              </w:rPr>
              <w:t xml:space="preserve">File Path</w:t>
            </w:r>
          </w:p>
        </w:tc>
      </w:tr>
      <w:tr>
        <w:tc>
          <w:tcPr>
            <w:tcW w:type="dxa" w:w="2200"/>
            <w:tcMar>
              <w:top w:type="dxa" w:w="80"/>
              <w:left w:type="dxa" w:w="120"/>
              <w:bottom w:type="dxa" w:w="80"/>
              <w:right w:type="dxa" w:w="120"/>
            </w:tcMar>
          </w:tcPr>
          <w:p>
            <w:r>
              <w:rPr>
                <w:color w:val="1A1A1A"/>
                <w:sz w:val="18"/>
                <w:szCs w:val="18"/>
              </w:rPr>
              <w:t xml:space="preserve">War Room</w:t>
            </w:r>
          </w:p>
        </w:tc>
        <w:tc>
          <w:tcPr>
            <w:tcW w:type="dxa" w:w="6800"/>
            <w:tcMar>
              <w:top w:type="dxa" w:w="80"/>
              <w:left w:type="dxa" w:w="120"/>
              <w:bottom w:type="dxa" w:w="80"/>
              <w:right w:type="dxa" w:w="120"/>
            </w:tcMar>
          </w:tcPr>
          <w:p>
            <w:r>
              <w:rPr>
                <w:color w:val="1A1A1A"/>
                <w:sz w:val="18"/>
                <w:szCs w:val="18"/>
              </w:rPr>
              <w:t xml:space="preserve">html/war-rooms/re-war/re-war-room.html</w:t>
            </w:r>
          </w:p>
        </w:tc>
      </w:tr>
      <w:tr>
        <w:tc>
          <w:tcPr>
            <w:tcW w:type="dxa" w:w="2200"/>
            <w:tcMar>
              <w:top w:type="dxa" w:w="80"/>
              <w:left w:type="dxa" w:w="120"/>
              <w:bottom w:type="dxa" w:w="80"/>
              <w:right w:type="dxa" w:w="120"/>
            </w:tcMar>
          </w:tcPr>
          <w:p>
            <w:r>
              <w:rPr>
                <w:color w:val="1A1A1A"/>
                <w:sz w:val="18"/>
                <w:szCs w:val="18"/>
              </w:rPr>
              <w:t xml:space="preserve">Strategist</w:t>
            </w:r>
          </w:p>
        </w:tc>
        <w:tc>
          <w:tcPr>
            <w:tcW w:type="dxa" w:w="6800"/>
            <w:tcMar>
              <w:top w:type="dxa" w:w="80"/>
              <w:left w:type="dxa" w:w="120"/>
              <w:bottom w:type="dxa" w:w="80"/>
              <w:right w:type="dxa" w:w="120"/>
            </w:tcMar>
          </w:tcPr>
          <w:p>
            <w:r>
              <w:rPr>
                <w:color w:val="1A1A1A"/>
                <w:sz w:val="18"/>
                <w:szCs w:val="18"/>
              </w:rPr>
              <w:t xml:space="preserve">html/war-rooms/re-war/re-strategist.html</w:t>
            </w:r>
          </w:p>
        </w:tc>
      </w:tr>
      <w:tr>
        <w:tc>
          <w:tcPr>
            <w:tcW w:type="dxa" w:w="2200"/>
            <w:tcMar>
              <w:top w:type="dxa" w:w="80"/>
              <w:left w:type="dxa" w:w="120"/>
              <w:bottom w:type="dxa" w:w="80"/>
              <w:right w:type="dxa" w:w="120"/>
            </w:tcMar>
          </w:tcPr>
          <w:p>
            <w:r>
              <w:rPr>
                <w:color w:val="1A1A1A"/>
                <w:sz w:val="18"/>
                <w:szCs w:val="18"/>
              </w:rPr>
              <w:t xml:space="preserve">Executive Portal (BNCA Escalated)</w:t>
            </w:r>
          </w:p>
        </w:tc>
        <w:tc>
          <w:tcPr>
            <w:tcW w:type="dxa" w:w="6800"/>
            <w:tcMar>
              <w:top w:type="dxa" w:w="80"/>
              <w:left w:type="dxa" w:w="120"/>
              <w:bottom w:type="dxa" w:w="80"/>
              <w:right w:type="dxa" w:w="120"/>
            </w:tcMar>
          </w:tcPr>
          <w:p>
            <w:r>
              <w:rPr>
                <w:color w:val="1A1A1A"/>
                <w:sz w:val="18"/>
                <w:szCs w:val="18"/>
              </w:rPr>
              <w:t xml:space="preserve">html/war-rooms/re-war/re-exec-portal.html</w:t>
            </w:r>
          </w:p>
        </w:tc>
      </w:tr>
      <w:tr>
        <w:tc>
          <w:tcPr>
            <w:tcW w:type="dxa" w:w="2200"/>
            <w:tcMar>
              <w:top w:type="dxa" w:w="80"/>
              <w:left w:type="dxa" w:w="120"/>
              <w:bottom w:type="dxa" w:w="80"/>
              <w:right w:type="dxa" w:w="120"/>
            </w:tcMar>
          </w:tcPr>
          <w:p>
            <w:r>
              <w:rPr>
                <w:color w:val="1A1A1A"/>
                <w:sz w:val="18"/>
                <w:szCs w:val="18"/>
              </w:rPr>
              <w:t xml:space="preserve">Sentinel Center Feed</w:t>
            </w:r>
          </w:p>
        </w:tc>
        <w:tc>
          <w:tcPr>
            <w:tcW w:type="dxa" w:w="6800"/>
            <w:tcMar>
              <w:top w:type="dxa" w:w="80"/>
              <w:left w:type="dxa" w:w="120"/>
              <w:bottom w:type="dxa" w:w="80"/>
              <w:right w:type="dxa" w:w="120"/>
            </w:tcMar>
          </w:tcPr>
          <w:p>
            <w:r>
              <w:rPr>
                <w:color w:val="1A1A1A"/>
                <w:sz w:val="18"/>
                <w:szCs w:val="18"/>
              </w:rPr>
              <w:t xml:space="preserve">html/sentinel-center.html reads this same relay via localStorage key TSM_REALESTATE_STRATEGIST_RELAY (written by the Strategist stage above)</w:t>
            </w:r>
          </w:p>
        </w:tc>
      </w:tr>
    </w:tbl>
    <w:p>
      <w:pPr>
        <w:pStyle w:val="Heading3"/>
        <w:spacing w:after="100" w:before="200"/>
      </w:pPr>
      <w:r>
        <w:rPr>
          <w:b/>
          <w:bCs/>
          <w:color w:val="C0392B"/>
          <w:sz w:val="22"/>
          <w:szCs w:val="22"/>
        </w:rPr>
        <w:t xml:space="preserve">Why it matters for revenue recovery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0392B" w:sz="4"/>
              <w:left w:val="single" w:color="C0392B" w:sz="4"/>
              <w:bottom w:val="single" w:color="C0392B" w:sz="4"/>
              <w:right w:val="single" w:color="C0392B" w:sz="4"/>
            </w:tcBorders>
            <w:shd w:fill="F2F4F7" w:val="clear"/>
            <w:tcMar>
              <w:top w:type="dxa" w:w="120"/>
              <w:left w:type="dxa" w:w="160"/>
              <w:bottom w:type="dxa" w:w="120"/>
              <w:right w:type="dxa" w:w="160"/>
            </w:tcMar>
          </w:tcPr>
          <w:p>
            <w:pPr>
              <w:spacing w:after="80"/>
            </w:pPr>
            <w:r>
              <w:rPr>
                <w:b/>
                <w:bCs/>
                <w:color w:val="C0392B"/>
                <w:sz w:val="21"/>
                <w:szCs w:val="21"/>
              </w:rPr>
              <w:t xml:space="preserve">Recovery Note</w:t>
            </w:r>
          </w:p>
          <w:p>
            <w:r>
              <w:rPr>
                <w:color w:val="1A1A1A"/>
                <w:sz w:val="20"/>
                <w:szCs w:val="20"/>
              </w:rPr>
              <w:t xml:space="preserve">Title defects (liens) are the highest-stakes item in this vertical — an unresolved lien blocks the entire closing, not just one line item.</w:t>
            </w:r>
          </w:p>
        </w:tc>
      </w:tr>
    </w:tbl>
    <w:p>
      <w:r>
        <w:br w:type="page"/>
      </w:r>
    </w:p>
    <w:p>
      <w:pPr>
        <w:pStyle w:val="Heading2"/>
        <w:spacing w:after="150" w:before="300"/>
      </w:pPr>
      <w:r>
        <w:rPr>
          <w:b/>
          <w:bCs/>
          <w:color w:val="1B2A4A"/>
          <w:sz w:val="26"/>
          <w:szCs w:val="26"/>
        </w:rPr>
        <w:t xml:space="preserve">Legal</w:t>
      </w:r>
    </w:p>
    <w:p>
      <w:pPr>
        <w:spacing w:after="160"/>
      </w:pPr>
      <w:r>
        <w:rPr>
          <w:b/>
          <w:bCs/>
          <w:sz w:val="21"/>
          <w:szCs w:val="21"/>
        </w:rPr>
        <w:t xml:space="preserve">Covers: </w:t>
      </w:r>
      <w:r>
        <w:rPr>
          <w:sz w:val="21"/>
          <w:szCs w:val="21"/>
        </w:rPr>
        <w:t xml:space="preserve">Court filings, discovery production, engagement agreements, and outside-counsel invoices.</w:t>
      </w:r>
    </w:p>
    <w:p>
      <w:pPr>
        <w:spacing w:after="100"/>
      </w:pPr>
      <w:r>
        <w:rPr>
          <w:b/>
          <w:bCs/>
          <w:color w:val="1B2A4A"/>
          <w:sz w:val="20"/>
          <w:szCs w:val="20"/>
        </w:rPr>
        <w:t xml:space="preserve">Primary node: </w:t>
      </w:r>
      <w:r>
        <w:rPr>
          <w:color w:val="1A1A1A"/>
          <w:sz w:val="20"/>
          <w:szCs w:val="20"/>
        </w:rPr>
        <w:t xml:space="preserve">leg-war-room (html/war-rooms/legal-war/legal-war-room.html)</w:t>
      </w:r>
    </w:p>
    <w:p>
      <w:pPr>
        <w:pStyle w:val="Heading3"/>
        <w:spacing w:after="100" w:before="200"/>
      </w:pPr>
      <w:r>
        <w:rPr>
          <w:b/>
          <w:bCs/>
          <w:color w:val="C0392B"/>
          <w:sz w:val="22"/>
          <w:szCs w:val="22"/>
        </w:rPr>
        <w:t xml:space="preserve">Document types you'll see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4200"/>
      </w:tblGrid>
      <w:tr>
        <w:trPr>
          <w:tblHeader/>
        </w:trPr>
        <w:tc>
          <w:tcPr>
            <w:tcW w:type="dxa" w:w="2100"/>
            <w:shd w:fill="1B2A4A" w:val="clear"/>
            <w:tcMar>
              <w:top w:type="dxa" w:w="80"/>
              <w:left w:type="dxa" w:w="120"/>
              <w:bottom w:type="dxa" w:w="80"/>
              <w:right w:type="dxa" w:w="120"/>
            </w:tcMar>
          </w:tcPr>
          <w:p>
            <w:r>
              <w:rPr>
                <w:b/>
                <w:bCs/>
                <w:color w:val="FFFFFF"/>
                <w:sz w:val="18"/>
                <w:szCs w:val="18"/>
              </w:rPr>
              <w:t xml:space="preserve">Type</w:t>
            </w:r>
          </w:p>
        </w:tc>
        <w:tc>
          <w:tcPr>
            <w:tcW w:type="dxa" w:w="3300"/>
            <w:shd w:fill="1B2A4A" w:val="clear"/>
            <w:tcMar>
              <w:top w:type="dxa" w:w="80"/>
              <w:left w:type="dxa" w:w="120"/>
              <w:bottom w:type="dxa" w:w="80"/>
              <w:right w:type="dxa" w:w="120"/>
            </w:tcMar>
          </w:tcPr>
          <w:p>
            <w:r>
              <w:rPr>
                <w:b/>
                <w:bCs/>
                <w:color w:val="FFFFFF"/>
                <w:sz w:val="18"/>
                <w:szCs w:val="18"/>
              </w:rPr>
              <w:t xml:space="preserve">Example Filename</w:t>
            </w:r>
          </w:p>
        </w:tc>
        <w:tc>
          <w:tcPr>
            <w:tcW w:type="dxa" w:w="4200"/>
            <w:shd w:fill="1B2A4A" w:val="clear"/>
            <w:tcMar>
              <w:top w:type="dxa" w:w="80"/>
              <w:left w:type="dxa" w:w="120"/>
              <w:bottom w:type="dxa" w:w="80"/>
              <w:right w:type="dxa" w:w="120"/>
            </w:tcMar>
          </w:tcPr>
          <w:p>
            <w:r>
              <w:rPr>
                <w:b/>
                <w:bCs/>
                <w:color w:val="FFFFFF"/>
                <w:sz w:val="18"/>
                <w:szCs w:val="18"/>
              </w:rPr>
              <w:t xml:space="preserve">What It Typically Is</w:t>
            </w:r>
          </w:p>
        </w:tc>
      </w:tr>
      <w:tr>
        <w:tc>
          <w:tcPr>
            <w:tcW w:type="dxa" w:w="2100"/>
            <w:tcMar>
              <w:top w:type="dxa" w:w="80"/>
              <w:left w:type="dxa" w:w="120"/>
              <w:bottom w:type="dxa" w:w="80"/>
              <w:right w:type="dxa" w:w="120"/>
            </w:tcMar>
          </w:tcPr>
          <w:p>
            <w:r>
              <w:rPr>
                <w:color w:val="1A1A1A"/>
                <w:sz w:val="18"/>
                <w:szCs w:val="18"/>
              </w:rPr>
              <w:t xml:space="preserve">FILING</w:t>
            </w:r>
          </w:p>
        </w:tc>
        <w:tc>
          <w:tcPr>
            <w:tcW w:type="dxa" w:w="3300"/>
            <w:tcMar>
              <w:top w:type="dxa" w:w="80"/>
              <w:left w:type="dxa" w:w="120"/>
              <w:bottom w:type="dxa" w:w="80"/>
              <w:right w:type="dxa" w:w="120"/>
            </w:tcMar>
          </w:tcPr>
          <w:p>
            <w:r>
              <w:rPr>
                <w:color w:val="1A1A1A"/>
                <w:sz w:val="18"/>
                <w:szCs w:val="18"/>
              </w:rPr>
              <w:t xml:space="preserve">Complaint_Doe_v_Acme.record</w:t>
            </w:r>
          </w:p>
        </w:tc>
        <w:tc>
          <w:tcPr>
            <w:tcW w:type="dxa" w:w="4200"/>
            <w:tcMar>
              <w:top w:type="dxa" w:w="80"/>
              <w:left w:type="dxa" w:w="120"/>
              <w:bottom w:type="dxa" w:w="80"/>
              <w:right w:type="dxa" w:w="120"/>
            </w:tcMar>
          </w:tcPr>
          <w:p>
            <w:r>
              <w:rPr>
                <w:color w:val="1A1A1A"/>
                <w:sz w:val="18"/>
                <w:szCs w:val="18"/>
              </w:rPr>
              <w:t xml:space="preserve">A court filing</w:t>
            </w:r>
          </w:p>
        </w:tc>
      </w:tr>
      <w:tr>
        <w:tc>
          <w:tcPr>
            <w:tcW w:type="dxa" w:w="2100"/>
            <w:tcMar>
              <w:top w:type="dxa" w:w="80"/>
              <w:left w:type="dxa" w:w="120"/>
              <w:bottom w:type="dxa" w:w="80"/>
              <w:right w:type="dxa" w:w="120"/>
            </w:tcMar>
          </w:tcPr>
          <w:p>
            <w:r>
              <w:rPr>
                <w:color w:val="1A1A1A"/>
                <w:sz w:val="18"/>
                <w:szCs w:val="18"/>
              </w:rPr>
              <w:t xml:space="preserve">DOCUMENT REPORT</w:t>
            </w:r>
          </w:p>
        </w:tc>
        <w:tc>
          <w:tcPr>
            <w:tcW w:type="dxa" w:w="3300"/>
            <w:tcMar>
              <w:top w:type="dxa" w:w="80"/>
              <w:left w:type="dxa" w:w="120"/>
              <w:bottom w:type="dxa" w:w="80"/>
              <w:right w:type="dxa" w:w="120"/>
            </w:tcMar>
          </w:tcPr>
          <w:p>
            <w:r>
              <w:rPr>
                <w:color w:val="1A1A1A"/>
                <w:sz w:val="18"/>
                <w:szCs w:val="18"/>
              </w:rPr>
              <w:t xml:space="preserve">Discovery_Production_Set1.record</w:t>
            </w:r>
          </w:p>
        </w:tc>
        <w:tc>
          <w:tcPr>
            <w:tcW w:type="dxa" w:w="4200"/>
            <w:tcMar>
              <w:top w:type="dxa" w:w="80"/>
              <w:left w:type="dxa" w:w="120"/>
              <w:bottom w:type="dxa" w:w="80"/>
              <w:right w:type="dxa" w:w="120"/>
            </w:tcMar>
          </w:tcPr>
          <w:p>
            <w:r>
              <w:rPr>
                <w:color w:val="1A1A1A"/>
                <w:sz w:val="18"/>
                <w:szCs w:val="18"/>
              </w:rPr>
              <w:t xml:space="preserve">A discovery production set; can carry a privilege exclusion code</w:t>
            </w:r>
          </w:p>
        </w:tc>
      </w:tr>
      <w:tr>
        <w:tc>
          <w:tcPr>
            <w:tcW w:type="dxa" w:w="2100"/>
            <w:tcMar>
              <w:top w:type="dxa" w:w="80"/>
              <w:left w:type="dxa" w:w="120"/>
              <w:bottom w:type="dxa" w:w="80"/>
              <w:right w:type="dxa" w:w="120"/>
            </w:tcMar>
          </w:tcPr>
          <w:p>
            <w:r>
              <w:rPr>
                <w:color w:val="1A1A1A"/>
                <w:sz w:val="18"/>
                <w:szCs w:val="18"/>
              </w:rPr>
              <w:t xml:space="preserve">CONTRACT</w:t>
            </w:r>
          </w:p>
        </w:tc>
        <w:tc>
          <w:tcPr>
            <w:tcW w:type="dxa" w:w="3300"/>
            <w:tcMar>
              <w:top w:type="dxa" w:w="80"/>
              <w:left w:type="dxa" w:w="120"/>
              <w:bottom w:type="dxa" w:w="80"/>
              <w:right w:type="dxa" w:w="120"/>
            </w:tcMar>
          </w:tcPr>
          <w:p>
            <w:r>
              <w:rPr>
                <w:color w:val="1A1A1A"/>
                <w:sz w:val="18"/>
                <w:szCs w:val="18"/>
              </w:rPr>
              <w:t xml:space="preserve">Engagement_Agreement_Reyes.record</w:t>
            </w:r>
          </w:p>
        </w:tc>
        <w:tc>
          <w:tcPr>
            <w:tcW w:type="dxa" w:w="4200"/>
            <w:tcMar>
              <w:top w:type="dxa" w:w="80"/>
              <w:left w:type="dxa" w:w="120"/>
              <w:bottom w:type="dxa" w:w="80"/>
              <w:right w:type="dxa" w:w="120"/>
            </w:tcMar>
          </w:tcPr>
          <w:p>
            <w:r>
              <w:rPr>
                <w:color w:val="1A1A1A"/>
                <w:sz w:val="18"/>
                <w:szCs w:val="18"/>
              </w:rPr>
              <w:t xml:space="preserve">A client engagement agreement</w:t>
            </w:r>
          </w:p>
        </w:tc>
      </w:tr>
      <w:tr>
        <w:tc>
          <w:tcPr>
            <w:tcW w:type="dxa" w:w="2100"/>
            <w:tcMar>
              <w:top w:type="dxa" w:w="80"/>
              <w:left w:type="dxa" w:w="120"/>
              <w:bottom w:type="dxa" w:w="80"/>
              <w:right w:type="dxa" w:w="120"/>
            </w:tcMar>
          </w:tcPr>
          <w:p>
            <w:r>
              <w:rPr>
                <w:color w:val="1A1A1A"/>
                <w:sz w:val="18"/>
                <w:szCs w:val="18"/>
              </w:rPr>
              <w:t xml:space="preserve">VENDOR INVOICE</w:t>
            </w:r>
          </w:p>
        </w:tc>
        <w:tc>
          <w:tcPr>
            <w:tcW w:type="dxa" w:w="3300"/>
            <w:tcMar>
              <w:top w:type="dxa" w:w="80"/>
              <w:left w:type="dxa" w:w="120"/>
              <w:bottom w:type="dxa" w:w="80"/>
              <w:right w:type="dxa" w:w="120"/>
            </w:tcMar>
          </w:tcPr>
          <w:p>
            <w:r>
              <w:rPr>
                <w:color w:val="1A1A1A"/>
                <w:sz w:val="18"/>
                <w:szCs w:val="18"/>
              </w:rPr>
              <w:t xml:space="preserve">Invoice_OutsideCounsel_Jul.record</w:t>
            </w:r>
          </w:p>
        </w:tc>
        <w:tc>
          <w:tcPr>
            <w:tcW w:type="dxa" w:w="4200"/>
            <w:tcMar>
              <w:top w:type="dxa" w:w="80"/>
              <w:left w:type="dxa" w:w="120"/>
              <w:bottom w:type="dxa" w:w="80"/>
              <w:right w:type="dxa" w:w="120"/>
            </w:tcMar>
          </w:tcPr>
          <w:p>
            <w:r>
              <w:rPr>
                <w:color w:val="1A1A1A"/>
                <w:sz w:val="18"/>
                <w:szCs w:val="18"/>
              </w:rPr>
              <w:t xml:space="preserve">An outside-counsel invoice</w:t>
            </w:r>
          </w:p>
        </w:tc>
      </w:tr>
    </w:tbl>
    <w:p>
      <w:pPr>
        <w:pStyle w:val="Heading3"/>
        <w:spacing w:after="100" w:before="200"/>
      </w:pPr>
      <w:r>
        <w:rPr>
          <w:b/>
          <w:bCs/>
          <w:color w:val="C0392B"/>
          <w:sz w:val="22"/>
          <w:szCs w:val="22"/>
        </w:rPr>
        <w:t xml:space="preserve">How this vertical is actioned today</w:t>
      </w:r>
    </w:p>
    <w:p>
      <w:pPr>
        <w:spacing w:after="160"/>
      </w:pPr>
      <w:r>
        <w:rPr>
          <w:i w:val="false"/>
          <w:iCs w:val="false"/>
          <w:color w:val="1A1A1A"/>
          <w:sz w:val="21"/>
          <w:szCs w:val="21"/>
        </w:rPr>
        <w:t xml:space="preserve">Legal documents use the shared “Open Node” action. Discovery items carrying a PRIV- exclusion code should be treated as privilege-review holds before they move past the Strategist stage.</w:t>
      </w:r>
    </w:p>
    <w:p>
      <w:pPr>
        <w:pStyle w:val="Heading3"/>
        <w:spacing w:after="100" w:before="200"/>
      </w:pPr>
      <w:r>
        <w:rPr>
          <w:b/>
          <w:bCs/>
          <w:color w:val="C0392B"/>
          <w:sz w:val="22"/>
          <w:szCs w:val="22"/>
        </w:rPr>
        <w:t xml:space="preserve">Relay chain (War Room → Strategist → Executive Portal)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B2A4A" w:val="clear"/>
            <w:tcMar>
              <w:top w:type="dxa" w:w="80"/>
              <w:left w:type="dxa" w:w="120"/>
              <w:bottom w:type="dxa" w:w="80"/>
              <w:right w:type="dxa" w:w="120"/>
            </w:tcMar>
          </w:tcPr>
          <w:p>
            <w:r>
              <w:rPr>
                <w:b/>
                <w:bCs/>
                <w:color w:val="FFFFFF"/>
                <w:sz w:val="18"/>
                <w:szCs w:val="18"/>
              </w:rPr>
              <w:t xml:space="preserve">Stage</w:t>
            </w:r>
          </w:p>
        </w:tc>
        <w:tc>
          <w:tcPr>
            <w:tcW w:type="dxa" w:w="6800"/>
            <w:shd w:fill="1B2A4A" w:val="clear"/>
            <w:tcMar>
              <w:top w:type="dxa" w:w="80"/>
              <w:left w:type="dxa" w:w="120"/>
              <w:bottom w:type="dxa" w:w="80"/>
              <w:right w:type="dxa" w:w="120"/>
            </w:tcMar>
          </w:tcPr>
          <w:p>
            <w:r>
              <w:rPr>
                <w:b/>
                <w:bCs/>
                <w:color w:val="FFFFFF"/>
                <w:sz w:val="18"/>
                <w:szCs w:val="18"/>
              </w:rPr>
              <w:t xml:space="preserve">File Path</w:t>
            </w:r>
          </w:p>
        </w:tc>
      </w:tr>
      <w:tr>
        <w:tc>
          <w:tcPr>
            <w:tcW w:type="dxa" w:w="2200"/>
            <w:tcMar>
              <w:top w:type="dxa" w:w="80"/>
              <w:left w:type="dxa" w:w="120"/>
              <w:bottom w:type="dxa" w:w="80"/>
              <w:right w:type="dxa" w:w="120"/>
            </w:tcMar>
          </w:tcPr>
          <w:p>
            <w:r>
              <w:rPr>
                <w:color w:val="1A1A1A"/>
                <w:sz w:val="18"/>
                <w:szCs w:val="18"/>
              </w:rPr>
              <w:t xml:space="preserve">War Room</w:t>
            </w:r>
          </w:p>
        </w:tc>
        <w:tc>
          <w:tcPr>
            <w:tcW w:type="dxa" w:w="6800"/>
            <w:tcMar>
              <w:top w:type="dxa" w:w="80"/>
              <w:left w:type="dxa" w:w="120"/>
              <w:bottom w:type="dxa" w:w="80"/>
              <w:right w:type="dxa" w:w="120"/>
            </w:tcMar>
          </w:tcPr>
          <w:p>
            <w:r>
              <w:rPr>
                <w:color w:val="1A1A1A"/>
                <w:sz w:val="18"/>
                <w:szCs w:val="18"/>
              </w:rPr>
              <w:t xml:space="preserve">html/war-rooms/legal-war/legal-war-room.html</w:t>
            </w:r>
          </w:p>
        </w:tc>
      </w:tr>
      <w:tr>
        <w:tc>
          <w:tcPr>
            <w:tcW w:type="dxa" w:w="2200"/>
            <w:tcMar>
              <w:top w:type="dxa" w:w="80"/>
              <w:left w:type="dxa" w:w="120"/>
              <w:bottom w:type="dxa" w:w="80"/>
              <w:right w:type="dxa" w:w="120"/>
            </w:tcMar>
          </w:tcPr>
          <w:p>
            <w:r>
              <w:rPr>
                <w:color w:val="1A1A1A"/>
                <w:sz w:val="18"/>
                <w:szCs w:val="18"/>
              </w:rPr>
              <w:t xml:space="preserve">Strategist</w:t>
            </w:r>
          </w:p>
        </w:tc>
        <w:tc>
          <w:tcPr>
            <w:tcW w:type="dxa" w:w="6800"/>
            <w:tcMar>
              <w:top w:type="dxa" w:w="80"/>
              <w:left w:type="dxa" w:w="120"/>
              <w:bottom w:type="dxa" w:w="80"/>
              <w:right w:type="dxa" w:w="120"/>
            </w:tcMar>
          </w:tcPr>
          <w:p>
            <w:r>
              <w:rPr>
                <w:color w:val="1A1A1A"/>
                <w:sz w:val="18"/>
                <w:szCs w:val="18"/>
              </w:rPr>
              <w:t xml:space="preserve">html/war-rooms/legal-war/legal-main-strategist.html</w:t>
            </w:r>
          </w:p>
        </w:tc>
      </w:tr>
      <w:tr>
        <w:tc>
          <w:tcPr>
            <w:tcW w:type="dxa" w:w="2200"/>
            <w:tcMar>
              <w:top w:type="dxa" w:w="80"/>
              <w:left w:type="dxa" w:w="120"/>
              <w:bottom w:type="dxa" w:w="80"/>
              <w:right w:type="dxa" w:w="120"/>
            </w:tcMar>
          </w:tcPr>
          <w:p>
            <w:r>
              <w:rPr>
                <w:color w:val="1A1A1A"/>
                <w:sz w:val="18"/>
                <w:szCs w:val="18"/>
              </w:rPr>
              <w:t xml:space="preserve">Executive Portal (BNCA Escalated)</w:t>
            </w:r>
          </w:p>
        </w:tc>
        <w:tc>
          <w:tcPr>
            <w:tcW w:type="dxa" w:w="6800"/>
            <w:tcMar>
              <w:top w:type="dxa" w:w="80"/>
              <w:left w:type="dxa" w:w="120"/>
              <w:bottom w:type="dxa" w:w="80"/>
              <w:right w:type="dxa" w:w="120"/>
            </w:tcMar>
          </w:tcPr>
          <w:p>
            <w:r>
              <w:rPr>
                <w:color w:val="1A1A1A"/>
                <w:sz w:val="18"/>
                <w:szCs w:val="18"/>
              </w:rPr>
              <w:t xml:space="preserve">html/war-rooms/legal-war/legal-executive-portal.html</w:t>
            </w:r>
          </w:p>
        </w:tc>
      </w:tr>
      <w:tr>
        <w:tc>
          <w:tcPr>
            <w:tcW w:type="dxa" w:w="2200"/>
            <w:tcMar>
              <w:top w:type="dxa" w:w="80"/>
              <w:left w:type="dxa" w:w="120"/>
              <w:bottom w:type="dxa" w:w="80"/>
              <w:right w:type="dxa" w:w="120"/>
            </w:tcMar>
          </w:tcPr>
          <w:p>
            <w:r>
              <w:rPr>
                <w:color w:val="1A1A1A"/>
                <w:sz w:val="18"/>
                <w:szCs w:val="18"/>
              </w:rPr>
              <w:t xml:space="preserve">Sentinel Center Feed</w:t>
            </w:r>
          </w:p>
        </w:tc>
        <w:tc>
          <w:tcPr>
            <w:tcW w:type="dxa" w:w="6800"/>
            <w:tcMar>
              <w:top w:type="dxa" w:w="80"/>
              <w:left w:type="dxa" w:w="120"/>
              <w:bottom w:type="dxa" w:w="80"/>
              <w:right w:type="dxa" w:w="120"/>
            </w:tcMar>
          </w:tcPr>
          <w:p>
            <w:r>
              <w:rPr>
                <w:color w:val="1A1A1A"/>
                <w:sz w:val="18"/>
                <w:szCs w:val="18"/>
              </w:rPr>
              <w:t xml:space="preserve">html/sentinel-center.html reads this same relay via localStorage key TSM_LEGAL_STRATEGIST_RELAY (written by the Strategist stage above)</w:t>
            </w:r>
          </w:p>
        </w:tc>
      </w:tr>
    </w:tbl>
    <w:p>
      <w:pPr>
        <w:pStyle w:val="Heading3"/>
        <w:spacing w:after="100" w:before="200"/>
      </w:pPr>
      <w:r>
        <w:rPr>
          <w:b/>
          <w:bCs/>
          <w:color w:val="C0392B"/>
          <w:sz w:val="22"/>
          <w:szCs w:val="22"/>
        </w:rPr>
        <w:t xml:space="preserve">Why it matters for revenue recovery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0392B" w:sz="4"/>
              <w:left w:val="single" w:color="C0392B" w:sz="4"/>
              <w:bottom w:val="single" w:color="C0392B" w:sz="4"/>
              <w:right w:val="single" w:color="C0392B" w:sz="4"/>
            </w:tcBorders>
            <w:shd w:fill="F2F4F7" w:val="clear"/>
            <w:tcMar>
              <w:top w:type="dxa" w:w="120"/>
              <w:left w:type="dxa" w:w="160"/>
              <w:bottom w:type="dxa" w:w="120"/>
              <w:right w:type="dxa" w:w="160"/>
            </w:tcMar>
          </w:tcPr>
          <w:p>
            <w:pPr>
              <w:spacing w:after="80"/>
            </w:pPr>
            <w:r>
              <w:rPr>
                <w:b/>
                <w:bCs/>
                <w:color w:val="C0392B"/>
                <w:sz w:val="21"/>
                <w:szCs w:val="21"/>
              </w:rPr>
              <w:t xml:space="preserve">Recovery Note</w:t>
            </w:r>
          </w:p>
          <w:p>
            <w:r>
              <w:rPr>
                <w:color w:val="1A1A1A"/>
                <w:sz w:val="20"/>
                <w:szCs w:val="20"/>
              </w:rPr>
              <w:t xml:space="preserve">Discovery and outside-counsel invoices are where uncontrolled spend hides — timely routing keeps privilege review and billing audit from backing up into a single bottleneck.</w:t>
            </w:r>
          </w:p>
        </w:tc>
      </w:tr>
    </w:tbl>
    <w:p>
      <w:r>
        <w:br w:type="page"/>
      </w:r>
    </w:p>
    <w:p>
      <w:pPr>
        <w:pStyle w:val="Heading2"/>
        <w:spacing w:after="150" w:before="300"/>
      </w:pPr>
      <w:r>
        <w:rPr>
          <w:b/>
          <w:bCs/>
          <w:color w:val="1B2A4A"/>
          <w:sz w:val="26"/>
          <w:szCs w:val="26"/>
        </w:rPr>
        <w:t xml:space="preserve">Healthcare</w:t>
      </w:r>
    </w:p>
    <w:p>
      <w:pPr>
        <w:spacing w:after="160"/>
      </w:pPr>
      <w:r>
        <w:rPr>
          <w:b/>
          <w:bCs/>
          <w:sz w:val="21"/>
          <w:szCs w:val="21"/>
        </w:rPr>
        <w:t xml:space="preserve">Covers: </w:t>
      </w:r>
      <w:r>
        <w:rPr>
          <w:sz w:val="21"/>
          <w:szCs w:val="21"/>
        </w:rPr>
        <w:t xml:space="preserve">Claim denials, appeals, remittances (EOBs), and prior-authorization requests.</w:t>
      </w:r>
    </w:p>
    <w:p>
      <w:pPr>
        <w:spacing w:after="100"/>
      </w:pPr>
      <w:r>
        <w:rPr>
          <w:b/>
          <w:bCs/>
          <w:color w:val="1B2A4A"/>
          <w:sz w:val="20"/>
          <w:szCs w:val="20"/>
        </w:rPr>
        <w:t xml:space="preserve">Primary node: </w:t>
      </w:r>
      <w:r>
        <w:rPr>
          <w:color w:val="1A1A1A"/>
          <w:sz w:val="20"/>
          <w:szCs w:val="20"/>
        </w:rPr>
        <w:t xml:space="preserve">hc-denial (Healthcare's multi-node intake — see html/healthcare/hc-denial-war-room.html for the live war room)</w:t>
      </w:r>
    </w:p>
    <w:p>
      <w:pPr>
        <w:pStyle w:val="Heading3"/>
        <w:spacing w:after="100" w:before="200"/>
      </w:pPr>
      <w:r>
        <w:rPr>
          <w:b/>
          <w:bCs/>
          <w:color w:val="C0392B"/>
          <w:sz w:val="22"/>
          <w:szCs w:val="22"/>
        </w:rPr>
        <w:t xml:space="preserve">Document types you'll see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4200"/>
      </w:tblGrid>
      <w:tr>
        <w:trPr>
          <w:tblHeader/>
        </w:trPr>
        <w:tc>
          <w:tcPr>
            <w:tcW w:type="dxa" w:w="2100"/>
            <w:shd w:fill="1B2A4A" w:val="clear"/>
            <w:tcMar>
              <w:top w:type="dxa" w:w="80"/>
              <w:left w:type="dxa" w:w="120"/>
              <w:bottom w:type="dxa" w:w="80"/>
              <w:right w:type="dxa" w:w="120"/>
            </w:tcMar>
          </w:tcPr>
          <w:p>
            <w:r>
              <w:rPr>
                <w:b/>
                <w:bCs/>
                <w:color w:val="FFFFFF"/>
                <w:sz w:val="18"/>
                <w:szCs w:val="18"/>
              </w:rPr>
              <w:t xml:space="preserve">Type</w:t>
            </w:r>
          </w:p>
        </w:tc>
        <w:tc>
          <w:tcPr>
            <w:tcW w:type="dxa" w:w="3300"/>
            <w:shd w:fill="1B2A4A" w:val="clear"/>
            <w:tcMar>
              <w:top w:type="dxa" w:w="80"/>
              <w:left w:type="dxa" w:w="120"/>
              <w:bottom w:type="dxa" w:w="80"/>
              <w:right w:type="dxa" w:w="120"/>
            </w:tcMar>
          </w:tcPr>
          <w:p>
            <w:r>
              <w:rPr>
                <w:b/>
                <w:bCs/>
                <w:color w:val="FFFFFF"/>
                <w:sz w:val="18"/>
                <w:szCs w:val="18"/>
              </w:rPr>
              <w:t xml:space="preserve">Example Filename</w:t>
            </w:r>
          </w:p>
        </w:tc>
        <w:tc>
          <w:tcPr>
            <w:tcW w:type="dxa" w:w="4200"/>
            <w:shd w:fill="1B2A4A" w:val="clear"/>
            <w:tcMar>
              <w:top w:type="dxa" w:w="80"/>
              <w:left w:type="dxa" w:w="120"/>
              <w:bottom w:type="dxa" w:w="80"/>
              <w:right w:type="dxa" w:w="120"/>
            </w:tcMar>
          </w:tcPr>
          <w:p>
            <w:r>
              <w:rPr>
                <w:b/>
                <w:bCs/>
                <w:color w:val="FFFFFF"/>
                <w:sz w:val="18"/>
                <w:szCs w:val="18"/>
              </w:rPr>
              <w:t xml:space="preserve">What It Typically Is</w:t>
            </w:r>
          </w:p>
        </w:tc>
      </w:tr>
      <w:tr>
        <w:tc>
          <w:tcPr>
            <w:tcW w:type="dxa" w:w="2100"/>
            <w:tcMar>
              <w:top w:type="dxa" w:w="80"/>
              <w:left w:type="dxa" w:w="120"/>
              <w:bottom w:type="dxa" w:w="80"/>
              <w:right w:type="dxa" w:w="120"/>
            </w:tcMar>
          </w:tcPr>
          <w:p>
            <w:r>
              <w:rPr>
                <w:color w:val="1A1A1A"/>
                <w:sz w:val="18"/>
                <w:szCs w:val="18"/>
              </w:rPr>
              <w:t xml:space="preserve">DENIAL</w:t>
            </w:r>
          </w:p>
        </w:tc>
        <w:tc>
          <w:tcPr>
            <w:tcW w:type="dxa" w:w="3300"/>
            <w:tcMar>
              <w:top w:type="dxa" w:w="80"/>
              <w:left w:type="dxa" w:w="120"/>
              <w:bottom w:type="dxa" w:w="80"/>
              <w:right w:type="dxa" w:w="120"/>
            </w:tcMar>
          </w:tcPr>
          <w:p>
            <w:r>
              <w:rPr>
                <w:color w:val="1A1A1A"/>
                <w:sz w:val="18"/>
                <w:szCs w:val="18"/>
              </w:rPr>
              <w:t xml:space="preserve">Denial_CLM-HC-7731.record</w:t>
            </w:r>
          </w:p>
        </w:tc>
        <w:tc>
          <w:tcPr>
            <w:tcW w:type="dxa" w:w="4200"/>
            <w:tcMar>
              <w:top w:type="dxa" w:w="80"/>
              <w:left w:type="dxa" w:w="120"/>
              <w:bottom w:type="dxa" w:w="80"/>
              <w:right w:type="dxa" w:w="120"/>
            </w:tcMar>
          </w:tcPr>
          <w:p>
            <w:r>
              <w:rPr>
                <w:color w:val="1A1A1A"/>
                <w:sz w:val="18"/>
                <w:szCs w:val="18"/>
              </w:rPr>
              <w:t xml:space="preserve">A payer claim denial carrying a CARC-style denial code (e.g. CO-50)</w:t>
            </w:r>
          </w:p>
        </w:tc>
      </w:tr>
      <w:tr>
        <w:tc>
          <w:tcPr>
            <w:tcW w:type="dxa" w:w="2100"/>
            <w:tcMar>
              <w:top w:type="dxa" w:w="80"/>
              <w:left w:type="dxa" w:w="120"/>
              <w:bottom w:type="dxa" w:w="80"/>
              <w:right w:type="dxa" w:w="120"/>
            </w:tcMar>
          </w:tcPr>
          <w:p>
            <w:r>
              <w:rPr>
                <w:color w:val="1A1A1A"/>
                <w:sz w:val="18"/>
                <w:szCs w:val="18"/>
              </w:rPr>
              <w:t xml:space="preserve">CLAIM APPEAL</w:t>
            </w:r>
          </w:p>
        </w:tc>
        <w:tc>
          <w:tcPr>
            <w:tcW w:type="dxa" w:w="3300"/>
            <w:tcMar>
              <w:top w:type="dxa" w:w="80"/>
              <w:left w:type="dxa" w:w="120"/>
              <w:bottom w:type="dxa" w:w="80"/>
              <w:right w:type="dxa" w:w="120"/>
            </w:tcMar>
          </w:tcPr>
          <w:p>
            <w:r>
              <w:rPr>
                <w:color w:val="1A1A1A"/>
                <w:sz w:val="18"/>
                <w:szCs w:val="18"/>
              </w:rPr>
              <w:t xml:space="preserve">Appeal_Letter_CLM-HC-7731.record</w:t>
            </w:r>
          </w:p>
        </w:tc>
        <w:tc>
          <w:tcPr>
            <w:tcW w:type="dxa" w:w="4200"/>
            <w:tcMar>
              <w:top w:type="dxa" w:w="80"/>
              <w:left w:type="dxa" w:w="120"/>
              <w:bottom w:type="dxa" w:w="80"/>
              <w:right w:type="dxa" w:w="120"/>
            </w:tcMar>
          </w:tcPr>
          <w:p>
            <w:r>
              <w:rPr>
                <w:color w:val="1A1A1A"/>
                <w:sz w:val="18"/>
                <w:szCs w:val="18"/>
              </w:rPr>
              <w:t xml:space="preserve">An appeal letter tied to a prior denial</w:t>
            </w:r>
          </w:p>
        </w:tc>
      </w:tr>
      <w:tr>
        <w:tc>
          <w:tcPr>
            <w:tcW w:type="dxa" w:w="2100"/>
            <w:tcMar>
              <w:top w:type="dxa" w:w="80"/>
              <w:left w:type="dxa" w:w="120"/>
              <w:bottom w:type="dxa" w:w="80"/>
              <w:right w:type="dxa" w:w="120"/>
            </w:tcMar>
          </w:tcPr>
          <w:p>
            <w:r>
              <w:rPr>
                <w:color w:val="1A1A1A"/>
                <w:sz w:val="18"/>
                <w:szCs w:val="18"/>
              </w:rPr>
              <w:t xml:space="preserve">REMITTANCE</w:t>
            </w:r>
          </w:p>
        </w:tc>
        <w:tc>
          <w:tcPr>
            <w:tcW w:type="dxa" w:w="3300"/>
            <w:tcMar>
              <w:top w:type="dxa" w:w="80"/>
              <w:left w:type="dxa" w:w="120"/>
              <w:bottom w:type="dxa" w:w="80"/>
              <w:right w:type="dxa" w:w="120"/>
            </w:tcMar>
          </w:tcPr>
          <w:p>
            <w:r>
              <w:rPr>
                <w:color w:val="1A1A1A"/>
                <w:sz w:val="18"/>
                <w:szCs w:val="18"/>
              </w:rPr>
              <w:t xml:space="preserve">EOB_BCBS_July.record</w:t>
            </w:r>
          </w:p>
        </w:tc>
        <w:tc>
          <w:tcPr>
            <w:tcW w:type="dxa" w:w="4200"/>
            <w:tcMar>
              <w:top w:type="dxa" w:w="80"/>
              <w:left w:type="dxa" w:w="120"/>
              <w:bottom w:type="dxa" w:w="80"/>
              <w:right w:type="dxa" w:w="120"/>
            </w:tcMar>
          </w:tcPr>
          <w:p>
            <w:r>
              <w:rPr>
                <w:color w:val="1A1A1A"/>
                <w:sz w:val="18"/>
                <w:szCs w:val="18"/>
              </w:rPr>
              <w:t xml:space="preserve">An explanation-of-benefits / remittance batch</w:t>
            </w:r>
          </w:p>
        </w:tc>
      </w:tr>
      <w:tr>
        <w:tc>
          <w:tcPr>
            <w:tcW w:type="dxa" w:w="2100"/>
            <w:tcMar>
              <w:top w:type="dxa" w:w="80"/>
              <w:left w:type="dxa" w:w="120"/>
              <w:bottom w:type="dxa" w:w="80"/>
              <w:right w:type="dxa" w:w="120"/>
            </w:tcMar>
          </w:tcPr>
          <w:p>
            <w:r>
              <w:rPr>
                <w:color w:val="1A1A1A"/>
                <w:sz w:val="18"/>
                <w:szCs w:val="18"/>
              </w:rPr>
              <w:t xml:space="preserve">DOCUMENT REPORT</w:t>
            </w:r>
          </w:p>
        </w:tc>
        <w:tc>
          <w:tcPr>
            <w:tcW w:type="dxa" w:w="3300"/>
            <w:tcMar>
              <w:top w:type="dxa" w:w="80"/>
              <w:left w:type="dxa" w:w="120"/>
              <w:bottom w:type="dxa" w:w="80"/>
              <w:right w:type="dxa" w:w="120"/>
            </w:tcMar>
          </w:tcPr>
          <w:p>
            <w:r>
              <w:rPr>
                <w:color w:val="1A1A1A"/>
                <w:sz w:val="18"/>
                <w:szCs w:val="18"/>
              </w:rPr>
              <w:t xml:space="preserve">Prior_Auth_Request_MRI.record</w:t>
            </w:r>
          </w:p>
        </w:tc>
        <w:tc>
          <w:tcPr>
            <w:tcW w:type="dxa" w:w="4200"/>
            <w:tcMar>
              <w:top w:type="dxa" w:w="80"/>
              <w:left w:type="dxa" w:w="120"/>
              <w:bottom w:type="dxa" w:w="80"/>
              <w:right w:type="dxa" w:w="120"/>
            </w:tcMar>
          </w:tcPr>
          <w:p>
            <w:r>
              <w:rPr>
                <w:color w:val="1A1A1A"/>
                <w:sz w:val="18"/>
                <w:szCs w:val="18"/>
              </w:rPr>
              <w:t xml:space="preserve">A pending prior-authorization request (PA- exclusion code)</w:t>
            </w:r>
          </w:p>
        </w:tc>
      </w:tr>
    </w:tbl>
    <w:p>
      <w:pPr>
        <w:pStyle w:val="Heading3"/>
        <w:spacing w:after="100" w:before="200"/>
      </w:pPr>
      <w:r>
        <w:rPr>
          <w:b/>
          <w:bCs/>
          <w:color w:val="C0392B"/>
          <w:sz w:val="22"/>
          <w:szCs w:val="22"/>
        </w:rPr>
        <w:t xml:space="preserve">How this vertical is actioned today</w:t>
      </w:r>
    </w:p>
    <w:p>
      <w:pPr>
        <w:spacing w:after="160"/>
      </w:pPr>
      <w:r>
        <w:rPr>
          <w:i w:val="false"/>
          <w:iCs w:val="false"/>
          <w:color w:val="1A1A1A"/>
          <w:sz w:val="21"/>
          <w:szCs w:val="21"/>
        </w:rPr>
        <w:t xml:space="preserve">Healthcare documents use the shared “Open Node” action. See Section 7 for a real, code-documented ordering rule: any exclusion code starting “PA-” is checked for an authorization block before document type is checked for DENIAL — get the exclusion code right or an appeal can misroute to prior-auth verification.</w:t>
      </w:r>
    </w:p>
    <w:p>
      <w:pPr>
        <w:pStyle w:val="Heading3"/>
        <w:spacing w:after="100" w:before="200"/>
      </w:pPr>
      <w:r>
        <w:rPr>
          <w:b/>
          <w:bCs/>
          <w:color w:val="C0392B"/>
          <w:sz w:val="22"/>
          <w:szCs w:val="22"/>
        </w:rPr>
        <w:t xml:space="preserve">Relay chain (War Room → Strategist → Executive Portal)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B2A4A" w:val="clear"/>
            <w:tcMar>
              <w:top w:type="dxa" w:w="80"/>
              <w:left w:type="dxa" w:w="120"/>
              <w:bottom w:type="dxa" w:w="80"/>
              <w:right w:type="dxa" w:w="120"/>
            </w:tcMar>
          </w:tcPr>
          <w:p>
            <w:r>
              <w:rPr>
                <w:b/>
                <w:bCs/>
                <w:color w:val="FFFFFF"/>
                <w:sz w:val="18"/>
                <w:szCs w:val="18"/>
              </w:rPr>
              <w:t xml:space="preserve">Stage</w:t>
            </w:r>
          </w:p>
        </w:tc>
        <w:tc>
          <w:tcPr>
            <w:tcW w:type="dxa" w:w="6800"/>
            <w:shd w:fill="1B2A4A" w:val="clear"/>
            <w:tcMar>
              <w:top w:type="dxa" w:w="80"/>
              <w:left w:type="dxa" w:w="120"/>
              <w:bottom w:type="dxa" w:w="80"/>
              <w:right w:type="dxa" w:w="120"/>
            </w:tcMar>
          </w:tcPr>
          <w:p>
            <w:r>
              <w:rPr>
                <w:b/>
                <w:bCs/>
                <w:color w:val="FFFFFF"/>
                <w:sz w:val="18"/>
                <w:szCs w:val="18"/>
              </w:rPr>
              <w:t xml:space="preserve">File Path</w:t>
            </w:r>
          </w:p>
        </w:tc>
      </w:tr>
      <w:tr>
        <w:tc>
          <w:tcPr>
            <w:tcW w:type="dxa" w:w="2200"/>
            <w:tcMar>
              <w:top w:type="dxa" w:w="80"/>
              <w:left w:type="dxa" w:w="120"/>
              <w:bottom w:type="dxa" w:w="80"/>
              <w:right w:type="dxa" w:w="120"/>
            </w:tcMar>
          </w:tcPr>
          <w:p>
            <w:r>
              <w:rPr>
                <w:color w:val="1A1A1A"/>
                <w:sz w:val="18"/>
                <w:szCs w:val="18"/>
              </w:rPr>
              <w:t xml:space="preserve">War Room</w:t>
            </w:r>
          </w:p>
        </w:tc>
        <w:tc>
          <w:tcPr>
            <w:tcW w:type="dxa" w:w="6800"/>
            <w:tcMar>
              <w:top w:type="dxa" w:w="80"/>
              <w:left w:type="dxa" w:w="120"/>
              <w:bottom w:type="dxa" w:w="80"/>
              <w:right w:type="dxa" w:w="120"/>
            </w:tcMar>
          </w:tcPr>
          <w:p>
            <w:r>
              <w:rPr>
                <w:color w:val="1A1A1A"/>
                <w:sz w:val="18"/>
                <w:szCs w:val="18"/>
              </w:rPr>
              <w:t xml:space="preserve">html/healthcare/hc-denial-war-room.html</w:t>
            </w:r>
          </w:p>
        </w:tc>
      </w:tr>
      <w:tr>
        <w:tc>
          <w:tcPr>
            <w:tcW w:type="dxa" w:w="2200"/>
            <w:tcMar>
              <w:top w:type="dxa" w:w="80"/>
              <w:left w:type="dxa" w:w="120"/>
              <w:bottom w:type="dxa" w:w="80"/>
              <w:right w:type="dxa" w:w="120"/>
            </w:tcMar>
          </w:tcPr>
          <w:p>
            <w:r>
              <w:rPr>
                <w:color w:val="1A1A1A"/>
                <w:sz w:val="18"/>
                <w:szCs w:val="18"/>
              </w:rPr>
              <w:t xml:space="preserve">Strategist</w:t>
            </w:r>
          </w:p>
        </w:tc>
        <w:tc>
          <w:tcPr>
            <w:tcW w:type="dxa" w:w="6800"/>
            <w:tcMar>
              <w:top w:type="dxa" w:w="80"/>
              <w:left w:type="dxa" w:w="120"/>
              <w:bottom w:type="dxa" w:w="80"/>
              <w:right w:type="dxa" w:w="120"/>
            </w:tcMar>
          </w:tcPr>
          <w:p>
            <w:r>
              <w:rPr>
                <w:color w:val="1A1A1A"/>
                <w:sz w:val="18"/>
                <w:szCs w:val="18"/>
              </w:rPr>
              <w:t xml:space="preserve">shared strategist relay (see Section 7 for a routing nuance specific to PA- codes)</w:t>
            </w:r>
          </w:p>
        </w:tc>
      </w:tr>
      <w:tr>
        <w:tc>
          <w:tcPr>
            <w:tcW w:type="dxa" w:w="2200"/>
            <w:tcMar>
              <w:top w:type="dxa" w:w="80"/>
              <w:left w:type="dxa" w:w="120"/>
              <w:bottom w:type="dxa" w:w="80"/>
              <w:right w:type="dxa" w:w="120"/>
            </w:tcMar>
          </w:tcPr>
          <w:p>
            <w:r>
              <w:rPr>
                <w:color w:val="1A1A1A"/>
                <w:sz w:val="18"/>
                <w:szCs w:val="18"/>
              </w:rPr>
              <w:t xml:space="preserve">Executive Portal (BNCA Escalated)</w:t>
            </w:r>
          </w:p>
        </w:tc>
        <w:tc>
          <w:tcPr>
            <w:tcW w:type="dxa" w:w="6800"/>
            <w:tcMar>
              <w:top w:type="dxa" w:w="80"/>
              <w:left w:type="dxa" w:w="120"/>
              <w:bottom w:type="dxa" w:w="80"/>
              <w:right w:type="dxa" w:w="120"/>
            </w:tcMar>
          </w:tcPr>
          <w:p>
            <w:r>
              <w:rPr>
                <w:color w:val="1A1A1A"/>
                <w:sz w:val="18"/>
                <w:szCs w:val="18"/>
              </w:rPr>
              <w:t xml:space="preserve">reached via the shared BNCA escalation path once a denial/appeal clears threshold</w:t>
            </w:r>
          </w:p>
        </w:tc>
      </w:tr>
      <w:tr>
        <w:tc>
          <w:tcPr>
            <w:tcW w:type="dxa" w:w="2200"/>
            <w:tcMar>
              <w:top w:type="dxa" w:w="80"/>
              <w:left w:type="dxa" w:w="120"/>
              <w:bottom w:type="dxa" w:w="80"/>
              <w:right w:type="dxa" w:w="120"/>
            </w:tcMar>
          </w:tcPr>
          <w:p>
            <w:r>
              <w:rPr>
                <w:color w:val="1A1A1A"/>
                <w:sz w:val="18"/>
                <w:szCs w:val="18"/>
              </w:rPr>
              <w:t xml:space="preserve">Sentinel Center Feed</w:t>
            </w:r>
          </w:p>
        </w:tc>
        <w:tc>
          <w:tcPr>
            <w:tcW w:type="dxa" w:w="6800"/>
            <w:tcMar>
              <w:top w:type="dxa" w:w="80"/>
              <w:left w:type="dxa" w:w="120"/>
              <w:bottom w:type="dxa" w:w="80"/>
              <w:right w:type="dxa" w:w="120"/>
            </w:tcMar>
          </w:tcPr>
          <w:p>
            <w:r>
              <w:rPr>
                <w:color w:val="1A1A1A"/>
                <w:sz w:val="18"/>
                <w:szCs w:val="18"/>
              </w:rPr>
              <w:t xml:space="preserve">html/sentinel-center.html reads this same relay via localStorage key TSM_HEALTHCARE_STRATEGIST_RELAY (written by the Strategist stage above)</w:t>
            </w:r>
          </w:p>
        </w:tc>
      </w:tr>
    </w:tbl>
    <w:p>
      <w:pPr>
        <w:pStyle w:val="Heading3"/>
        <w:spacing w:after="100" w:before="200"/>
      </w:pPr>
      <w:r>
        <w:rPr>
          <w:b/>
          <w:bCs/>
          <w:color w:val="C0392B"/>
          <w:sz w:val="22"/>
          <w:szCs w:val="22"/>
        </w:rPr>
        <w:t xml:space="preserve">Why it matters for revenue recovery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0392B" w:sz="4"/>
              <w:left w:val="single" w:color="C0392B" w:sz="4"/>
              <w:bottom w:val="single" w:color="C0392B" w:sz="4"/>
              <w:right w:val="single" w:color="C0392B" w:sz="4"/>
            </w:tcBorders>
            <w:shd w:fill="F2F4F7" w:val="clear"/>
            <w:tcMar>
              <w:top w:type="dxa" w:w="120"/>
              <w:left w:type="dxa" w:w="160"/>
              <w:bottom w:type="dxa" w:w="120"/>
              <w:right w:type="dxa" w:w="160"/>
            </w:tcMar>
          </w:tcPr>
          <w:p>
            <w:pPr>
              <w:spacing w:after="80"/>
            </w:pPr>
            <w:r>
              <w:rPr>
                <w:b/>
                <w:bCs/>
                <w:color w:val="C0392B"/>
                <w:sz w:val="21"/>
                <w:szCs w:val="21"/>
              </w:rPr>
              <w:t xml:space="preserve">Recovery Note</w:t>
            </w:r>
          </w:p>
          <w:p>
            <w:r>
              <w:rPr>
                <w:color w:val="1A1A1A"/>
                <w:sz w:val="20"/>
                <w:szCs w:val="20"/>
              </w:rPr>
              <w:t xml:space="preserve">Denials and appeals are the core revenue-recovery loop for Healthcare — every day a denial sits unappealed is a day closer to the payer's appeal-window deadline.</w:t>
            </w:r>
          </w:p>
        </w:tc>
      </w:tr>
    </w:tbl>
    <w:p>
      <w:r>
        <w:br w:type="page"/>
      </w:r>
    </w:p>
    <w:p>
      <w:pPr>
        <w:pStyle w:val="Heading2"/>
        <w:spacing w:after="150" w:before="300"/>
      </w:pPr>
      <w:r>
        <w:rPr>
          <w:b/>
          <w:bCs/>
          <w:color w:val="1B2A4A"/>
          <w:sz w:val="26"/>
          <w:szCs w:val="26"/>
        </w:rPr>
        <w:t xml:space="preserve">HC Office Manager → Neural Intake</w:t>
      </w:r>
    </w:p>
    <w:p>
      <w:pPr>
        <w:spacing w:after="160"/>
      </w:pPr>
      <w:r>
        <w:rPr>
          <w:b/>
          <w:bCs/>
          <w:sz w:val="21"/>
          <w:szCs w:val="21"/>
        </w:rPr>
        <w:t xml:space="preserve">Covers: </w:t>
      </w:r>
      <w:r>
        <w:rPr>
          <w:sz w:val="21"/>
          <w:szCs w:val="21"/>
        </w:rPr>
        <w:t xml:space="preserve">An additive, non-authoritative advisory-routing layer that runs alongside the primary hc-denial pipeline above. It fans a Healthcare document out to whichever additional HC domains (Compliance, Vendors, Billing, and others) it plausibly touches, without changing the exclusion-code routing described in Section 7.</w:t>
      </w:r>
    </w:p>
    <w:p>
      <w:pPr>
        <w:spacing w:after="100"/>
      </w:pPr>
      <w:r>
        <w:rPr>
          <w:b/>
          <w:bCs/>
          <w:color w:val="1B2A4A"/>
          <w:sz w:val="20"/>
          <w:szCs w:val="20"/>
        </w:rPr>
        <w:t xml:space="preserve">Introduced: </w:t>
      </w:r>
      <w:r>
        <w:rPr>
          <w:color w:val="1A1A1A"/>
          <w:sz w:val="20"/>
          <w:szCs w:val="20"/>
        </w:rPr>
        <w:t xml:space="preserve">commit 7c172c77 — server/healthcare/hc-neural-intake.js, hc-node-registry.js, hc-node-contract.js; browser bridge in html/healthcare/hc-office-manager-doc-intake.html</w:t>
      </w:r>
    </w:p>
    <w:p>
      <w:pPr>
        <w:pStyle w:val="Heading3"/>
        <w:spacing w:after="100" w:before="200"/>
      </w:pPr>
      <w:r>
        <w:rPr>
          <w:b/>
          <w:bCs/>
          <w:color w:val="C0392B"/>
          <w:sz w:val="22"/>
          <w:szCs w:val="22"/>
        </w:rPr>
        <w:t xml:space="preserve">How it fits together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F4F7" w:val="clear"/>
            <w:tcMar>
              <w:top w:type="dxa" w:w="140"/>
              <w:left w:type="dxa" w:w="160"/>
              <w:bottom w:type="dxa" w:w="140"/>
              <w:right w:type="dxa" w:w="160"/>
            </w:tcMar>
          </w:tcPr>
          <w:p>
            <w:r>
              <w:rPr>
                <w:rFonts w:ascii="Consolas" w:hAnsi="Consolas" w:cs="Consolas"/>
                <w:color w:val="1A1A1A"/>
                <w:sz w:val="17"/>
                <w:szCs w:val="17"/>
              </w:rPr>
              <w:t xml:space="preserve">HC OM page</w:t>
              <w:br/>
              <w:t xml:space="preserve">  ├─ TSM_HC_OM_NEURAL_INTAKE</w:t>
              <w:br/>
              <w:t xml:space="preserve">  │     └─ lazy dependency lookup</w:t>
              <w:br/>
              <w:t xml:space="preserve">  ├─ TSM_HC_OM_INTAKE</w:t>
              <w:br/>
              <w:t xml:space="preserve">  │     └─ canonical routing vocabulary</w:t>
              <w:br/>
              <w:t xml:space="preserve">  └─ hcOmRouteDocument()</w:t>
              <w:br/>
              <w:t xml:space="preserve">        └─ suggestedRoutes</w:t>
              <w:br/>
              <w:t xml:space="preserve">              └─ candidateNodes</w:t>
              <w:br/>
              <w:t xml:space="preserve">                    └─ HC Neural Intake</w:t>
              <w:br/>
              <w:t xml:space="preserve">                          ├─ Billing</w:t>
              <w:br/>
              <w:t xml:space="preserve">                          ├─ Compliance</w:t>
              <w:br/>
              <w:t xml:space="preserve">                          ├─ Insurance</w:t>
              <w:br/>
              <w:t xml:space="preserve">                          ├─ Medical</w:t>
              <w:br/>
              <w:t xml:space="preserve">                          ├─ Vendors</w:t>
              <w:br/>
              <w:t xml:space="preserve">                          └─ other registered HC nodes...</w:t>
            </w:r>
          </w:p>
        </w:tc>
      </w:tr>
    </w:tbl>
    <w:p>
      <w:pPr>
        <w:pStyle w:val="Heading3"/>
        <w:spacing w:after="100" w:before="200"/>
      </w:pPr>
      <w:r>
        <w:rPr>
          <w:b/>
          <w:bCs/>
          <w:color w:val="C0392B"/>
          <w:sz w:val="22"/>
          <w:szCs w:val="22"/>
        </w:rPr>
        <w:t xml:space="preserve">How this layer is actioned today</w:t>
      </w:r>
    </w:p>
    <w:p>
      <w:pPr>
        <w:spacing w:after="160"/>
      </w:pPr>
      <w:r>
        <w:rPr>
          <w:i w:val="false"/>
          <w:iCs w:val="false"/>
          <w:color w:val="1A1A1A"/>
          <w:sz w:val="21"/>
          <w:szCs w:val="21"/>
        </w:rPr>
        <w:t xml:space="preserve">Inside the uploader’s processFile(), two non-fatal try/catch blocks call TSM_HC_OM_NEURAL_INTAKE.buildEnvelope() and hcOmBuildRoutingEnvelope(). Advisory routes come from hcOmRouteDocument(), which scores document text against a per-node keyword table on TSM_HC_OM_INTAKE and returns candidates sorted by score. The server-side hc-neural-intake.js module then filters those candidates against an 11-node registry (billing, compliance, financial, grants, insurance, legal, medical, operations, pharmacy, taxprep, vendors) and builds one standardized node request per candidate via hc-node-contract.js. Findings are correlated and packaged into a Strategist-bound envelope: destination html/healthcare/hc-strategist/index.html, mode HC_CROSS_NODE_BNCA. A failure anywhere in this layer degrades to “no advisory routing this pass” — it never blocks the underlying upload or the hc-denial routing above.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0392B" w:sz="4"/>
              <w:left w:val="single" w:color="C0392B" w:sz="4"/>
              <w:bottom w:val="single" w:color="C0392B" w:sz="4"/>
              <w:right w:val="single" w:color="C0392B" w:sz="4"/>
            </w:tcBorders>
            <w:shd w:fill="F2F4F7" w:val="clear"/>
            <w:tcMar>
              <w:top w:type="dxa" w:w="120"/>
              <w:left w:type="dxa" w:w="160"/>
              <w:bottom w:type="dxa" w:w="120"/>
              <w:right w:type="dxa" w:w="160"/>
            </w:tcMar>
          </w:tcPr>
          <w:p>
            <w:pPr>
              <w:spacing w:after="80"/>
            </w:pPr>
            <w:r>
              <w:rPr>
                <w:b/>
                <w:bCs/>
                <w:color w:val="C0392B"/>
                <w:sz w:val="21"/>
                <w:szCs w:val="21"/>
              </w:rPr>
              <w:t xml:space="preserve">Recovery Note</w:t>
            </w:r>
          </w:p>
          <w:p>
            <w:r>
              <w:rPr>
                <w:color w:val="1A1A1A"/>
                <w:sz w:val="20"/>
                <w:szCs w:val="20"/>
              </w:rPr>
              <w:t xml:space="preserve">The hc-denial exclusion-code routing (Section 7) decides where a denial or appeal goes. This layer runs in parallel and answers a different question — which other HC domains the same document also touches — so a denial with billing-compliance overlap can fan out to Compliance without waiting on a second upload or a manual re-route.</w:t>
            </w:r>
          </w:p>
        </w:tc>
      </w:tr>
    </w:tbl>
    <w:p>
      <w:r>
        <w:br w:type="page"/>
      </w:r>
    </w:p>
    <w:p>
      <w:pPr>
        <w:pStyle w:val="Heading2"/>
        <w:spacing w:after="150" w:before="300"/>
      </w:pPr>
      <w:r>
        <w:rPr>
          <w:b/>
          <w:bCs/>
          <w:color w:val="1B2A4A"/>
          <w:sz w:val="26"/>
          <w:szCs w:val="26"/>
        </w:rPr>
        <w:t xml:space="preserve">PM Copilot</w:t>
      </w:r>
    </w:p>
    <w:p>
      <w:pPr>
        <w:spacing w:after="160"/>
      </w:pPr>
      <w:r>
        <w:rPr>
          <w:b/>
          <w:bCs/>
          <w:sz w:val="21"/>
          <w:szCs w:val="21"/>
        </w:rPr>
        <w:t xml:space="preserve">Covers: </w:t>
      </w:r>
      <w:r>
        <w:rPr>
          <w:sz w:val="21"/>
          <w:szCs w:val="21"/>
        </w:rPr>
        <w:t xml:space="preserve">Work orders, vendor insurance certificates, and lease renewals for property management clients.</w:t>
      </w:r>
    </w:p>
    <w:p>
      <w:pPr>
        <w:spacing w:after="100"/>
      </w:pPr>
      <w:r>
        <w:rPr>
          <w:b/>
          <w:bCs/>
          <w:color w:val="1B2A4A"/>
          <w:sz w:val="20"/>
          <w:szCs w:val="20"/>
        </w:rPr>
        <w:t xml:space="preserve">Primary node: </w:t>
      </w:r>
      <w:r>
        <w:rPr>
          <w:color w:val="1A1A1A"/>
          <w:sz w:val="20"/>
          <w:szCs w:val="20"/>
        </w:rPr>
        <w:t xml:space="preserve">pm-war-room (html/war-rooms/pm-copilot/pm-command.html)</w:t>
      </w:r>
    </w:p>
    <w:p>
      <w:pPr>
        <w:pStyle w:val="Heading3"/>
        <w:spacing w:after="100" w:before="200"/>
      </w:pPr>
      <w:r>
        <w:rPr>
          <w:b/>
          <w:bCs/>
          <w:color w:val="C0392B"/>
          <w:sz w:val="22"/>
          <w:szCs w:val="22"/>
        </w:rPr>
        <w:t xml:space="preserve">Document types you'll see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4200"/>
      </w:tblGrid>
      <w:tr>
        <w:trPr>
          <w:tblHeader/>
        </w:trPr>
        <w:tc>
          <w:tcPr>
            <w:tcW w:type="dxa" w:w="2100"/>
            <w:shd w:fill="1B2A4A" w:val="clear"/>
            <w:tcMar>
              <w:top w:type="dxa" w:w="80"/>
              <w:left w:type="dxa" w:w="120"/>
              <w:bottom w:type="dxa" w:w="80"/>
              <w:right w:type="dxa" w:w="120"/>
            </w:tcMar>
          </w:tcPr>
          <w:p>
            <w:r>
              <w:rPr>
                <w:b/>
                <w:bCs/>
                <w:color w:val="FFFFFF"/>
                <w:sz w:val="18"/>
                <w:szCs w:val="18"/>
              </w:rPr>
              <w:t xml:space="preserve">Type</w:t>
            </w:r>
          </w:p>
        </w:tc>
        <w:tc>
          <w:tcPr>
            <w:tcW w:type="dxa" w:w="3300"/>
            <w:shd w:fill="1B2A4A" w:val="clear"/>
            <w:tcMar>
              <w:top w:type="dxa" w:w="80"/>
              <w:left w:type="dxa" w:w="120"/>
              <w:bottom w:type="dxa" w:w="80"/>
              <w:right w:type="dxa" w:w="120"/>
            </w:tcMar>
          </w:tcPr>
          <w:p>
            <w:r>
              <w:rPr>
                <w:b/>
                <w:bCs/>
                <w:color w:val="FFFFFF"/>
                <w:sz w:val="18"/>
                <w:szCs w:val="18"/>
              </w:rPr>
              <w:t xml:space="preserve">Example Filename</w:t>
            </w:r>
          </w:p>
        </w:tc>
        <w:tc>
          <w:tcPr>
            <w:tcW w:type="dxa" w:w="4200"/>
            <w:shd w:fill="1B2A4A" w:val="clear"/>
            <w:tcMar>
              <w:top w:type="dxa" w:w="80"/>
              <w:left w:type="dxa" w:w="120"/>
              <w:bottom w:type="dxa" w:w="80"/>
              <w:right w:type="dxa" w:w="120"/>
            </w:tcMar>
          </w:tcPr>
          <w:p>
            <w:r>
              <w:rPr>
                <w:b/>
                <w:bCs/>
                <w:color w:val="FFFFFF"/>
                <w:sz w:val="18"/>
                <w:szCs w:val="18"/>
              </w:rPr>
              <w:t xml:space="preserve">What It Typically Is</w:t>
            </w:r>
          </w:p>
        </w:tc>
      </w:tr>
      <w:tr>
        <w:tc>
          <w:tcPr>
            <w:tcW w:type="dxa" w:w="2100"/>
            <w:tcMar>
              <w:top w:type="dxa" w:w="80"/>
              <w:left w:type="dxa" w:w="120"/>
              <w:bottom w:type="dxa" w:w="80"/>
              <w:right w:type="dxa" w:w="120"/>
            </w:tcMar>
          </w:tcPr>
          <w:p>
            <w:r>
              <w:rPr>
                <w:color w:val="1A1A1A"/>
                <w:sz w:val="18"/>
                <w:szCs w:val="18"/>
              </w:rPr>
              <w:t xml:space="preserve">DOCUMENT REPORT</w:t>
            </w:r>
          </w:p>
        </w:tc>
        <w:tc>
          <w:tcPr>
            <w:tcW w:type="dxa" w:w="3300"/>
            <w:tcMar>
              <w:top w:type="dxa" w:w="80"/>
              <w:left w:type="dxa" w:w="120"/>
              <w:bottom w:type="dxa" w:w="80"/>
              <w:right w:type="dxa" w:w="120"/>
            </w:tcMar>
          </w:tcPr>
          <w:p>
            <w:r>
              <w:rPr>
                <w:color w:val="1A1A1A"/>
                <w:sz w:val="18"/>
                <w:szCs w:val="18"/>
              </w:rPr>
              <w:t xml:space="preserve">WorkOrder_HVAC_Unit204.record</w:t>
            </w:r>
          </w:p>
        </w:tc>
        <w:tc>
          <w:tcPr>
            <w:tcW w:type="dxa" w:w="4200"/>
            <w:tcMar>
              <w:top w:type="dxa" w:w="80"/>
              <w:left w:type="dxa" w:w="120"/>
              <w:bottom w:type="dxa" w:w="80"/>
              <w:right w:type="dxa" w:w="120"/>
            </w:tcMar>
          </w:tcPr>
          <w:p>
            <w:r>
              <w:rPr>
                <w:color w:val="1A1A1A"/>
                <w:sz w:val="18"/>
                <w:szCs w:val="18"/>
              </w:rPr>
              <w:t xml:space="preserve">A maintenance work order carrying an SLA-breach code</w:t>
            </w:r>
          </w:p>
        </w:tc>
      </w:tr>
      <w:tr>
        <w:tc>
          <w:tcPr>
            <w:tcW w:type="dxa" w:w="2100"/>
            <w:tcMar>
              <w:top w:type="dxa" w:w="80"/>
              <w:left w:type="dxa" w:w="120"/>
              <w:bottom w:type="dxa" w:w="80"/>
              <w:right w:type="dxa" w:w="120"/>
            </w:tcMar>
          </w:tcPr>
          <w:p>
            <w:r>
              <w:rPr>
                <w:color w:val="1A1A1A"/>
                <w:sz w:val="18"/>
                <w:szCs w:val="18"/>
              </w:rPr>
              <w:t xml:space="preserve">POLICY</w:t>
            </w:r>
          </w:p>
        </w:tc>
        <w:tc>
          <w:tcPr>
            <w:tcW w:type="dxa" w:w="3300"/>
            <w:tcMar>
              <w:top w:type="dxa" w:w="80"/>
              <w:left w:type="dxa" w:w="120"/>
              <w:bottom w:type="dxa" w:w="80"/>
              <w:right w:type="dxa" w:w="120"/>
            </w:tcMar>
          </w:tcPr>
          <w:p>
            <w:r>
              <w:rPr>
                <w:color w:val="1A1A1A"/>
                <w:sz w:val="18"/>
                <w:szCs w:val="18"/>
              </w:rPr>
              <w:t xml:space="preserve">Vendor_Insurance_Cert_CoolAir.record</w:t>
            </w:r>
          </w:p>
        </w:tc>
        <w:tc>
          <w:tcPr>
            <w:tcW w:type="dxa" w:w="4200"/>
            <w:tcMar>
              <w:top w:type="dxa" w:w="80"/>
              <w:left w:type="dxa" w:w="120"/>
              <w:bottom w:type="dxa" w:w="80"/>
              <w:right w:type="dxa" w:w="120"/>
            </w:tcMar>
          </w:tcPr>
          <w:p>
            <w:r>
              <w:rPr>
                <w:color w:val="1A1A1A"/>
                <w:sz w:val="18"/>
                <w:szCs w:val="18"/>
              </w:rPr>
              <w:t xml:space="preserve">A vendor's insurance certificate; can carry an INS-EXP (expired) code</w:t>
            </w:r>
          </w:p>
        </w:tc>
      </w:tr>
      <w:tr>
        <w:tc>
          <w:tcPr>
            <w:tcW w:type="dxa" w:w="2100"/>
            <w:tcMar>
              <w:top w:type="dxa" w:w="80"/>
              <w:left w:type="dxa" w:w="120"/>
              <w:bottom w:type="dxa" w:w="80"/>
              <w:right w:type="dxa" w:w="120"/>
            </w:tcMar>
          </w:tcPr>
          <w:p>
            <w:r>
              <w:rPr>
                <w:color w:val="1A1A1A"/>
                <w:sz w:val="18"/>
                <w:szCs w:val="18"/>
              </w:rPr>
              <w:t xml:space="preserve">CONTRACT</w:t>
            </w:r>
          </w:p>
        </w:tc>
        <w:tc>
          <w:tcPr>
            <w:tcW w:type="dxa" w:w="3300"/>
            <w:tcMar>
              <w:top w:type="dxa" w:w="80"/>
              <w:left w:type="dxa" w:w="120"/>
              <w:bottom w:type="dxa" w:w="80"/>
              <w:right w:type="dxa" w:w="120"/>
            </w:tcMar>
          </w:tcPr>
          <w:p>
            <w:r>
              <w:rPr>
                <w:color w:val="1A1A1A"/>
                <w:sz w:val="18"/>
                <w:szCs w:val="18"/>
              </w:rPr>
              <w:t xml:space="preserve">Lease_Renewal_Unit112.record</w:t>
            </w:r>
          </w:p>
        </w:tc>
        <w:tc>
          <w:tcPr>
            <w:tcW w:type="dxa" w:w="4200"/>
            <w:tcMar>
              <w:top w:type="dxa" w:w="80"/>
              <w:left w:type="dxa" w:w="120"/>
              <w:bottom w:type="dxa" w:w="80"/>
              <w:right w:type="dxa" w:w="120"/>
            </w:tcMar>
          </w:tcPr>
          <w:p>
            <w:r>
              <w:rPr>
                <w:color w:val="1A1A1A"/>
                <w:sz w:val="18"/>
                <w:szCs w:val="18"/>
              </w:rPr>
              <w:t xml:space="preserve">A lease renewal</w:t>
            </w:r>
          </w:p>
        </w:tc>
      </w:tr>
    </w:tbl>
    <w:p>
      <w:pPr>
        <w:pStyle w:val="Heading3"/>
        <w:spacing w:after="100" w:before="200"/>
      </w:pPr>
      <w:r>
        <w:rPr>
          <w:b/>
          <w:bCs/>
          <w:color w:val="C0392B"/>
          <w:sz w:val="22"/>
          <w:szCs w:val="22"/>
        </w:rPr>
        <w:t xml:space="preserve">How this vertical is actioned today</w:t>
      </w:r>
    </w:p>
    <w:p>
      <w:pPr>
        <w:spacing w:after="160"/>
      </w:pPr>
      <w:r>
        <w:rPr>
          <w:i w:val="false"/>
          <w:iCs w:val="false"/>
          <w:color w:val="1A1A1A"/>
          <w:sz w:val="21"/>
          <w:szCs w:val="21"/>
        </w:rPr>
        <w:t xml:space="preserve">PM Copilot documents use the shared “Open Node” action. A vendor insurance certificate carrying INS-EXP should be treated as a compliance hold — that vendor should not be dispatched again until a current certificate is on file.</w:t>
      </w:r>
    </w:p>
    <w:p>
      <w:pPr>
        <w:pStyle w:val="Heading3"/>
        <w:spacing w:after="100" w:before="200"/>
      </w:pPr>
      <w:r>
        <w:rPr>
          <w:b/>
          <w:bCs/>
          <w:color w:val="C0392B"/>
          <w:sz w:val="22"/>
          <w:szCs w:val="22"/>
        </w:rPr>
        <w:t xml:space="preserve">Relay chain (War Room → Strategist → Executive Portal)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B2A4A" w:val="clear"/>
            <w:tcMar>
              <w:top w:type="dxa" w:w="80"/>
              <w:left w:type="dxa" w:w="120"/>
              <w:bottom w:type="dxa" w:w="80"/>
              <w:right w:type="dxa" w:w="120"/>
            </w:tcMar>
          </w:tcPr>
          <w:p>
            <w:r>
              <w:rPr>
                <w:b/>
                <w:bCs/>
                <w:color w:val="FFFFFF"/>
                <w:sz w:val="18"/>
                <w:szCs w:val="18"/>
              </w:rPr>
              <w:t xml:space="preserve">Stage</w:t>
            </w:r>
          </w:p>
        </w:tc>
        <w:tc>
          <w:tcPr>
            <w:tcW w:type="dxa" w:w="6800"/>
            <w:shd w:fill="1B2A4A" w:val="clear"/>
            <w:tcMar>
              <w:top w:type="dxa" w:w="80"/>
              <w:left w:type="dxa" w:w="120"/>
              <w:bottom w:type="dxa" w:w="80"/>
              <w:right w:type="dxa" w:w="120"/>
            </w:tcMar>
          </w:tcPr>
          <w:p>
            <w:r>
              <w:rPr>
                <w:b/>
                <w:bCs/>
                <w:color w:val="FFFFFF"/>
                <w:sz w:val="18"/>
                <w:szCs w:val="18"/>
              </w:rPr>
              <w:t xml:space="preserve">File Path</w:t>
            </w:r>
          </w:p>
        </w:tc>
      </w:tr>
      <w:tr>
        <w:tc>
          <w:tcPr>
            <w:tcW w:type="dxa" w:w="2200"/>
            <w:tcMar>
              <w:top w:type="dxa" w:w="80"/>
              <w:left w:type="dxa" w:w="120"/>
              <w:bottom w:type="dxa" w:w="80"/>
              <w:right w:type="dxa" w:w="120"/>
            </w:tcMar>
          </w:tcPr>
          <w:p>
            <w:r>
              <w:rPr>
                <w:color w:val="1A1A1A"/>
                <w:sz w:val="18"/>
                <w:szCs w:val="18"/>
              </w:rPr>
              <w:t xml:space="preserve">War Room</w:t>
            </w:r>
          </w:p>
        </w:tc>
        <w:tc>
          <w:tcPr>
            <w:tcW w:type="dxa" w:w="6800"/>
            <w:tcMar>
              <w:top w:type="dxa" w:w="80"/>
              <w:left w:type="dxa" w:w="120"/>
              <w:bottom w:type="dxa" w:w="80"/>
              <w:right w:type="dxa" w:w="120"/>
            </w:tcMar>
          </w:tcPr>
          <w:p>
            <w:r>
              <w:rPr>
                <w:color w:val="1A1A1A"/>
                <w:sz w:val="18"/>
                <w:szCs w:val="18"/>
              </w:rPr>
              <w:t xml:space="preserve">html/war-rooms/pm-copilot/pm-command.html</w:t>
            </w:r>
          </w:p>
        </w:tc>
      </w:tr>
      <w:tr>
        <w:tc>
          <w:tcPr>
            <w:tcW w:type="dxa" w:w="2200"/>
            <w:tcMar>
              <w:top w:type="dxa" w:w="80"/>
              <w:left w:type="dxa" w:w="120"/>
              <w:bottom w:type="dxa" w:w="80"/>
              <w:right w:type="dxa" w:w="120"/>
            </w:tcMar>
          </w:tcPr>
          <w:p>
            <w:r>
              <w:rPr>
                <w:color w:val="1A1A1A"/>
                <w:sz w:val="18"/>
                <w:szCs w:val="18"/>
              </w:rPr>
              <w:t xml:space="preserve">Strategist</w:t>
            </w:r>
          </w:p>
        </w:tc>
        <w:tc>
          <w:tcPr>
            <w:tcW w:type="dxa" w:w="6800"/>
            <w:tcMar>
              <w:top w:type="dxa" w:w="80"/>
              <w:left w:type="dxa" w:w="120"/>
              <w:bottom w:type="dxa" w:w="80"/>
              <w:right w:type="dxa" w:w="120"/>
            </w:tcMar>
          </w:tcPr>
          <w:p>
            <w:r>
              <w:rPr>
                <w:color w:val="1A1A1A"/>
                <w:sz w:val="18"/>
                <w:szCs w:val="18"/>
              </w:rPr>
              <w:t xml:space="preserve">html/war-rooms/pm-copilot/pm-strategist.html</w:t>
            </w:r>
          </w:p>
        </w:tc>
      </w:tr>
      <w:tr>
        <w:tc>
          <w:tcPr>
            <w:tcW w:type="dxa" w:w="2200"/>
            <w:tcMar>
              <w:top w:type="dxa" w:w="80"/>
              <w:left w:type="dxa" w:w="120"/>
              <w:bottom w:type="dxa" w:w="80"/>
              <w:right w:type="dxa" w:w="120"/>
            </w:tcMar>
          </w:tcPr>
          <w:p>
            <w:r>
              <w:rPr>
                <w:color w:val="1A1A1A"/>
                <w:sz w:val="18"/>
                <w:szCs w:val="18"/>
              </w:rPr>
              <w:t xml:space="preserve">Executive Portal (BNCA Escalated)</w:t>
            </w:r>
          </w:p>
        </w:tc>
        <w:tc>
          <w:tcPr>
            <w:tcW w:type="dxa" w:w="6800"/>
            <w:tcMar>
              <w:top w:type="dxa" w:w="80"/>
              <w:left w:type="dxa" w:w="120"/>
              <w:bottom w:type="dxa" w:w="80"/>
              <w:right w:type="dxa" w:w="120"/>
            </w:tcMar>
          </w:tcPr>
          <w:p>
            <w:r>
              <w:rPr>
                <w:color w:val="1A1A1A"/>
                <w:sz w:val="18"/>
                <w:szCs w:val="18"/>
              </w:rPr>
              <w:t xml:space="preserve">html/war-rooms/pm-copilot/pm-exec-portal.html</w:t>
            </w:r>
          </w:p>
        </w:tc>
      </w:tr>
      <w:tr>
        <w:tc>
          <w:tcPr>
            <w:tcW w:type="dxa" w:w="2200"/>
            <w:tcMar>
              <w:top w:type="dxa" w:w="80"/>
              <w:left w:type="dxa" w:w="120"/>
              <w:bottom w:type="dxa" w:w="80"/>
              <w:right w:type="dxa" w:w="120"/>
            </w:tcMar>
          </w:tcPr>
          <w:p>
            <w:r>
              <w:rPr>
                <w:color w:val="1A1A1A"/>
                <w:sz w:val="18"/>
                <w:szCs w:val="18"/>
              </w:rPr>
              <w:t xml:space="preserve">Sentinel Center Feed</w:t>
            </w:r>
          </w:p>
        </w:tc>
        <w:tc>
          <w:tcPr>
            <w:tcW w:type="dxa" w:w="6800"/>
            <w:tcMar>
              <w:top w:type="dxa" w:w="80"/>
              <w:left w:type="dxa" w:w="120"/>
              <w:bottom w:type="dxa" w:w="80"/>
              <w:right w:type="dxa" w:w="120"/>
            </w:tcMar>
          </w:tcPr>
          <w:p>
            <w:r>
              <w:rPr>
                <w:color w:val="1A1A1A"/>
                <w:sz w:val="18"/>
                <w:szCs w:val="18"/>
              </w:rPr>
              <w:t xml:space="preserve">html/sentinel-center.html reads this same relay via localStorage key TSM_PM_STRATEGIST_RELAY (written by the Strategist stage above)</w:t>
            </w:r>
          </w:p>
        </w:tc>
      </w:tr>
    </w:tbl>
    <w:p>
      <w:pPr>
        <w:pStyle w:val="Heading3"/>
        <w:spacing w:after="100" w:before="200"/>
      </w:pPr>
      <w:r>
        <w:rPr>
          <w:b/>
          <w:bCs/>
          <w:color w:val="C0392B"/>
          <w:sz w:val="22"/>
          <w:szCs w:val="22"/>
        </w:rPr>
        <w:t xml:space="preserve">Why it matters for revenue recovery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0392B" w:sz="4"/>
              <w:left w:val="single" w:color="C0392B" w:sz="4"/>
              <w:bottom w:val="single" w:color="C0392B" w:sz="4"/>
              <w:right w:val="single" w:color="C0392B" w:sz="4"/>
            </w:tcBorders>
            <w:shd w:fill="F2F4F7" w:val="clear"/>
            <w:tcMar>
              <w:top w:type="dxa" w:w="120"/>
              <w:left w:type="dxa" w:w="160"/>
              <w:bottom w:type="dxa" w:w="120"/>
              <w:right w:type="dxa" w:w="160"/>
            </w:tcMar>
          </w:tcPr>
          <w:p>
            <w:pPr>
              <w:spacing w:after="80"/>
            </w:pPr>
            <w:r>
              <w:rPr>
                <w:b/>
                <w:bCs/>
                <w:color w:val="C0392B"/>
                <w:sz w:val="21"/>
                <w:szCs w:val="21"/>
              </w:rPr>
              <w:t xml:space="preserve">Recovery Note</w:t>
            </w:r>
          </w:p>
          <w:p>
            <w:r>
              <w:rPr>
                <w:color w:val="1A1A1A"/>
                <w:sz w:val="20"/>
                <w:szCs w:val="20"/>
              </w:rPr>
              <w:t xml:space="preserve">Expired vendor insurance is a liability exposure, not just a paperwork gap — catching INS-EXP here prevents an uninsured vendor incident from becoming the property owner's problem.</w:t>
            </w:r>
          </w:p>
        </w:tc>
      </w:tr>
    </w:tbl>
    <w:p>
      <w:r>
        <w:br w:type="page"/>
      </w:r>
    </w:p>
    <w:p>
      <w:pPr>
        <w:pStyle w:val="Heading2"/>
        <w:spacing w:after="150" w:before="300"/>
      </w:pPr>
      <w:r>
        <w:rPr>
          <w:b/>
          <w:bCs/>
          <w:color w:val="1B2A4A"/>
          <w:sz w:val="26"/>
          <w:szCs w:val="26"/>
        </w:rPr>
        <w:t xml:space="preserve">Network Operations Center</w:t>
      </w:r>
    </w:p>
    <w:p>
      <w:pPr>
        <w:spacing w:after="160"/>
      </w:pPr>
      <w:r>
        <w:rPr>
          <w:b/>
          <w:bCs/>
          <w:sz w:val="21"/>
          <w:szCs w:val="21"/>
        </w:rPr>
        <w:t xml:space="preserve">Covers: </w:t>
      </w:r>
      <w:r>
        <w:rPr>
          <w:sz w:val="21"/>
          <w:szCs w:val="21"/>
        </w:rPr>
        <w:t xml:space="preserve">Infrastructure incidents and SLA/uptime reporting.</w:t>
      </w:r>
    </w:p>
    <w:p>
      <w:pPr>
        <w:spacing w:after="100"/>
      </w:pPr>
      <w:r>
        <w:rPr>
          <w:b/>
          <w:bCs/>
          <w:color w:val="1B2A4A"/>
          <w:sz w:val="20"/>
          <w:szCs w:val="20"/>
        </w:rPr>
        <w:t xml:space="preserve">Primary node: </w:t>
      </w:r>
      <w:r>
        <w:rPr>
          <w:color w:val="1A1A1A"/>
          <w:sz w:val="20"/>
          <w:szCs w:val="20"/>
        </w:rPr>
        <w:t xml:space="preserve">noc-war-room (html/l1-copilot/noc/noc-war-room.html)</w:t>
      </w:r>
    </w:p>
    <w:p>
      <w:pPr>
        <w:pStyle w:val="Heading3"/>
        <w:spacing w:after="100" w:before="200"/>
      </w:pPr>
      <w:r>
        <w:rPr>
          <w:b/>
          <w:bCs/>
          <w:color w:val="C0392B"/>
          <w:sz w:val="22"/>
          <w:szCs w:val="22"/>
        </w:rPr>
        <w:t xml:space="preserve">Document types you'll see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4200"/>
      </w:tblGrid>
      <w:tr>
        <w:trPr>
          <w:tblHeader/>
        </w:trPr>
        <w:tc>
          <w:tcPr>
            <w:tcW w:type="dxa" w:w="2100"/>
            <w:shd w:fill="1B2A4A" w:val="clear"/>
            <w:tcMar>
              <w:top w:type="dxa" w:w="80"/>
              <w:left w:type="dxa" w:w="120"/>
              <w:bottom w:type="dxa" w:w="80"/>
              <w:right w:type="dxa" w:w="120"/>
            </w:tcMar>
          </w:tcPr>
          <w:p>
            <w:r>
              <w:rPr>
                <w:b/>
                <w:bCs/>
                <w:color w:val="FFFFFF"/>
                <w:sz w:val="18"/>
                <w:szCs w:val="18"/>
              </w:rPr>
              <w:t xml:space="preserve">Type</w:t>
            </w:r>
          </w:p>
        </w:tc>
        <w:tc>
          <w:tcPr>
            <w:tcW w:type="dxa" w:w="3300"/>
            <w:shd w:fill="1B2A4A" w:val="clear"/>
            <w:tcMar>
              <w:top w:type="dxa" w:w="80"/>
              <w:left w:type="dxa" w:w="120"/>
              <w:bottom w:type="dxa" w:w="80"/>
              <w:right w:type="dxa" w:w="120"/>
            </w:tcMar>
          </w:tcPr>
          <w:p>
            <w:r>
              <w:rPr>
                <w:b/>
                <w:bCs/>
                <w:color w:val="FFFFFF"/>
                <w:sz w:val="18"/>
                <w:szCs w:val="18"/>
              </w:rPr>
              <w:t xml:space="preserve">Example Filename</w:t>
            </w:r>
          </w:p>
        </w:tc>
        <w:tc>
          <w:tcPr>
            <w:tcW w:type="dxa" w:w="4200"/>
            <w:shd w:fill="1B2A4A" w:val="clear"/>
            <w:tcMar>
              <w:top w:type="dxa" w:w="80"/>
              <w:left w:type="dxa" w:w="120"/>
              <w:bottom w:type="dxa" w:w="80"/>
              <w:right w:type="dxa" w:w="120"/>
            </w:tcMar>
          </w:tcPr>
          <w:p>
            <w:r>
              <w:rPr>
                <w:b/>
                <w:bCs/>
                <w:color w:val="FFFFFF"/>
                <w:sz w:val="18"/>
                <w:szCs w:val="18"/>
              </w:rPr>
              <w:t xml:space="preserve">What It Typically Is</w:t>
            </w:r>
          </w:p>
        </w:tc>
      </w:tr>
      <w:tr>
        <w:tc>
          <w:tcPr>
            <w:tcW w:type="dxa" w:w="2100"/>
            <w:tcMar>
              <w:top w:type="dxa" w:w="80"/>
              <w:left w:type="dxa" w:w="120"/>
              <w:bottom w:type="dxa" w:w="80"/>
              <w:right w:type="dxa" w:w="120"/>
            </w:tcMar>
          </w:tcPr>
          <w:p>
            <w:r>
              <w:rPr>
                <w:color w:val="1A1A1A"/>
                <w:sz w:val="18"/>
                <w:szCs w:val="18"/>
              </w:rPr>
              <w:t xml:space="preserve">INCIDENT</w:t>
            </w:r>
          </w:p>
        </w:tc>
        <w:tc>
          <w:tcPr>
            <w:tcW w:type="dxa" w:w="3300"/>
            <w:tcMar>
              <w:top w:type="dxa" w:w="80"/>
              <w:left w:type="dxa" w:w="120"/>
              <w:bottom w:type="dxa" w:w="80"/>
              <w:right w:type="dxa" w:w="120"/>
            </w:tcMar>
          </w:tcPr>
          <w:p>
            <w:r>
              <w:rPr>
                <w:color w:val="1A1A1A"/>
                <w:sz w:val="18"/>
                <w:szCs w:val="18"/>
              </w:rPr>
              <w:t xml:space="preserve">Incident_Outage_CoreSwitch04.record</w:t>
            </w:r>
          </w:p>
        </w:tc>
        <w:tc>
          <w:tcPr>
            <w:tcW w:type="dxa" w:w="4200"/>
            <w:tcMar>
              <w:top w:type="dxa" w:w="80"/>
              <w:left w:type="dxa" w:w="120"/>
              <w:bottom w:type="dxa" w:w="80"/>
              <w:right w:type="dxa" w:w="120"/>
            </w:tcMar>
          </w:tcPr>
          <w:p>
            <w:r>
              <w:rPr>
                <w:color w:val="1A1A1A"/>
                <w:sz w:val="18"/>
                <w:szCs w:val="18"/>
              </w:rPr>
              <w:t xml:space="preserve">A core-infrastructure outage incident (severity-coded)</w:t>
            </w:r>
          </w:p>
        </w:tc>
      </w:tr>
      <w:tr>
        <w:tc>
          <w:tcPr>
            <w:tcW w:type="dxa" w:w="2100"/>
            <w:tcMar>
              <w:top w:type="dxa" w:w="80"/>
              <w:left w:type="dxa" w:w="120"/>
              <w:bottom w:type="dxa" w:w="80"/>
              <w:right w:type="dxa" w:w="120"/>
            </w:tcMar>
          </w:tcPr>
          <w:p>
            <w:r>
              <w:rPr>
                <w:color w:val="1A1A1A"/>
                <w:sz w:val="18"/>
                <w:szCs w:val="18"/>
              </w:rPr>
              <w:t xml:space="preserve">DOCUMENT REPORT</w:t>
            </w:r>
          </w:p>
        </w:tc>
        <w:tc>
          <w:tcPr>
            <w:tcW w:type="dxa" w:w="3300"/>
            <w:tcMar>
              <w:top w:type="dxa" w:w="80"/>
              <w:left w:type="dxa" w:w="120"/>
              <w:bottom w:type="dxa" w:w="80"/>
              <w:right w:type="dxa" w:w="120"/>
            </w:tcMar>
          </w:tcPr>
          <w:p>
            <w:r>
              <w:rPr>
                <w:color w:val="1A1A1A"/>
                <w:sz w:val="18"/>
                <w:szCs w:val="18"/>
              </w:rPr>
              <w:t xml:space="preserve">SLA_Breach_UptimeReport_Q2.record</w:t>
            </w:r>
          </w:p>
        </w:tc>
        <w:tc>
          <w:tcPr>
            <w:tcW w:type="dxa" w:w="4200"/>
            <w:tcMar>
              <w:top w:type="dxa" w:w="80"/>
              <w:left w:type="dxa" w:w="120"/>
              <w:bottom w:type="dxa" w:w="80"/>
              <w:right w:type="dxa" w:w="120"/>
            </w:tcMar>
          </w:tcPr>
          <w:p>
            <w:r>
              <w:rPr>
                <w:color w:val="1A1A1A"/>
                <w:sz w:val="18"/>
                <w:szCs w:val="18"/>
              </w:rPr>
              <w:t xml:space="preserve">An uptime SLA breach report, escalated to BNCA</w:t>
            </w:r>
          </w:p>
        </w:tc>
      </w:tr>
    </w:tbl>
    <w:p>
      <w:pPr>
        <w:pStyle w:val="Heading3"/>
        <w:spacing w:after="100" w:before="200"/>
      </w:pPr>
      <w:r>
        <w:rPr>
          <w:b/>
          <w:bCs/>
          <w:color w:val="C0392B"/>
          <w:sz w:val="22"/>
          <w:szCs w:val="22"/>
        </w:rPr>
        <w:t xml:space="preserve">How this vertical is actioned today</w:t>
      </w:r>
    </w:p>
    <w:p>
      <w:pPr>
        <w:spacing w:after="160"/>
      </w:pPr>
      <w:r>
        <w:rPr>
          <w:i w:val="false"/>
          <w:iCs w:val="false"/>
          <w:color w:val="1A1A1A"/>
          <w:sz w:val="21"/>
          <w:szCs w:val="21"/>
        </w:rPr>
        <w:t xml:space="preserve">NOC documents use the shared “Open Node” action. Severity-coded incidents (SEV-2 and above) should be triaged before uptime reports, since an open incident is the live event an SLA report only reports on afterward.</w:t>
      </w:r>
    </w:p>
    <w:p>
      <w:pPr>
        <w:pStyle w:val="Heading3"/>
        <w:spacing w:after="100" w:before="200"/>
      </w:pPr>
      <w:r>
        <w:rPr>
          <w:b/>
          <w:bCs/>
          <w:color w:val="C0392B"/>
          <w:sz w:val="22"/>
          <w:szCs w:val="22"/>
        </w:rPr>
        <w:t xml:space="preserve">Relay chain (War Room → Strategist → Executive Portal)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B2A4A" w:val="clear"/>
            <w:tcMar>
              <w:top w:type="dxa" w:w="80"/>
              <w:left w:type="dxa" w:w="120"/>
              <w:bottom w:type="dxa" w:w="80"/>
              <w:right w:type="dxa" w:w="120"/>
            </w:tcMar>
          </w:tcPr>
          <w:p>
            <w:r>
              <w:rPr>
                <w:b/>
                <w:bCs/>
                <w:color w:val="FFFFFF"/>
                <w:sz w:val="18"/>
                <w:szCs w:val="18"/>
              </w:rPr>
              <w:t xml:space="preserve">Stage</w:t>
            </w:r>
          </w:p>
        </w:tc>
        <w:tc>
          <w:tcPr>
            <w:tcW w:type="dxa" w:w="6800"/>
            <w:shd w:fill="1B2A4A" w:val="clear"/>
            <w:tcMar>
              <w:top w:type="dxa" w:w="80"/>
              <w:left w:type="dxa" w:w="120"/>
              <w:bottom w:type="dxa" w:w="80"/>
              <w:right w:type="dxa" w:w="120"/>
            </w:tcMar>
          </w:tcPr>
          <w:p>
            <w:r>
              <w:rPr>
                <w:b/>
                <w:bCs/>
                <w:color w:val="FFFFFF"/>
                <w:sz w:val="18"/>
                <w:szCs w:val="18"/>
              </w:rPr>
              <w:t xml:space="preserve">File Path</w:t>
            </w:r>
          </w:p>
        </w:tc>
      </w:tr>
      <w:tr>
        <w:tc>
          <w:tcPr>
            <w:tcW w:type="dxa" w:w="2200"/>
            <w:tcMar>
              <w:top w:type="dxa" w:w="80"/>
              <w:left w:type="dxa" w:w="120"/>
              <w:bottom w:type="dxa" w:w="80"/>
              <w:right w:type="dxa" w:w="120"/>
            </w:tcMar>
          </w:tcPr>
          <w:p>
            <w:r>
              <w:rPr>
                <w:color w:val="1A1A1A"/>
                <w:sz w:val="18"/>
                <w:szCs w:val="18"/>
              </w:rPr>
              <w:t xml:space="preserve">War Room</w:t>
            </w:r>
          </w:p>
        </w:tc>
        <w:tc>
          <w:tcPr>
            <w:tcW w:type="dxa" w:w="6800"/>
            <w:tcMar>
              <w:top w:type="dxa" w:w="80"/>
              <w:left w:type="dxa" w:w="120"/>
              <w:bottom w:type="dxa" w:w="80"/>
              <w:right w:type="dxa" w:w="120"/>
            </w:tcMar>
          </w:tcPr>
          <w:p>
            <w:r>
              <w:rPr>
                <w:color w:val="1A1A1A"/>
                <w:sz w:val="18"/>
                <w:szCs w:val="18"/>
              </w:rPr>
              <w:t xml:space="preserve">html/l1-copilot/noc/noc-war-room.html</w:t>
            </w:r>
          </w:p>
        </w:tc>
      </w:tr>
      <w:tr>
        <w:tc>
          <w:tcPr>
            <w:tcW w:type="dxa" w:w="2200"/>
            <w:tcMar>
              <w:top w:type="dxa" w:w="80"/>
              <w:left w:type="dxa" w:w="120"/>
              <w:bottom w:type="dxa" w:w="80"/>
              <w:right w:type="dxa" w:w="120"/>
            </w:tcMar>
          </w:tcPr>
          <w:p>
            <w:r>
              <w:rPr>
                <w:color w:val="1A1A1A"/>
                <w:sz w:val="18"/>
                <w:szCs w:val="18"/>
              </w:rPr>
              <w:t xml:space="preserve">Strategist</w:t>
            </w:r>
          </w:p>
        </w:tc>
        <w:tc>
          <w:tcPr>
            <w:tcW w:type="dxa" w:w="6800"/>
            <w:tcMar>
              <w:top w:type="dxa" w:w="80"/>
              <w:left w:type="dxa" w:w="120"/>
              <w:bottom w:type="dxa" w:w="80"/>
              <w:right w:type="dxa" w:w="120"/>
            </w:tcMar>
          </w:tcPr>
          <w:p>
            <w:r>
              <w:rPr>
                <w:color w:val="1A1A1A"/>
                <w:sz w:val="18"/>
                <w:szCs w:val="18"/>
              </w:rPr>
              <w:t xml:space="preserve">html/l1-copilot/noc/noc-strategist.html</w:t>
            </w:r>
          </w:p>
        </w:tc>
      </w:tr>
      <w:tr>
        <w:tc>
          <w:tcPr>
            <w:tcW w:type="dxa" w:w="2200"/>
            <w:tcMar>
              <w:top w:type="dxa" w:w="80"/>
              <w:left w:type="dxa" w:w="120"/>
              <w:bottom w:type="dxa" w:w="80"/>
              <w:right w:type="dxa" w:w="120"/>
            </w:tcMar>
          </w:tcPr>
          <w:p>
            <w:r>
              <w:rPr>
                <w:color w:val="1A1A1A"/>
                <w:sz w:val="18"/>
                <w:szCs w:val="18"/>
              </w:rPr>
              <w:t xml:space="preserve">Executive Portal (BNCA Escalated)</w:t>
            </w:r>
          </w:p>
        </w:tc>
        <w:tc>
          <w:tcPr>
            <w:tcW w:type="dxa" w:w="6800"/>
            <w:tcMar>
              <w:top w:type="dxa" w:w="80"/>
              <w:left w:type="dxa" w:w="120"/>
              <w:bottom w:type="dxa" w:w="80"/>
              <w:right w:type="dxa" w:w="120"/>
            </w:tcMar>
          </w:tcPr>
          <w:p>
            <w:r>
              <w:rPr>
                <w:color w:val="1A1A1A"/>
                <w:sz w:val="18"/>
                <w:szCs w:val="18"/>
              </w:rPr>
              <w:t xml:space="preserve">html/l1-copilot/noc/noc-executive-portal.html</w:t>
            </w:r>
          </w:p>
        </w:tc>
      </w:tr>
    </w:tbl>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0392B" w:sz="4"/>
              <w:left w:val="single" w:color="C0392B" w:sz="4"/>
              <w:bottom w:val="single" w:color="C0392B" w:sz="4"/>
              <w:right w:val="single" w:color="C0392B" w:sz="4"/>
            </w:tcBorders>
            <w:shd w:fill="F2F4F7" w:val="clear"/>
            <w:tcMar>
              <w:top w:type="dxa" w:w="120"/>
              <w:left w:type="dxa" w:w="160"/>
              <w:bottom w:type="dxa" w:w="120"/>
              <w:right w:type="dxa" w:w="160"/>
            </w:tcMar>
          </w:tcPr>
          <w:p>
            <w:pPr>
              <w:spacing w:after="80"/>
            </w:pPr>
            <w:r>
              <w:rPr>
                <w:b/>
                <w:bCs/>
                <w:color w:val="C0392B"/>
                <w:sz w:val="21"/>
                <w:szCs w:val="21"/>
              </w:rPr>
              <w:t xml:space="preserve">Sentinel Scope Note</w:t>
            </w:r>
          </w:p>
          <w:p>
            <w:r>
              <w:rPr>
                <w:color w:val="1A1A1A"/>
                <w:sz w:val="20"/>
                <w:szCs w:val="20"/>
              </w:rPr>
              <w:t xml:space="preserve">NOC is not one of the 12 verticals html/sentinel-center.html tracks (schools, healthcare, finops, insurance, construction, legal, realestate, bpo, mortgage, hotelops, pm, concierge) — its Strategist stage does not write a TSM_*_STRATEGIST_RELAY key, so NOC items never surface on the Sentinel Center board. This is a real gap in the wiring, not an omission in this manual.</w:t>
            </w:r>
          </w:p>
        </w:tc>
      </w:tr>
    </w:tbl>
    <w:p/>
    <w:p>
      <w:pPr>
        <w:pStyle w:val="Heading3"/>
        <w:spacing w:after="100" w:before="200"/>
      </w:pPr>
      <w:r>
        <w:rPr>
          <w:b/>
          <w:bCs/>
          <w:color w:val="C0392B"/>
          <w:sz w:val="22"/>
          <w:szCs w:val="22"/>
        </w:rPr>
        <w:t xml:space="preserve">Why it matters for revenue recovery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0392B" w:sz="4"/>
              <w:left w:val="single" w:color="C0392B" w:sz="4"/>
              <w:bottom w:val="single" w:color="C0392B" w:sz="4"/>
              <w:right w:val="single" w:color="C0392B" w:sz="4"/>
            </w:tcBorders>
            <w:shd w:fill="F2F4F7" w:val="clear"/>
            <w:tcMar>
              <w:top w:type="dxa" w:w="120"/>
              <w:left w:type="dxa" w:w="160"/>
              <w:bottom w:type="dxa" w:w="120"/>
              <w:right w:type="dxa" w:w="160"/>
            </w:tcMar>
          </w:tcPr>
          <w:p>
            <w:pPr>
              <w:spacing w:after="80"/>
            </w:pPr>
            <w:r>
              <w:rPr>
                <w:b/>
                <w:bCs/>
                <w:color w:val="C0392B"/>
                <w:sz w:val="21"/>
                <w:szCs w:val="21"/>
              </w:rPr>
              <w:t xml:space="preserve">Recovery Note</w:t>
            </w:r>
          </w:p>
          <w:p>
            <w:r>
              <w:rPr>
                <w:color w:val="1A1A1A"/>
                <w:sz w:val="20"/>
                <w:szCs w:val="20"/>
              </w:rPr>
              <w:t xml:space="preserve">Uptime SLA breaches carry contractual credit exposure back to the client — the sooner a breach report is actioned, the smaller the credit typically owed.</w:t>
            </w:r>
          </w:p>
        </w:tc>
      </w:tr>
    </w:tbl>
    <w:p>
      <w:r>
        <w:br w:type="page"/>
      </w:r>
    </w:p>
    <w:p>
      <w:pPr>
        <w:pStyle w:val="Heading1"/>
        <w:spacing w:after="200" w:before="400"/>
      </w:pPr>
      <w:r>
        <w:rPr>
          <w:b/>
          <w:bCs/>
          <w:color w:val="1B2A4A"/>
          <w:sz w:val="32"/>
          <w:szCs w:val="32"/>
        </w:rPr>
        <w:t xml:space="preserve">6. Document Card Controls (Every Vertical)</w:t>
      </w:r>
    </w:p>
    <w:p>
      <w:pPr>
        <w:spacing w:after="160"/>
      </w:pPr>
      <w:r>
        <w:rPr>
          <w:i w:val="false"/>
          <w:iCs w:val="false"/>
          <w:color w:val="1A1A1A"/>
          <w:sz w:val="21"/>
          <w:szCs w:val="21"/>
        </w:rPr>
        <w:t xml:space="preserve">Every document card in the War Room carries the same baseline controls: an “Open Node” action that routes the reviewer into the vertical's War Room page pre-loaded with that document's context, and the core field set from Section 3 displayed on the card face (exclusion code, amount, routing path).</w:t>
      </w:r>
    </w:p>
    <w:p>
      <w:pPr>
        <w:spacing w:after="160"/>
      </w:pPr>
      <w:r>
        <w:rPr>
          <w:i w:val="false"/>
          <w:iCs w:val="false"/>
          <w:color w:val="1A1A1A"/>
          <w:sz w:val="21"/>
          <w:szCs w:val="21"/>
        </w:rPr>
        <w:t xml:space="preserve">A populated exclusion code or a non-empty defectFlags array (used in Real Estate and Healthcare, see Section 5) should be read as a hold, not a suggestion — those fields exist specifically so a reviewer doesn't have to open the full document to know something needs attention.</w:t>
      </w:r>
    </w:p>
    <w:p>
      <w:pPr>
        <w:pStyle w:val="Heading1"/>
        <w:spacing w:after="200" w:before="400"/>
      </w:pPr>
      <w:r>
        <w:rPr>
          <w:b/>
          <w:bCs/>
          <w:color w:val="1B2A4A"/>
          <w:sz w:val="32"/>
          <w:szCs w:val="32"/>
        </w:rPr>
        <w:t xml:space="preserve">7. Known Risk: Exclusion-Code Collisions</w:t>
      </w:r>
    </w:p>
    <w:p>
      <w:pPr>
        <w:spacing w:after="160"/>
      </w:pPr>
      <w:r>
        <w:rPr>
          <w:i w:val="false"/>
          <w:iCs w:val="false"/>
          <w:color w:val="1A1A1A"/>
          <w:sz w:val="21"/>
          <w:szCs w:val="21"/>
        </w:rPr>
        <w:t xml:space="preserve">This is a real, code-documented routing risk — not a hypothetical. TSM's routing logic checks certain exclusion-code prefixes in a fixed order, and a code that happens to match the wrong prefix can misroute a document to the wrong recovery path.</w:t>
      </w:r>
    </w:p>
    <w:p>
      <w:pPr>
        <w:pStyle w:val="Heading3"/>
        <w:spacing w:after="100" w:before="200"/>
      </w:pPr>
      <w:r>
        <w:rPr>
          <w:b/>
          <w:bCs/>
          <w:color w:val="C0392B"/>
          <w:sz w:val="22"/>
          <w:szCs w:val="22"/>
        </w:rPr>
        <w:t xml:space="preserve">Healthcare example (PA- prefix)</w:t>
      </w:r>
    </w:p>
    <w:p>
      <w:pPr>
        <w:spacing w:after="160"/>
      </w:pPr>
      <w:r>
        <w:rPr>
          <w:i w:val="false"/>
          <w:iCs w:val="false"/>
          <w:color w:val="1A1A1A"/>
          <w:sz w:val="21"/>
          <w:szCs w:val="21"/>
        </w:rPr>
        <w:t xml:space="preserve">The router checks any exclusionCode starting “PA-” for an authorization block before it checks documentType for DENIAL. A real proof-pack demo document labels its denial code “PA-17” — if the live classifier reused that code verbatim, the appeal packet would misroute to prior-auth verification steps instead of the appeal steps it actually needs. The seeded demo version pins the code to “CO-50” (a real CARC-style denial code) specifically to avoid this collision.</w:t>
      </w:r>
    </w:p>
    <w:p>
      <w:pPr>
        <w:pStyle w:val="Heading3"/>
        <w:spacing w:after="100" w:before="200"/>
      </w:pPr>
      <w:r>
        <w:rPr>
          <w:b/>
          <w:bCs/>
          <w:color w:val="C0392B"/>
          <w:sz w:val="22"/>
          <w:szCs w:val="22"/>
        </w:rPr>
        <w:t xml:space="preserve">Construction example (CO- prefix)</w:t>
      </w:r>
    </w:p>
    <w:p>
      <w:pPr>
        <w:spacing w:after="160"/>
      </w:pPr>
      <w:r>
        <w:rPr>
          <w:i w:val="false"/>
          <w:iCs w:val="false"/>
          <w:color w:val="1A1A1A"/>
          <w:sz w:val="21"/>
          <w:szCs w:val="21"/>
        </w:rPr>
        <w:t xml:space="preserve">Similarly, a change-order document labeled “CO-017” would trip DENIAL_RISK routing if reused as its exclusion code — not the sharpest fit for a cost-variance dispute with an unresolved authorization question. The seeded demo version pins the code to “VAR-CO17” instead, which correctly routes to DOCUMENTATION_BLOCK (identify defects, send query, block release until resolved).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0392B" w:sz="4"/>
              <w:left w:val="single" w:color="C0392B" w:sz="4"/>
              <w:bottom w:val="single" w:color="C0392B" w:sz="4"/>
              <w:right w:val="single" w:color="C0392B" w:sz="4"/>
            </w:tcBorders>
            <w:shd w:fill="F2F4F7" w:val="clear"/>
            <w:tcMar>
              <w:top w:type="dxa" w:w="120"/>
              <w:left w:type="dxa" w:w="160"/>
              <w:bottom w:type="dxa" w:w="120"/>
              <w:right w:type="dxa" w:w="160"/>
            </w:tcMar>
          </w:tcPr>
          <w:p>
            <w:pPr>
              <w:spacing w:after="80"/>
            </w:pPr>
            <w:r>
              <w:rPr>
                <w:b/>
                <w:bCs/>
                <w:color w:val="C0392B"/>
                <w:sz w:val="21"/>
                <w:szCs w:val="21"/>
              </w:rPr>
              <w:t xml:space="preserve">Why This Matters</w:t>
            </w:r>
          </w:p>
          <w:p>
            <w:r>
              <w:rPr>
                <w:color w:val="1A1A1A"/>
                <w:sz w:val="20"/>
                <w:szCs w:val="20"/>
              </w:rPr>
              <w:t xml:space="preserve">If you're hand-keying an exclusion code, or reviewing one an AI classifier assigned, treat “PA-”, “CO-”, “OA-”, and “PR-” prefixes as reserved — they carry routing meaning beyond just being a reference number.</w:t>
            </w:r>
          </w:p>
        </w:tc>
      </w:tr>
    </w:tbl>
    <w:p>
      <w:pPr>
        <w:pStyle w:val="Heading1"/>
        <w:spacing w:after="200" w:before="400"/>
      </w:pPr>
      <w:r>
        <w:rPr>
          <w:b/>
          <w:bCs/>
          <w:color w:val="1B2A4A"/>
          <w:sz w:val="32"/>
          <w:szCs w:val="32"/>
        </w:rPr>
        <w:t xml:space="preserve">8. Quick-Reference Checklist — Don't Miss These</w:t>
      </w:r>
    </w:p>
    <w:p>
      <w:pPr>
        <w:pStyle w:val="ListParagraph"/>
        <w:numPr>
          <w:ilvl w:val="0"/>
          <w:numId w:val="1"/>
        </w:numPr>
        <w:spacing w:after="80"/>
      </w:pPr>
      <w:r>
        <w:rPr>
          <w:color w:val="1A1A1A"/>
          <w:sz w:val="21"/>
          <w:szCs w:val="21"/>
        </w:rPr>
        <w:t xml:space="preserve">Check the exclusion code before trusting the routing — see Section 7's PA-/CO- collision risk.</w:t>
      </w:r>
    </w:p>
    <w:p>
      <w:pPr>
        <w:pStyle w:val="ListParagraph"/>
        <w:numPr>
          <w:ilvl w:val="0"/>
          <w:numId w:val="1"/>
        </w:numPr>
        <w:spacing w:after="80"/>
      </w:pPr>
      <w:r>
        <w:rPr>
          <w:color w:val="1A1A1A"/>
          <w:sz w:val="21"/>
          <w:szCs w:val="21"/>
        </w:rPr>
        <w:t xml:space="preserve">A Mission Preview modal means low confidence — verify the fields, don't rubber-stamp it.</w:t>
      </w:r>
    </w:p>
    <w:p>
      <w:pPr>
        <w:pStyle w:val="ListParagraph"/>
        <w:numPr>
          <w:ilvl w:val="0"/>
          <w:numId w:val="1"/>
        </w:numPr>
        <w:spacing w:after="80"/>
      </w:pPr>
      <w:r>
        <w:rPr>
          <w:color w:val="1A1A1A"/>
          <w:sz w:val="21"/>
          <w:szCs w:val="21"/>
        </w:rPr>
        <w:t xml:space="preserve">A populated defectFlags array (Real Estate, Healthcare) is a hold, not informational text.</w:t>
      </w:r>
    </w:p>
    <w:p>
      <w:pPr>
        <w:pStyle w:val="ListParagraph"/>
        <w:numPr>
          <w:ilvl w:val="0"/>
          <w:numId w:val="1"/>
        </w:numPr>
        <w:spacing w:after="80"/>
      </w:pPr>
      <w:r>
        <w:rPr>
          <w:color w:val="1A1A1A"/>
          <w:sz w:val="21"/>
          <w:szCs w:val="21"/>
        </w:rPr>
        <w:t xml:space="preserve">BPO's Strategist stage is a real, built page (bpo-strategist.html) — a BPO item does get a Strategist hop, same as other verticals; see BPO_Client_Chain_Manual.docx for the full stage-by-stage steps.</w:t>
      </w:r>
    </w:p>
    <w:p>
      <w:pPr>
        <w:pStyle w:val="ListParagraph"/>
        <w:numPr>
          <w:ilvl w:val="0"/>
          <w:numId w:val="1"/>
        </w:numPr>
        <w:spacing w:after="80"/>
      </w:pPr>
      <w:r>
        <w:rPr>
          <w:color w:val="1A1A1A"/>
          <w:sz w:val="21"/>
          <w:szCs w:val="21"/>
        </w:rPr>
        <w:t xml:space="preserve">RCM-OS and Property Accounting — Revenue Cycle are searchable but not classifier-routed — a document won't land there automatically (Appendix A).</w:t>
      </w:r>
    </w:p>
    <w:p>
      <w:pPr>
        <w:pStyle w:val="ListParagraph"/>
        <w:numPr>
          <w:ilvl w:val="0"/>
          <w:numId w:val="1"/>
        </w:numPr>
        <w:spacing w:after="80"/>
      </w:pPr>
      <w:r>
        <w:rPr>
          <w:color w:val="1A1A1A"/>
          <w:sz w:val="21"/>
          <w:szCs w:val="21"/>
        </w:rPr>
        <w:t xml:space="preserve">Mortgage, Schools, HotelOps/Concierge, Honeywell, L1 Ticket, Logistics, and Supplier/Vendor sit entirely outside this pipeline (Appendix B) — don't look for them in doc-search.</w:t>
      </w:r>
    </w:p>
    <w:p>
      <w:pPr>
        <w:pStyle w:val="ListParagraph"/>
        <w:numPr>
          <w:ilvl w:val="0"/>
          <w:numId w:val="1"/>
        </w:numPr>
        <w:spacing w:after="80"/>
      </w:pPr>
      <w:r>
        <w:rPr>
          <w:color w:val="1A1A1A"/>
          <w:sz w:val="21"/>
          <w:szCs w:val="21"/>
        </w:rPr>
        <w:t xml:space="preserve">Sentinel Center (html/sentinel-center.html) rolls up 8 of the 9 pipeline verticals—every one but NOC—plus Mortgage, Schools, HotelOps, and Concierge from Appendix B; check Section 5's Sentinel Center Feed rows for the exact relay key.</w:t>
      </w:r>
    </w:p>
    <w:p>
      <w:pPr>
        <w:pStyle w:val="Heading1"/>
        <w:spacing w:after="200" w:before="400"/>
      </w:pPr>
      <w:r>
        <w:rPr>
          <w:b/>
          <w:bCs/>
          <w:color w:val="1B2A4A"/>
          <w:sz w:val="32"/>
          <w:szCs w:val="32"/>
        </w:rPr>
        <w:t xml:space="preserve">9.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B2A4A" w:val="clear"/>
            <w:tcMar>
              <w:top w:type="dxa" w:w="80"/>
              <w:left w:type="dxa" w:w="120"/>
              <w:bottom w:type="dxa" w:w="80"/>
              <w:right w:type="dxa" w:w="120"/>
            </w:tcMar>
          </w:tcPr>
          <w:p>
            <w:r>
              <w:rPr>
                <w:b/>
                <w:bCs/>
                <w:color w:val="FFFFFF"/>
                <w:sz w:val="18"/>
                <w:szCs w:val="18"/>
              </w:rPr>
              <w:t xml:space="preserve">Stage</w:t>
            </w:r>
          </w:p>
        </w:tc>
        <w:tc>
          <w:tcPr>
            <w:tcW w:type="dxa" w:w="6800"/>
            <w:shd w:fill="1B2A4A" w:val="clear"/>
            <w:tcMar>
              <w:top w:type="dxa" w:w="80"/>
              <w:left w:type="dxa" w:w="120"/>
              <w:bottom w:type="dxa" w:w="80"/>
              <w:right w:type="dxa" w:w="120"/>
            </w:tcMar>
          </w:tcPr>
          <w:p>
            <w:r>
              <w:rPr>
                <w:b/>
                <w:bCs/>
                <w:color w:val="FFFFFF"/>
                <w:sz w:val="18"/>
                <w:szCs w:val="18"/>
              </w:rPr>
              <w:t xml:space="preserve">File Path</w:t>
            </w:r>
          </w:p>
        </w:tc>
      </w:tr>
      <w:tr>
        <w:tc>
          <w:tcPr>
            <w:tcW w:type="dxa" w:w="2200"/>
            <w:tcMar>
              <w:top w:type="dxa" w:w="80"/>
              <w:left w:type="dxa" w:w="120"/>
              <w:bottom w:type="dxa" w:w="80"/>
              <w:right w:type="dxa" w:w="120"/>
            </w:tcMar>
          </w:tcPr>
          <w:p>
            <w:r>
              <w:rPr>
                <w:color w:val="1A1A1A"/>
                <w:sz w:val="18"/>
                <w:szCs w:val="18"/>
              </w:rPr>
              <w:t xml:space="preserve">BNCA</w:t>
            </w:r>
          </w:p>
        </w:tc>
        <w:tc>
          <w:tcPr>
            <w:tcW w:type="dxa" w:w="6800"/>
            <w:tcMar>
              <w:top w:type="dxa" w:w="80"/>
              <w:left w:type="dxa" w:w="120"/>
              <w:bottom w:type="dxa" w:w="80"/>
              <w:right w:type="dxa" w:w="120"/>
            </w:tcMar>
          </w:tcPr>
          <w:p>
            <w:r>
              <w:rPr>
                <w:color w:val="1A1A1A"/>
                <w:sz w:val="18"/>
                <w:szCs w:val="18"/>
              </w:rPr>
              <w:t xml:space="preserve">Best Next Course of Action — the system's escalation/recommendation concept</w:t>
            </w:r>
          </w:p>
        </w:tc>
      </w:tr>
      <w:tr>
        <w:tc>
          <w:tcPr>
            <w:tcW w:type="dxa" w:w="2200"/>
            <w:tcMar>
              <w:top w:type="dxa" w:w="80"/>
              <w:left w:type="dxa" w:w="120"/>
              <w:bottom w:type="dxa" w:w="80"/>
              <w:right w:type="dxa" w:w="120"/>
            </w:tcMar>
          </w:tcPr>
          <w:p>
            <w:r>
              <w:rPr>
                <w:color w:val="1A1A1A"/>
                <w:sz w:val="18"/>
                <w:szCs w:val="18"/>
              </w:rPr>
              <w:t xml:space="preserve">War Room</w:t>
            </w:r>
          </w:p>
        </w:tc>
        <w:tc>
          <w:tcPr>
            <w:tcW w:type="dxa" w:w="6800"/>
            <w:tcMar>
              <w:top w:type="dxa" w:w="80"/>
              <w:left w:type="dxa" w:w="120"/>
              <w:bottom w:type="dxa" w:w="80"/>
              <w:right w:type="dxa" w:w="120"/>
            </w:tcMar>
          </w:tcPr>
          <w:p>
            <w:r>
              <w:rPr>
                <w:color w:val="1A1A1A"/>
                <w:sz w:val="18"/>
                <w:szCs w:val="18"/>
              </w:rPr>
              <w:t xml:space="preserve">the vertical-specific page where a routed document first lands for review</w:t>
            </w:r>
          </w:p>
        </w:tc>
      </w:tr>
      <w:tr>
        <w:tc>
          <w:tcPr>
            <w:tcW w:type="dxa" w:w="2200"/>
            <w:tcMar>
              <w:top w:type="dxa" w:w="80"/>
              <w:left w:type="dxa" w:w="120"/>
              <w:bottom w:type="dxa" w:w="80"/>
              <w:right w:type="dxa" w:w="120"/>
            </w:tcMar>
          </w:tcPr>
          <w:p>
            <w:r>
              <w:rPr>
                <w:color w:val="1A1A1A"/>
                <w:sz w:val="18"/>
                <w:szCs w:val="18"/>
              </w:rPr>
              <w:t xml:space="preserve">Strategist</w:t>
            </w:r>
          </w:p>
        </w:tc>
        <w:tc>
          <w:tcPr>
            <w:tcW w:type="dxa" w:w="6800"/>
            <w:tcMar>
              <w:top w:type="dxa" w:w="80"/>
              <w:left w:type="dxa" w:w="120"/>
              <w:bottom w:type="dxa" w:w="80"/>
              <w:right w:type="dxa" w:w="120"/>
            </w:tcMar>
          </w:tcPr>
          <w:p>
            <w:r>
              <w:rPr>
                <w:color w:val="1A1A1A"/>
                <w:sz w:val="18"/>
                <w:szCs w:val="18"/>
              </w:rPr>
              <w:t xml:space="preserve">the second relay stage — reconciliation/sign-off before executive escalation</w:t>
            </w:r>
          </w:p>
        </w:tc>
      </w:tr>
      <w:tr>
        <w:tc>
          <w:tcPr>
            <w:tcW w:type="dxa" w:w="2200"/>
            <w:tcMar>
              <w:top w:type="dxa" w:w="80"/>
              <w:left w:type="dxa" w:w="120"/>
              <w:bottom w:type="dxa" w:w="80"/>
              <w:right w:type="dxa" w:w="120"/>
            </w:tcMar>
          </w:tcPr>
          <w:p>
            <w:r>
              <w:rPr>
                <w:color w:val="1A1A1A"/>
                <w:sz w:val="18"/>
                <w:szCs w:val="18"/>
              </w:rPr>
              <w:t xml:space="preserve">Executive Portal</w:t>
            </w:r>
          </w:p>
        </w:tc>
        <w:tc>
          <w:tcPr>
            <w:tcW w:type="dxa" w:w="6800"/>
            <w:tcMar>
              <w:top w:type="dxa" w:w="80"/>
              <w:left w:type="dxa" w:w="120"/>
              <w:bottom w:type="dxa" w:w="80"/>
              <w:right w:type="dxa" w:w="120"/>
            </w:tcMar>
          </w:tcPr>
          <w:p>
            <w:r>
              <w:rPr>
                <w:color w:val="1A1A1A"/>
                <w:sz w:val="18"/>
                <w:szCs w:val="18"/>
              </w:rPr>
              <w:t xml:space="preserve">the third relay stage — where BNCA-escalated items surface for leadership</w:t>
            </w:r>
          </w:p>
        </w:tc>
      </w:tr>
      <w:tr>
        <w:tc>
          <w:tcPr>
            <w:tcW w:type="dxa" w:w="2200"/>
            <w:tcMar>
              <w:top w:type="dxa" w:w="80"/>
              <w:left w:type="dxa" w:w="120"/>
              <w:bottom w:type="dxa" w:w="80"/>
              <w:right w:type="dxa" w:w="120"/>
            </w:tcMar>
          </w:tcPr>
          <w:p>
            <w:r>
              <w:rPr>
                <w:color w:val="1A1A1A"/>
                <w:sz w:val="18"/>
                <w:szCs w:val="18"/>
              </w:rPr>
              <w:t xml:space="preserve">Exclusion Code</w:t>
            </w:r>
          </w:p>
        </w:tc>
        <w:tc>
          <w:tcPr>
            <w:tcW w:type="dxa" w:w="6800"/>
            <w:tcMar>
              <w:top w:type="dxa" w:w="80"/>
              <w:left w:type="dxa" w:w="120"/>
              <w:bottom w:type="dxa" w:w="80"/>
              <w:right w:type="dxa" w:w="120"/>
            </w:tcMar>
          </w:tcPr>
          <w:p>
            <w:r>
              <w:rPr>
                <w:color w:val="1A1A1A"/>
                <w:sz w:val="18"/>
                <w:szCs w:val="18"/>
              </w:rPr>
              <w:t xml:space="preserve">a short routing code assigned to a document; drives which recovery path it takes</w:t>
            </w:r>
          </w:p>
        </w:tc>
      </w:tr>
      <w:tr>
        <w:tc>
          <w:tcPr>
            <w:tcW w:type="dxa" w:w="2200"/>
            <w:tcMar>
              <w:top w:type="dxa" w:w="80"/>
              <w:left w:type="dxa" w:w="120"/>
              <w:bottom w:type="dxa" w:w="80"/>
              <w:right w:type="dxa" w:w="120"/>
            </w:tcMar>
          </w:tcPr>
          <w:p>
            <w:r>
              <w:rPr>
                <w:color w:val="1A1A1A"/>
                <w:sz w:val="18"/>
                <w:szCs w:val="18"/>
              </w:rPr>
              <w:t xml:space="preserve">Mission Preview</w:t>
            </w:r>
          </w:p>
        </w:tc>
        <w:tc>
          <w:tcPr>
            <w:tcW w:type="dxa" w:w="6800"/>
            <w:tcMar>
              <w:top w:type="dxa" w:w="80"/>
              <w:left w:type="dxa" w:w="120"/>
              <w:bottom w:type="dxa" w:w="80"/>
              <w:right w:type="dxa" w:w="120"/>
            </w:tcMar>
          </w:tcPr>
          <w:p>
            <w:r>
              <w:rPr>
                <w:color w:val="1A1A1A"/>
                <w:sz w:val="18"/>
                <w:szCs w:val="18"/>
              </w:rPr>
              <w:t xml:space="preserve">a confirmation modal shown when classifier confidence is below 0.6</w:t>
            </w:r>
          </w:p>
        </w:tc>
      </w:tr>
      <w:tr>
        <w:tc>
          <w:tcPr>
            <w:tcW w:type="dxa" w:w="2200"/>
            <w:tcMar>
              <w:top w:type="dxa" w:w="80"/>
              <w:left w:type="dxa" w:w="120"/>
              <w:bottom w:type="dxa" w:w="80"/>
              <w:right w:type="dxa" w:w="120"/>
            </w:tcMar>
          </w:tcPr>
          <w:p>
            <w:r>
              <w:rPr>
                <w:color w:val="1A1A1A"/>
                <w:sz w:val="18"/>
                <w:szCs w:val="18"/>
              </w:rPr>
              <w:t xml:space="preserve">sourceNode / routing</w:t>
            </w:r>
          </w:p>
        </w:tc>
        <w:tc>
          <w:tcPr>
            <w:tcW w:type="dxa" w:w="6800"/>
            <w:tcMar>
              <w:top w:type="dxa" w:w="80"/>
              <w:left w:type="dxa" w:w="120"/>
              <w:bottom w:type="dxa" w:w="80"/>
              <w:right w:type="dxa" w:w="120"/>
            </w:tcMar>
          </w:tcPr>
          <w:p>
            <w:r>
              <w:rPr>
                <w:color w:val="1A1A1A"/>
                <w:sz w:val="18"/>
                <w:szCs w:val="18"/>
              </w:rPr>
              <w:t xml:space="preserve">which node a document lands on, and the ordered relay path it will follow</w:t>
            </w:r>
          </w:p>
        </w:tc>
      </w:tr>
      <w:tr>
        <w:tc>
          <w:tcPr>
            <w:tcW w:type="dxa" w:w="2200"/>
            <w:tcMar>
              <w:top w:type="dxa" w:w="80"/>
              <w:left w:type="dxa" w:w="120"/>
              <w:bottom w:type="dxa" w:w="80"/>
              <w:right w:type="dxa" w:w="120"/>
            </w:tcMar>
          </w:tcPr>
          <w:p>
            <w:r>
              <w:rPr>
                <w:color w:val="1A1A1A"/>
                <w:sz w:val="18"/>
                <w:szCs w:val="18"/>
              </w:rPr>
              <w:t xml:space="preserve">Sentinel Center</w:t>
            </w:r>
          </w:p>
        </w:tc>
        <w:tc>
          <w:tcPr>
            <w:tcW w:type="dxa" w:w="6800"/>
            <w:tcMar>
              <w:top w:type="dxa" w:w="80"/>
              <w:left w:type="dxa" w:w="120"/>
              <w:bottom w:type="dxa" w:w="80"/>
              <w:right w:type="dxa" w:w="120"/>
            </w:tcMar>
          </w:tcPr>
          <w:p>
            <w:r>
              <w:rPr>
                <w:color w:val="1A1A1A"/>
                <w:sz w:val="18"/>
                <w:szCs w:val="18"/>
              </w:rPr>
              <w:t xml:space="preserve">html/sentinel-center.html — cross-vertical risk board that reads each vertical's TSM_*_STRATEGIST_RELAY key; downstream of the relay chain, not a pipeline stage itself (see Section 5's per-vertical Sentinel Center Feed rows, and the NOC scope note in that same section)</w:t>
            </w:r>
          </w:p>
        </w:tc>
      </w:tr>
    </w:tbl>
    <w:p>
      <w:r>
        <w:br w:type="page"/>
      </w:r>
    </w:p>
    <w:p>
      <w:pPr>
        <w:pStyle w:val="Heading1"/>
        <w:spacing w:after="200" w:before="400"/>
      </w:pPr>
      <w:r>
        <w:rPr>
          <w:b/>
          <w:bCs/>
          <w:color w:val="1B2A4A"/>
          <w:sz w:val="32"/>
          <w:szCs w:val="32"/>
        </w:rPr>
        <w:t xml:space="preserve">Appendix A: Registered but Not Classifier-Routed</w:t>
      </w:r>
    </w:p>
    <w:p>
      <w:pPr>
        <w:spacing w:after="160"/>
      </w:pPr>
      <w:r>
        <w:rPr>
          <w:i w:val="false"/>
          <w:iCs w:val="false"/>
          <w:color w:val="1A1A1A"/>
          <w:sz w:val="21"/>
          <w:szCs w:val="21"/>
        </w:rPr>
        <w:t xml:space="preserve">RCM-OS and Property Accounting — Revenue Cycle are registered in the shared document-search index (tsm-doc-search-multi.html) for manual browsing, but — per that file's own code comments, verified on a fresh clone — neither has a doc-search relay receiver on its target page, and neither is in server.js's classifier vertical list. A user can still open a document into these pages manually from the doc-search index; it just won't auto-land there the way it does for the nine Section 5 verticals.</w:t>
      </w:r>
    </w:p>
    <w:p>
      <w:pPr>
        <w:pStyle w:val="Heading2"/>
        <w:spacing w:after="150" w:before="300"/>
      </w:pPr>
      <w:r>
        <w:rPr>
          <w:b/>
          <w:bCs/>
          <w:color w:val="1B2A4A"/>
          <w:sz w:val="26"/>
          <w:szCs w:val="26"/>
        </w:rPr>
        <w:t xml:space="preserve">RCM-OS (RCM Operating System)</w:t>
      </w:r>
    </w:p>
    <w:p>
      <w:pPr>
        <w:spacing w:after="100"/>
      </w:pPr>
      <w:r>
        <w:rPr>
          <w:b/>
          <w:bCs/>
          <w:color w:val="1B2A4A"/>
          <w:sz w:val="20"/>
          <w:szCs w:val="20"/>
        </w:rPr>
        <w:t xml:space="preserve">Target page: </w:t>
      </w:r>
      <w:r>
        <w:rPr>
          <w:color w:val="1A1A1A"/>
          <w:sz w:val="20"/>
          <w:szCs w:val="20"/>
        </w:rPr>
        <w:t xml:space="preserve">html/finops-suite/tsm-rcm-os.html</w:t>
      </w:r>
    </w:p>
    <w:p>
      <w:pPr>
        <w:spacing w:after="160"/>
      </w:pPr>
      <w:r>
        <w:rPr>
          <w:i w:val="false"/>
          <w:iCs w:val="false"/>
          <w:color w:val="1A1A1A"/>
          <w:sz w:val="21"/>
          <w:szCs w:val="21"/>
        </w:rPr>
        <w:t xml:space="preserve">Reconciliation Command Center — search by cadence, GL code, ledger, escrow. Indexed in the shared doc-search UI for manual browsing only; no *_docsearch_relay listener exists on its target page, and it is absent from server.js's DOC_ROUTER_NODES/DOC_ROUTER_PROMPT vertical list, so the AI classifier cannot route a document into it yet.</w:t>
      </w:r>
    </w:p>
    <w:p>
      <w:pPr>
        <w:pStyle w:val="Heading2"/>
        <w:spacing w:after="150" w:before="300"/>
      </w:pPr>
      <w:r>
        <w:rPr>
          <w:b/>
          <w:bCs/>
          <w:color w:val="1B2A4A"/>
          <w:sz w:val="26"/>
          <w:szCs w:val="26"/>
        </w:rPr>
        <w:t xml:space="preserve">Property Accounting — Revenue Cycle</w:t>
      </w:r>
    </w:p>
    <w:p>
      <w:pPr>
        <w:spacing w:after="100"/>
      </w:pPr>
      <w:r>
        <w:rPr>
          <w:b/>
          <w:bCs/>
          <w:color w:val="1B2A4A"/>
          <w:sz w:val="20"/>
          <w:szCs w:val="20"/>
        </w:rPr>
        <w:t xml:space="preserve">Target page: </w:t>
      </w:r>
      <w:r>
        <w:rPr>
          <w:color w:val="1A1A1A"/>
          <w:sz w:val="20"/>
          <w:szCs w:val="20"/>
        </w:rPr>
        <w:t xml:space="preserve">html/construction-suite/property-accounting-revenue-cycle.html</w:t>
      </w:r>
    </w:p>
    <w:p>
      <w:pPr>
        <w:spacing w:after="160"/>
      </w:pPr>
      <w:r>
        <w:rPr>
          <w:i w:val="false"/>
          <w:iCs w:val="false"/>
          <w:color w:val="1A1A1A"/>
          <w:sz w:val="21"/>
          <w:szCs w:val="21"/>
        </w:rPr>
        <w:t xml:space="preserve">Search by pay app, lien release, AR, collections. Same status as RCM-OS: indexed for manual navigation only, not yet classifier-routed.</w:t>
      </w:r>
    </w:p>
    <w:p>
      <w:r>
        <w:br w:type="page"/>
      </w:r>
    </w:p>
    <w:p>
      <w:pPr>
        <w:pStyle w:val="Heading1"/>
        <w:spacing w:after="200" w:before="400"/>
      </w:pPr>
      <w:r>
        <w:rPr>
          <w:b/>
          <w:bCs/>
          <w:color w:val="1B2A4A"/>
          <w:sz w:val="32"/>
          <w:szCs w:val="32"/>
        </w:rPr>
        <w:t xml:space="preserve">Appendix B: Verticals Outside This Pipeline</w:t>
      </w:r>
    </w:p>
    <w:p>
      <w:pPr>
        <w:spacing w:after="160"/>
      </w:pPr>
      <w:r>
        <w:rPr>
          <w:i w:val="false"/>
          <w:iCs w:val="false"/>
          <w:color w:val="1A1A1A"/>
          <w:sz w:val="21"/>
          <w:szCs w:val="21"/>
        </w:rPr>
        <w:t xml:space="preserve">The nine verticals in Section 5 are the ones that run through TSM's shared document-router classifier (tsm-doc-search-multi.html). The verticals below have their own relay chains but are not wired into that shared intake pipeline at all (not even for manual indexing, unlike Appendix A), so document-processing guidance for them isn't covered by this manual — listed here for reference only.</w:t>
      </w:r>
    </w:p>
    <w:p>
      <w:pPr>
        <w:pStyle w:val="ListParagraph"/>
        <w:numPr>
          <w:ilvl w:val="0"/>
          <w:numId w:val="1"/>
        </w:numPr>
        <w:spacing w:after="80"/>
      </w:pPr>
      <w:r>
        <w:rPr>
          <w:color w:val="1A1A1A"/>
          <w:sz w:val="21"/>
          <w:szCs w:val="21"/>
        </w:rPr>
        <w:t xml:space="preserve">Mortgage — html/war-rooms/mortgage/mortgage-war-room.html</w:t>
      </w:r>
    </w:p>
    <w:p>
      <w:pPr>
        <w:pStyle w:val="ListParagraph"/>
        <w:numPr>
          <w:ilvl w:val="0"/>
          <w:numId w:val="1"/>
        </w:numPr>
        <w:spacing w:after="80"/>
      </w:pPr>
      <w:r>
        <w:rPr>
          <w:color w:val="1A1A1A"/>
          <w:sz w:val="21"/>
          <w:szCs w:val="21"/>
        </w:rPr>
        <w:t xml:space="preserve">Schools — html/war-rooms/schools-command/schools-command.html</w:t>
      </w:r>
    </w:p>
    <w:p>
      <w:pPr>
        <w:pStyle w:val="ListParagraph"/>
        <w:numPr>
          <w:ilvl w:val="0"/>
          <w:numId w:val="1"/>
        </w:numPr>
        <w:spacing w:after="80"/>
      </w:pPr>
      <w:r>
        <w:rPr>
          <w:color w:val="1A1A1A"/>
          <w:sz w:val="21"/>
          <w:szCs w:val="21"/>
        </w:rPr>
        <w:t xml:space="preserve">HotelOps / Concierge — html/hotelops/hotelops-war-room.html</w:t>
      </w:r>
    </w:p>
    <w:p>
      <w:pPr>
        <w:pStyle w:val="ListParagraph"/>
        <w:numPr>
          <w:ilvl w:val="0"/>
          <w:numId w:val="1"/>
        </w:numPr>
        <w:spacing w:after="80"/>
      </w:pPr>
      <w:r>
        <w:rPr>
          <w:color w:val="1A1A1A"/>
          <w:sz w:val="21"/>
          <w:szCs w:val="21"/>
        </w:rPr>
        <w:t xml:space="preserve">Honeywell Industrial — html/plant-incident.html</w:t>
      </w:r>
    </w:p>
    <w:p>
      <w:pPr>
        <w:pStyle w:val="ListParagraph"/>
        <w:numPr>
          <w:ilvl w:val="0"/>
          <w:numId w:val="1"/>
        </w:numPr>
        <w:spacing w:after="80"/>
      </w:pPr>
      <w:r>
        <w:rPr>
          <w:color w:val="1A1A1A"/>
          <w:sz w:val="21"/>
          <w:szCs w:val="21"/>
        </w:rPr>
        <w:t xml:space="preserve">L1 Ticket Copilot — html/l1-copilot/l1-ticket-copilot.html</w:t>
      </w:r>
    </w:p>
    <w:p>
      <w:pPr>
        <w:pStyle w:val="ListParagraph"/>
        <w:numPr>
          <w:ilvl w:val="0"/>
          <w:numId w:val="1"/>
        </w:numPr>
        <w:spacing w:after="80"/>
      </w:pPr>
      <w:r>
        <w:rPr>
          <w:color w:val="1A1A1A"/>
          <w:sz w:val="21"/>
          <w:szCs w:val="21"/>
        </w:rPr>
        <w:t xml:space="preserve">Logistics — html/logistics/logistics-situation-room.html (Situation Room only — no Strategist/Executive Portal built yet)</w:t>
      </w:r>
    </w:p>
    <w:p>
      <w:pPr>
        <w:pStyle w:val="ListParagraph"/>
        <w:numPr>
          <w:ilvl w:val="0"/>
          <w:numId w:val="1"/>
        </w:numPr>
        <w:spacing w:after="80"/>
      </w:pPr>
      <w:r>
        <w:rPr>
          <w:color w:val="1A1A1A"/>
          <w:sz w:val="21"/>
          <w:szCs w:val="21"/>
        </w:rPr>
        <w:t xml:space="preserve">Supplier/Vendor Management — html/supplier-vendor/supplier-vendor-situation-room.html (Situation Room only — no Strategist/Executive Portal built yet)</w:t>
      </w:r>
    </w:p>
    <w:sectPr>
      <w:headerReference w:type="default" r:id="rId7"/>
      <w:headerReference w:type="first" r:id="rId8"/>
      <w:footerReference w:type="default" r:id="rId9"/>
      <w:footerReference w:type="first" r:id="rId10"/>
      <w:pgSz w:w="12240" w:h="15840" w:orient="portrait"/>
      <w:pgMar w:top="1080" w:right="1080" w:bottom="108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4"/>
        <w:szCs w:val="14"/>
      </w:rPr>
      <w:t xml:space="preserve">Page </w:t>
    </w:r>
    <w:r>
      <w:rPr>
        <w:color w:val="6B7280"/>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4"/>
        <w:szCs w:val="14"/>
      </w:rPr>
      <w:t xml:space="preserve">TSM Consultz — Document Processing &amp; Revenue Recovery Manual v2.0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2026-08-30T21:46:31.804Z</dcterms:created>
  <dcterms:modified xsi:type="dcterms:W3CDTF">2026-08-30T21:46:31.817Z</dcterms:modified>
</cp:coreProperties>
</file>

<file path=docProps/custom.xml><?xml version="1.0" encoding="utf-8"?>
<Properties xmlns="http://schemas.openxmlformats.org/officeDocument/2006/custom-properties" xmlns:vt="http://schemas.openxmlformats.org/officeDocument/2006/docPropsVTypes"/>
</file>