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rPr>
          <w:trHeight w:val="16838" w:hRule="exact"/>
        </w:trPr>
        <w:tc>
          <w:tcPr>
            <w:tcW w:type="pct" w:w="100%"/>
            <w:tcBorders>
              <w:top w:val="none" w:sz="0"/>
              <w:left w:val="none" w:sz="0"/>
              <w:bottom w:val="none" w:sz="0"/>
              <w:right w:val="none" w:sz="0"/>
            </w:tcBorders>
            <w:shd w:fill="1B4332" w:val="clear"/>
            <w:tcMar>
              <w:top w:type="dxa" w:w="2000"/>
              <w:left w:type="dxa" w:w="1500"/>
              <w:bottom w:type="dxa" w:w="1000"/>
              <w:right w:type="dxa" w:w="1500"/>
            </w:tcMar>
          </w:tcPr>
          <w:p>
            <w:pPr>
              <w:spacing w:after="200"/>
              <w:jc w:val="center"/>
            </w:pPr>
            <w:r>
              <w:rPr>
                <w:rFonts w:ascii="Calibri" w:cs="Calibri" w:eastAsia="Calibri" w:hAnsi="Calibri"/>
                <w:b/>
                <w:bCs/>
                <w:color w:val="FFFFFF"/>
                <w:sz w:val="44"/>
                <w:szCs w:val="44"/>
                <w:rtl/>
              </w:rPr>
              <w:t xml:space="preserve">بِنَاء</w:t>
            </w:r>
          </w:p>
          <w:p>
            <w:pPr>
              <w:spacing w:after="100"/>
              <w:jc w:val="center"/>
            </w:pPr>
            <w:r>
              <w:rPr>
                <w:rFonts w:ascii="Calibri" w:cs="Calibri" w:eastAsia="Calibri" w:hAnsi="Calibri"/>
                <w:b/>
                <w:bCs/>
                <w:color w:val="A7D9A0"/>
                <w:sz w:val="44"/>
                <w:szCs w:val="44"/>
              </w:rPr>
              <w:t xml:space="preserve">BINA ERP</w:t>
            </w:r>
          </w:p>
          <w:p>
            <w:pPr>
              <w:spacing w:after="600"/>
              <w:jc w:val="center"/>
            </w:pPr>
            <w:r>
              <w:rPr>
                <w:rFonts w:ascii="Calibri" w:cs="Calibri" w:eastAsia="Calibri" w:hAnsi="Calibri"/>
                <w:color w:val="40916C"/>
                <w:sz w:val="20"/>
                <w:szCs w:val="20"/>
              </w:rPr>
              <w:t xml:space="preserve">━━━━━━━━━━━━━━━━━━━━━━━━</w:t>
            </w:r>
          </w:p>
          <w:p>
            <w:pPr>
              <w:spacing w:after="200"/>
              <w:jc w:val="center"/>
            </w:pPr>
            <w:r>
              <w:rPr>
                <w:rFonts w:ascii="Calibri" w:cs="Calibri" w:eastAsia="Calibri" w:hAnsi="Calibri"/>
                <w:b/>
                <w:bCs/>
                <w:color w:val="FFFFFF"/>
                <w:sz w:val="44"/>
                <w:szCs w:val="44"/>
                <w:rtl/>
              </w:rPr>
              <w:t xml:space="preserve">وثيقة النظام الشاملة</w:t>
            </w:r>
          </w:p>
          <w:p>
            <w:pPr>
              <w:spacing w:after="120"/>
              <w:jc w:val="center"/>
            </w:pPr>
            <w:r>
              <w:rPr>
                <w:rFonts w:ascii="Calibri" w:cs="Calibri" w:eastAsia="Calibri" w:hAnsi="Calibri"/>
                <w:color w:val="A7D9A0"/>
                <w:sz w:val="28"/>
                <w:szCs w:val="28"/>
              </w:rPr>
              <w:t xml:space="preserve">Comprehensive System Documentation</w:t>
            </w:r>
          </w:p>
          <w:p>
            <w:pPr>
              <w:spacing w:after="600"/>
              <w:jc w:val="center"/>
            </w:pPr>
            <w:r>
              <w:rPr>
                <w:rFonts w:ascii="Calibri" w:cs="Calibri" w:eastAsia="Calibri" w:hAnsi="Calibri"/>
                <w:color w:val="D4E7D0"/>
                <w:sz w:val="24"/>
                <w:szCs w:val="24"/>
                <w:rtl/>
              </w:rPr>
              <w:t xml:space="preserve">نظام تخطيط موارد المؤسسات للمشاريع الإنشائية وتأجير المعدات</w:t>
            </w:r>
          </w:p>
          <w:p>
            <w:pPr>
              <w:spacing w:after="100"/>
              <w:jc w:val="center"/>
            </w:pPr>
            <w:r>
              <w:rPr>
                <w:rFonts w:ascii="Calibri" w:cs="Calibri" w:eastAsia="Calibri" w:hAnsi="Calibri"/>
                <w:color w:val="FFFFFF"/>
                <w:sz w:val="24"/>
                <w:szCs w:val="24"/>
                <w:rtl/>
              </w:rPr>
              <w:t xml:space="preserve">المملكة العربية السعودية</w:t>
            </w:r>
          </w:p>
          <w:p>
            <w:pPr>
              <w:spacing w:after="100"/>
              <w:jc w:val="center"/>
            </w:pPr>
            <w:r>
              <w:rPr>
                <w:rFonts w:ascii="Calibri" w:cs="Calibri" w:eastAsia="Calibri" w:hAnsi="Calibri"/>
                <w:color w:val="A7D9A0"/>
                <w:sz w:val="20"/>
                <w:szCs w:val="20"/>
                <w:rtl/>
              </w:rPr>
              <w:t xml:space="preserve">متوافق مع معايير هيئة المحاسبين القانونيين SOCPA</w:t>
            </w:r>
          </w:p>
          <w:p>
            <w:pPr>
              <w:spacing w:after="100"/>
              <w:jc w:val="center"/>
            </w:pPr>
            <w:r>
              <w:rPr>
                <w:rFonts w:ascii="Calibri" w:cs="Calibri" w:eastAsia="Calibri" w:hAnsi="Calibri"/>
                <w:color w:val="A7D9A0"/>
                <w:sz w:val="20"/>
                <w:szCs w:val="20"/>
                <w:rtl/>
              </w:rPr>
              <w:t xml:space="preserve">متوافق مع متطلبات هيئة الزكاة والدخل ZATCA</w:t>
            </w:r>
          </w:p>
          <w:p>
            <w:pPr>
              <w:spacing w:after="800"/>
            </w:pPr>
          </w:p>
          <w:p>
            <w:pPr>
              <w:jc w:val="center"/>
            </w:pPr>
            <w:r>
              <w:rPr>
                <w:rFonts w:ascii="Calibri" w:cs="Calibri" w:eastAsia="Calibri" w:hAnsi="Calibri"/>
                <w:color w:val="D4E7D0"/>
                <w:sz w:val="22"/>
                <w:szCs w:val="22"/>
                <w:rtl/>
              </w:rPr>
              <w:t xml:space="preserve">الإصدار 3.0 | مارس 2025</w:t>
            </w:r>
          </w:p>
        </w:tc>
      </w:tr>
    </w:tbl>
    <w:p>
      <w:pPr>
        <w:sectPr>
          <w:pgSz w:w="11906" w:h="16838" w:orient="portrait"/>
          <w:pgMar w:top="0" w:right="0" w:bottom="0" w:left="0" w:header="708" w:footer="708" w:gutter="0"/>
          <w:pgNumType/>
          <w:docGrid w:linePitch="360"/>
        </w:sectPr>
      </w:pPr>
    </w:p>
    <w:p>
      <w:pPr>
        <w:spacing w:after="400"/>
        <w:jc w:val="center"/>
      </w:pPr>
      <w:r>
        <w:rPr>
          <w:rFonts w:ascii="Calibri" w:cs="Calibri" w:eastAsia="Calibri" w:hAnsi="Calibri"/>
          <w:b/>
          <w:bCs/>
          <w:color w:val="1B4332"/>
          <w:sz w:val="36"/>
          <w:szCs w:val="36"/>
          <w:rtl/>
        </w:rPr>
        <w:t xml:space="preserve">فهرس المحتويات</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الفصل الأول: نظرة عامة على النظام</w:t>
            </w:r>
            <w:r>
              <w:tab/>
            </w:r>
            <w:r>
              <w:fldChar w:fldCharType="begin"/>
            </w:r>
            <w:r>
              <w:instrText xml:space="preserve"> PAGEREF _Toc100000 \h </w:instrText>
            </w:r>
            <w:r>
              <w:fldChar w:fldCharType="separate"/>
            </w:r>
            <w:r>
              <w:t>1</w:t>
            </w:r>
            <w:r>
              <w:fldChar w:fldCharType="end"/>
            </w:r>
          </w:hyperlink>
        </w:p>
        <w:p>
          <w:pPr>
            <w:pStyle w:val="11"/>
            <w:ind w:left="360"/>
            <w:tabs>
              <w:tab w:val="right" w:leader="dot" w:pos="9026"/>
            </w:tabs>
            <w:spacing w:before="120" w:after="60"/>
          </w:pPr>
          <w:hyperlink w:anchor="_Toc100001" w:history="1">
            <w:r>
              <w:rPr>
                <w:rStyle w:val="Hyperlink"/>
              </w:rPr>
              <w:t>1.1 التعريف بالنظام</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1.2 الرؤية والفلسفة</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1.3 التقنيات المستخدمة</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1.4 المتطلبات والمواءمة</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الفصل الثاني: هيكل النظام المعماري</w:t>
            </w:r>
            <w:r>
              <w:tab/>
            </w:r>
            <w:r>
              <w:fldChar w:fldCharType="begin"/>
            </w:r>
            <w:r>
              <w:instrText xml:space="preserve"> PAGEREF _Toc100005 \h </w:instrText>
            </w:r>
            <w:r>
              <w:fldChar w:fldCharType="separate"/>
            </w:r>
            <w:r>
              <w:t>3</w:t>
            </w:r>
            <w:r>
              <w:fldChar w:fldCharType="end"/>
            </w:r>
          </w:hyperlink>
        </w:p>
        <w:p>
          <w:pPr>
            <w:pStyle w:val="11"/>
            <w:ind w:left="360"/>
            <w:tabs>
              <w:tab w:val="right" w:leader="dot" w:pos="9026"/>
            </w:tabs>
            <w:spacing w:before="120" w:after="60"/>
          </w:pPr>
          <w:hyperlink w:anchor="_Toc100006" w:history="1">
            <w:r>
              <w:rPr>
                <w:rStyle w:val="Hyperlink"/>
              </w:rPr>
              <w:t>2.1 البنية العامة</w:t>
            </w:r>
            <w:r>
              <w:tab/>
            </w:r>
            <w:r>
              <w:fldChar w:fldCharType="begin"/>
            </w:r>
            <w:r>
              <w:instrText xml:space="preserve"> PAGEREF _Toc100006 \h </w:instrText>
            </w:r>
            <w:r>
              <w:fldChar w:fldCharType="separate"/>
            </w:r>
            <w:r>
              <w:t>3</w:t>
            </w:r>
            <w:r>
              <w:fldChar w:fldCharType="end"/>
            </w:r>
          </w:hyperlink>
        </w:p>
        <w:p>
          <w:pPr>
            <w:pStyle w:val="11"/>
            <w:ind w:left="360"/>
            <w:tabs>
              <w:tab w:val="right" w:leader="dot" w:pos="9026"/>
            </w:tabs>
            <w:spacing w:before="120" w:after="60"/>
          </w:pPr>
          <w:hyperlink w:anchor="_Toc100007" w:history="1">
            <w:r>
              <w:rPr>
                <w:rStyle w:val="Hyperlink"/>
              </w:rPr>
              <w:t>2.2 مركزا النظام الأساسيان</w:t>
            </w:r>
            <w:r>
              <w:tab/>
            </w:r>
            <w:r>
              <w:fldChar w:fldCharType="begin"/>
            </w:r>
            <w:r>
              <w:instrText xml:space="preserve"> PAGEREF _Toc100007 \h </w:instrText>
            </w:r>
            <w:r>
              <w:fldChar w:fldCharType="separate"/>
            </w:r>
            <w:r>
              <w:t>3</w:t>
            </w:r>
            <w:r>
              <w:fldChar w:fldCharType="end"/>
            </w:r>
          </w:hyperlink>
        </w:p>
        <w:p>
          <w:pPr>
            <w:pStyle w:val="12"/>
            <w:ind w:left="720"/>
            <w:tabs>
              <w:tab w:val="right" w:leader="dot" w:pos="9026"/>
            </w:tabs>
            <w:spacing w:before="120" w:after="60"/>
          </w:pPr>
          <w:hyperlink w:anchor="_Toc100008" w:history="1">
            <w:r>
              <w:rPr>
                <w:rStyle w:val="Hyperlink"/>
              </w:rPr>
              <w:t>مركز المشاريع الإنشائية (Construction Hub)</w:t>
            </w:r>
            <w:r>
              <w:tab/>
            </w:r>
            <w:r>
              <w:fldChar w:fldCharType="begin"/>
            </w:r>
            <w:r>
              <w:instrText xml:space="preserve"> PAGEREF _Toc100008 \h </w:instrText>
            </w:r>
            <w:r>
              <w:fldChar w:fldCharType="separate"/>
            </w:r>
            <w:r>
              <w:t>4</w:t>
            </w:r>
            <w:r>
              <w:fldChar w:fldCharType="end"/>
            </w:r>
          </w:hyperlink>
        </w:p>
        <w:p>
          <w:pPr>
            <w:pStyle w:val="12"/>
            <w:ind w:left="720"/>
            <w:tabs>
              <w:tab w:val="right" w:leader="dot" w:pos="9026"/>
            </w:tabs>
            <w:spacing w:before="120" w:after="60"/>
          </w:pPr>
          <w:hyperlink w:anchor="_Toc100009" w:history="1">
            <w:r>
              <w:rPr>
                <w:rStyle w:val="Hyperlink"/>
              </w:rPr>
              <w:t>مركز تأجير المعدات (Rental Hub)</w:t>
            </w:r>
            <w:r>
              <w:tab/>
            </w:r>
            <w:r>
              <w:fldChar w:fldCharType="begin"/>
            </w:r>
            <w:r>
              <w:instrText xml:space="preserve"> PAGEREF _Toc100009 \h </w:instrText>
            </w:r>
            <w:r>
              <w:fldChar w:fldCharType="separate"/>
            </w:r>
            <w:r>
              <w:t>4</w:t>
            </w:r>
            <w:r>
              <w:fldChar w:fldCharType="end"/>
            </w:r>
          </w:hyperlink>
        </w:p>
        <w:p>
          <w:pPr>
            <w:pStyle w:val="12"/>
            <w:ind w:left="720"/>
            <w:tabs>
              <w:tab w:val="right" w:leader="dot" w:pos="9026"/>
            </w:tabs>
            <w:spacing w:before="120" w:after="60"/>
          </w:pPr>
          <w:hyperlink w:anchor="_Toc100010" w:history="1">
            <w:r>
              <w:rPr>
                <w:rStyle w:val="Hyperlink"/>
              </w:rPr>
              <w:t>الخدمات المشتركة</w:t>
            </w:r>
            <w:r>
              <w:tab/>
            </w:r>
            <w:r>
              <w:fldChar w:fldCharType="begin"/>
            </w:r>
            <w:r>
              <w:instrText xml:space="preserve"> PAGEREF _Toc100010 \h </w:instrText>
            </w:r>
            <w:r>
              <w:fldChar w:fldCharType="separate"/>
            </w:r>
            <w:r>
              <w:t>5</w:t>
            </w:r>
            <w:r>
              <w:fldChar w:fldCharType="end"/>
            </w:r>
          </w:hyperlink>
        </w:p>
        <w:p>
          <w:pPr>
            <w:pStyle w:val="11"/>
            <w:ind w:left="360"/>
            <w:tabs>
              <w:tab w:val="right" w:leader="dot" w:pos="9026"/>
            </w:tabs>
            <w:spacing w:before="120" w:after="60"/>
          </w:pPr>
          <w:hyperlink w:anchor="_Toc100011" w:history="1">
            <w:r>
              <w:rPr>
                <w:rStyle w:val="Hyperlink"/>
              </w:rPr>
              <w:t>2.3 محرك المحاسبة - القلب النابض</w:t>
            </w:r>
            <w:r>
              <w:tab/>
            </w:r>
            <w:r>
              <w:fldChar w:fldCharType="begin"/>
            </w:r>
            <w:r>
              <w:instrText xml:space="preserve"> PAGEREF _Toc100011 \h </w:instrText>
            </w:r>
            <w:r>
              <w:fldChar w:fldCharType="separate"/>
            </w:r>
            <w:r>
              <w:t>5</w:t>
            </w:r>
            <w:r>
              <w:fldChar w:fldCharType="end"/>
            </w:r>
          </w:hyperlink>
        </w:p>
        <w:p>
          <w:pPr>
            <w:pStyle w:val="12"/>
            <w:ind w:left="720"/>
            <w:tabs>
              <w:tab w:val="right" w:leader="dot" w:pos="9026"/>
            </w:tabs>
            <w:spacing w:before="120" w:after="60"/>
          </w:pPr>
          <w:hyperlink w:anchor="_Toc100012" w:history="1">
            <w:r>
              <w:rPr>
                <w:rStyle w:val="Hyperlink"/>
              </w:rPr>
              <w:t>القواعد الذهبية للمحاسبة</w:t>
            </w:r>
            <w:r>
              <w:tab/>
            </w:r>
            <w:r>
              <w:fldChar w:fldCharType="begin"/>
            </w:r>
            <w:r>
              <w:instrText xml:space="preserve"> PAGEREF _Toc100012 \h </w:instrText>
            </w:r>
            <w:r>
              <w:fldChar w:fldCharType="separate"/>
            </w:r>
            <w:r>
              <w:t>6</w:t>
            </w:r>
            <w:r>
              <w:fldChar w:fldCharType="end"/>
            </w:r>
          </w:hyperlink>
        </w:p>
        <w:p>
          <w:pPr>
            <w:pStyle w:val="9"/>
            <w:tabs>
              <w:tab w:val="right" w:leader="dot" w:pos="9026"/>
            </w:tabs>
            <w:spacing w:before="120" w:after="60"/>
          </w:pPr>
          <w:hyperlink w:anchor="_Toc100013" w:history="1">
            <w:r>
              <w:rPr>
                <w:rStyle w:val="Hyperlink"/>
              </w:rPr>
              <w:t>الفصل الثالث: دليل الحسابات - المحرك الرئيسي</w:t>
            </w:r>
            <w:r>
              <w:tab/>
            </w:r>
            <w:r>
              <w:fldChar w:fldCharType="begin"/>
            </w:r>
            <w:r>
              <w:instrText xml:space="preserve"> PAGEREF _Toc100013 \h </w:instrText>
            </w:r>
            <w:r>
              <w:fldChar w:fldCharType="separate"/>
            </w:r>
            <w:r>
              <w:t>6</w:t>
            </w:r>
            <w:r>
              <w:fldChar w:fldCharType="end"/>
            </w:r>
          </w:hyperlink>
        </w:p>
        <w:p>
          <w:pPr>
            <w:pStyle w:val="11"/>
            <w:ind w:left="360"/>
            <w:tabs>
              <w:tab w:val="right" w:leader="dot" w:pos="9026"/>
            </w:tabs>
            <w:spacing w:before="120" w:after="60"/>
          </w:pPr>
          <w:hyperlink w:anchor="_Toc100014" w:history="1">
            <w:r>
              <w:rPr>
                <w:rStyle w:val="Hyperlink"/>
              </w:rPr>
              <w:t>3.1 فلسفة دليل الحسابات</w:t>
            </w:r>
            <w:r>
              <w:tab/>
            </w:r>
            <w:r>
              <w:fldChar w:fldCharType="begin"/>
            </w:r>
            <w:r>
              <w:instrText xml:space="preserve"> PAGEREF _Toc100014 \h </w:instrText>
            </w:r>
            <w:r>
              <w:fldChar w:fldCharType="separate"/>
            </w:r>
            <w:r>
              <w:t>6</w:t>
            </w:r>
            <w:r>
              <w:fldChar w:fldCharType="end"/>
            </w:r>
          </w:hyperlink>
        </w:p>
        <w:p>
          <w:pPr>
            <w:pStyle w:val="11"/>
            <w:ind w:left="360"/>
            <w:tabs>
              <w:tab w:val="right" w:leader="dot" w:pos="9026"/>
            </w:tabs>
            <w:spacing w:before="120" w:after="60"/>
          </w:pPr>
          <w:hyperlink w:anchor="_Toc100015" w:history="1">
            <w:r>
              <w:rPr>
                <w:rStyle w:val="Hyperlink"/>
              </w:rPr>
              <w:t>3.2 هيكل دليل الحسابات SOCPA</w:t>
            </w:r>
            <w:r>
              <w:tab/>
            </w:r>
            <w:r>
              <w:fldChar w:fldCharType="begin"/>
            </w:r>
            <w:r>
              <w:instrText xml:space="preserve"> PAGEREF _Toc100015 \h </w:instrText>
            </w:r>
            <w:r>
              <w:fldChar w:fldCharType="separate"/>
            </w:r>
            <w:r>
              <w:t>6</w:t>
            </w:r>
            <w:r>
              <w:fldChar w:fldCharType="end"/>
            </w:r>
          </w:hyperlink>
        </w:p>
        <w:p>
          <w:pPr>
            <w:pStyle w:val="11"/>
            <w:ind w:left="360"/>
            <w:tabs>
              <w:tab w:val="right" w:leader="dot" w:pos="9026"/>
            </w:tabs>
            <w:spacing w:before="120" w:after="60"/>
          </w:pPr>
          <w:hyperlink w:anchor="_Toc100016" w:history="1">
            <w:r>
              <w:rPr>
                <w:rStyle w:val="Hyperlink"/>
              </w:rPr>
              <w:t>3.3 نظام الأدوار الوظيفية (accountRole)</w:t>
            </w:r>
            <w:r>
              <w:tab/>
            </w:r>
            <w:r>
              <w:fldChar w:fldCharType="begin"/>
            </w:r>
            <w:r>
              <w:instrText xml:space="preserve"> PAGEREF _Toc100016 \h </w:instrText>
            </w:r>
            <w:r>
              <w:fldChar w:fldCharType="separate"/>
            </w:r>
            <w:r>
              <w:t>7</w:t>
            </w:r>
            <w:r>
              <w:fldChar w:fldCharType="end"/>
            </w:r>
          </w:hyperlink>
        </w:p>
        <w:p>
          <w:pPr>
            <w:pStyle w:val="11"/>
            <w:ind w:left="360"/>
            <w:tabs>
              <w:tab w:val="right" w:leader="dot" w:pos="9026"/>
            </w:tabs>
            <w:spacing w:before="120" w:after="60"/>
          </w:pPr>
          <w:hyperlink w:anchor="_Toc100017" w:history="1">
            <w:r>
              <w:rPr>
                <w:rStyle w:val="Hyperlink"/>
              </w:rPr>
              <w:t>3.4 الاستعلام الديناميكي</w:t>
            </w:r>
            <w:r>
              <w:tab/>
            </w:r>
            <w:r>
              <w:fldChar w:fldCharType="begin"/>
            </w:r>
            <w:r>
              <w:instrText xml:space="preserve"> PAGEREF _Toc100017 \h </w:instrText>
            </w:r>
            <w:r>
              <w:fldChar w:fldCharType="separate"/>
            </w:r>
            <w:r>
              <w:t>7</w:t>
            </w:r>
            <w:r>
              <w:fldChar w:fldCharType="end"/>
            </w:r>
          </w:hyperlink>
        </w:p>
        <w:p>
          <w:pPr>
            <w:pStyle w:val="9"/>
            <w:tabs>
              <w:tab w:val="right" w:leader="dot" w:pos="9026"/>
            </w:tabs>
            <w:spacing w:before="120" w:after="60"/>
          </w:pPr>
          <w:hyperlink w:anchor="_Toc100018" w:history="1">
            <w:r>
              <w:rPr>
                <w:rStyle w:val="Hyperlink"/>
              </w:rPr>
              <w:t>الفصل الرابع: الشاشات والوظائف التفصيلية</w:t>
            </w:r>
            <w:r>
              <w:tab/>
            </w:r>
            <w:r>
              <w:fldChar w:fldCharType="begin"/>
            </w:r>
            <w:r>
              <w:instrText xml:space="preserve"> PAGEREF _Toc100018 \h </w:instrText>
            </w:r>
            <w:r>
              <w:fldChar w:fldCharType="separate"/>
            </w:r>
            <w:r>
              <w:t>8</w:t>
            </w:r>
            <w:r>
              <w:fldChar w:fldCharType="end"/>
            </w:r>
          </w:hyperlink>
        </w:p>
        <w:p>
          <w:pPr>
            <w:pStyle w:val="11"/>
            <w:ind w:left="360"/>
            <w:tabs>
              <w:tab w:val="right" w:leader="dot" w:pos="9026"/>
            </w:tabs>
            <w:spacing w:before="120" w:after="60"/>
          </w:pPr>
          <w:hyperlink w:anchor="_Toc100019" w:history="1">
            <w:r>
              <w:rPr>
                <w:rStyle w:val="Hyperlink"/>
              </w:rPr>
              <w:t>4.1 لوحة القيادة (Dashboard)</w:t>
            </w:r>
            <w:r>
              <w:tab/>
            </w:r>
            <w:r>
              <w:fldChar w:fldCharType="begin"/>
            </w:r>
            <w:r>
              <w:instrText xml:space="preserve"> PAGEREF _Toc100019 \h </w:instrText>
            </w:r>
            <w:r>
              <w:fldChar w:fldCharType="separate"/>
            </w:r>
            <w:r>
              <w:t>8</w:t>
            </w:r>
            <w:r>
              <w:fldChar w:fldCharType="end"/>
            </w:r>
          </w:hyperlink>
        </w:p>
        <w:p>
          <w:pPr>
            <w:pStyle w:val="12"/>
            <w:ind w:left="720"/>
            <w:tabs>
              <w:tab w:val="right" w:leader="dot" w:pos="9026"/>
            </w:tabs>
            <w:spacing w:before="120" w:after="60"/>
          </w:pPr>
          <w:hyperlink w:anchor="_Toc100020" w:history="1">
            <w:r>
              <w:rPr>
                <w:rStyle w:val="Hyperlink"/>
              </w:rPr>
              <w:t>الوظيفة</w:t>
            </w:r>
            <w:r>
              <w:tab/>
            </w:r>
            <w:r>
              <w:fldChar w:fldCharType="begin"/>
            </w:r>
            <w:r>
              <w:instrText xml:space="preserve"> PAGEREF _Toc100020 \h </w:instrText>
            </w:r>
            <w:r>
              <w:fldChar w:fldCharType="separate"/>
            </w:r>
            <w:r>
              <w:t>8</w:t>
            </w:r>
            <w:r>
              <w:fldChar w:fldCharType="end"/>
            </w:r>
          </w:hyperlink>
        </w:p>
        <w:p>
          <w:pPr>
            <w:pStyle w:val="12"/>
            <w:ind w:left="720"/>
            <w:tabs>
              <w:tab w:val="right" w:leader="dot" w:pos="9026"/>
            </w:tabs>
            <w:spacing w:before="120" w:after="60"/>
          </w:pPr>
          <w:hyperlink w:anchor="_Toc100021" w:history="1">
            <w:r>
              <w:rPr>
                <w:rStyle w:val="Hyperlink"/>
              </w:rPr>
              <w:t>المحتويات</w:t>
            </w:r>
            <w:r>
              <w:tab/>
            </w:r>
            <w:r>
              <w:fldChar w:fldCharType="begin"/>
            </w:r>
            <w:r>
              <w:instrText xml:space="preserve"> PAGEREF _Toc100021 \h </w:instrText>
            </w:r>
            <w:r>
              <w:fldChar w:fldCharType="separate"/>
            </w:r>
            <w:r>
              <w:t>8</w:t>
            </w:r>
            <w:r>
              <w:fldChar w:fldCharType="end"/>
            </w:r>
          </w:hyperlink>
        </w:p>
        <w:p>
          <w:pPr>
            <w:pStyle w:val="12"/>
            <w:ind w:left="720"/>
            <w:tabs>
              <w:tab w:val="right" w:leader="dot" w:pos="9026"/>
            </w:tabs>
            <w:spacing w:before="120" w:after="60"/>
          </w:pPr>
          <w:hyperlink w:anchor="_Toc100022" w:history="1">
            <w:r>
              <w:rPr>
                <w:rStyle w:val="Hyperlink"/>
              </w:rPr>
              <w:t>المصدر المحاسبي</w:t>
            </w:r>
            <w:r>
              <w:tab/>
            </w:r>
            <w:r>
              <w:fldChar w:fldCharType="begin"/>
            </w:r>
            <w:r>
              <w:instrText xml:space="preserve"> PAGEREF _Toc100022 \h </w:instrText>
            </w:r>
            <w:r>
              <w:fldChar w:fldCharType="separate"/>
            </w:r>
            <w:r>
              <w:t>9</w:t>
            </w:r>
            <w:r>
              <w:fldChar w:fldCharType="end"/>
            </w:r>
          </w:hyperlink>
        </w:p>
        <w:p>
          <w:pPr>
            <w:pStyle w:val="11"/>
            <w:ind w:left="360"/>
            <w:tabs>
              <w:tab w:val="right" w:leader="dot" w:pos="9026"/>
            </w:tabs>
            <w:spacing w:before="120" w:after="60"/>
          </w:pPr>
          <w:hyperlink w:anchor="_Toc100023" w:history="1">
            <w:r>
              <w:rPr>
                <w:rStyle w:val="Hyperlink"/>
              </w:rPr>
              <w:t>4.2 مركز المشاريع الإنشائية</w:t>
            </w:r>
            <w:r>
              <w:tab/>
            </w:r>
            <w:r>
              <w:fldChar w:fldCharType="begin"/>
            </w:r>
            <w:r>
              <w:instrText xml:space="preserve"> PAGEREF _Toc100023 \h </w:instrText>
            </w:r>
            <w:r>
              <w:fldChar w:fldCharType="separate"/>
            </w:r>
            <w:r>
              <w:t>10</w:t>
            </w:r>
            <w:r>
              <w:fldChar w:fldCharType="end"/>
            </w:r>
          </w:hyperlink>
        </w:p>
        <w:p>
          <w:pPr>
            <w:pStyle w:val="12"/>
            <w:ind w:left="720"/>
            <w:tabs>
              <w:tab w:val="right" w:leader="dot" w:pos="9026"/>
            </w:tabs>
            <w:spacing w:before="120" w:after="60"/>
          </w:pPr>
          <w:hyperlink w:anchor="_Toc100024" w:history="1">
            <w:r>
              <w:rPr>
                <w:rStyle w:val="Hyperlink"/>
              </w:rPr>
              <w:t>4.2.1 شاشة المشاريع</w:t>
            </w:r>
            <w:r>
              <w:tab/>
            </w:r>
            <w:r>
              <w:fldChar w:fldCharType="begin"/>
            </w:r>
            <w:r>
              <w:instrText xml:space="preserve"> PAGEREF _Toc100024 \h </w:instrText>
            </w:r>
            <w:r>
              <w:fldChar w:fldCharType="separate"/>
            </w:r>
            <w:r>
              <w:t>10</w:t>
            </w:r>
            <w:r>
              <w:fldChar w:fldCharType="end"/>
            </w:r>
          </w:hyperlink>
        </w:p>
        <w:p>
          <w:pPr>
            <w:pStyle w:val="12"/>
            <w:ind w:left="720"/>
            <w:tabs>
              <w:tab w:val="right" w:leader="dot" w:pos="9026"/>
            </w:tabs>
            <w:spacing w:before="120" w:after="60"/>
          </w:pPr>
          <w:hyperlink w:anchor="_Toc100025" w:history="1">
            <w:r>
              <w:rPr>
                <w:rStyle w:val="Hyperlink"/>
              </w:rPr>
              <w:t>4.2.2 شاشة العقود</w:t>
            </w:r>
            <w:r>
              <w:tab/>
            </w:r>
            <w:r>
              <w:fldChar w:fldCharType="begin"/>
            </w:r>
            <w:r>
              <w:instrText xml:space="preserve"> PAGEREF _Toc100025 \h </w:instrText>
            </w:r>
            <w:r>
              <w:fldChar w:fldCharType="separate"/>
            </w:r>
            <w:r>
              <w:t>10</w:t>
            </w:r>
            <w:r>
              <w:fldChar w:fldCharType="end"/>
            </w:r>
          </w:hyperlink>
        </w:p>
        <w:p>
          <w:pPr>
            <w:pStyle w:val="12"/>
            <w:ind w:left="720"/>
            <w:tabs>
              <w:tab w:val="right" w:leader="dot" w:pos="9026"/>
            </w:tabs>
            <w:spacing w:before="120" w:after="60"/>
          </w:pPr>
          <w:hyperlink w:anchor="_Toc100026" w:history="1">
            <w:r>
              <w:rPr>
                <w:rStyle w:val="Hyperlink"/>
              </w:rPr>
              <w:t>4.2.3 شاشة جدول الكميات (BOQ)</w:t>
            </w:r>
            <w:r>
              <w:tab/>
            </w:r>
            <w:r>
              <w:fldChar w:fldCharType="begin"/>
            </w:r>
            <w:r>
              <w:instrText xml:space="preserve"> PAGEREF _Toc100026 \h </w:instrText>
            </w:r>
            <w:r>
              <w:fldChar w:fldCharType="separate"/>
            </w:r>
            <w:r>
              <w:t>11</w:t>
            </w:r>
            <w:r>
              <w:fldChar w:fldCharType="end"/>
            </w:r>
          </w:hyperlink>
        </w:p>
        <w:p>
          <w:pPr>
            <w:pStyle w:val="12"/>
            <w:ind w:left="720"/>
            <w:tabs>
              <w:tab w:val="right" w:leader="dot" w:pos="9026"/>
            </w:tabs>
            <w:spacing w:before="120" w:after="60"/>
          </w:pPr>
          <w:hyperlink w:anchor="_Toc100027" w:history="1">
            <w:r>
              <w:rPr>
                <w:rStyle w:val="Hyperlink"/>
              </w:rPr>
              <w:t>4.2.4 شاشة المستخلصات</w:t>
            </w:r>
            <w:r>
              <w:tab/>
            </w:r>
            <w:r>
              <w:fldChar w:fldCharType="begin"/>
            </w:r>
            <w:r>
              <w:instrText xml:space="preserve"> PAGEREF _Toc100027 \h </w:instrText>
            </w:r>
            <w:r>
              <w:fldChar w:fldCharType="separate"/>
            </w:r>
            <w:r>
              <w:t>11</w:t>
            </w:r>
            <w:r>
              <w:fldChar w:fldCharType="end"/>
            </w:r>
          </w:hyperlink>
        </w:p>
        <w:p>
          <w:pPr>
            <w:pStyle w:val="12"/>
            <w:ind w:left="720"/>
            <w:tabs>
              <w:tab w:val="right" w:leader="dot" w:pos="9026"/>
            </w:tabs>
            <w:spacing w:before="120" w:after="60"/>
          </w:pPr>
          <w:hyperlink w:anchor="_Toc100028" w:history="1">
            <w:r>
              <w:rPr>
                <w:rStyle w:val="Hyperlink"/>
              </w:rPr>
              <w:t>4.2.5 شاشة فواتير المبيعات</w:t>
            </w:r>
            <w:r>
              <w:tab/>
            </w:r>
            <w:r>
              <w:fldChar w:fldCharType="begin"/>
            </w:r>
            <w:r>
              <w:instrText xml:space="preserve"> PAGEREF _Toc100028 \h </w:instrText>
            </w:r>
            <w:r>
              <w:fldChar w:fldCharType="separate"/>
            </w:r>
            <w:r>
              <w:t>12</w:t>
            </w:r>
            <w:r>
              <w:fldChar w:fldCharType="end"/>
            </w:r>
          </w:hyperlink>
        </w:p>
        <w:p>
          <w:pPr>
            <w:pStyle w:val="12"/>
            <w:ind w:left="720"/>
            <w:tabs>
              <w:tab w:val="right" w:leader="dot" w:pos="9026"/>
            </w:tabs>
            <w:spacing w:before="120" w:after="60"/>
          </w:pPr>
          <w:hyperlink w:anchor="_Toc100029" w:history="1">
            <w:r>
              <w:rPr>
                <w:rStyle w:val="Hyperlink"/>
              </w:rPr>
              <w:t>4.2.6 شاشة تحصيلات العملاء</w:t>
            </w:r>
            <w:r>
              <w:tab/>
            </w:r>
            <w:r>
              <w:fldChar w:fldCharType="begin"/>
            </w:r>
            <w:r>
              <w:instrText xml:space="preserve"> PAGEREF _Toc100029 \h </w:instrText>
            </w:r>
            <w:r>
              <w:fldChar w:fldCharType="separate"/>
            </w:r>
            <w:r>
              <w:t>12</w:t>
            </w:r>
            <w:r>
              <w:fldChar w:fldCharType="end"/>
            </w:r>
          </w:hyperlink>
        </w:p>
        <w:p>
          <w:pPr>
            <w:pStyle w:val="11"/>
            <w:ind w:left="360"/>
            <w:tabs>
              <w:tab w:val="right" w:leader="dot" w:pos="9026"/>
            </w:tabs>
            <w:spacing w:before="120" w:after="60"/>
          </w:pPr>
          <w:hyperlink w:anchor="_Toc100030" w:history="1">
            <w:r>
              <w:rPr>
                <w:rStyle w:val="Hyperlink"/>
              </w:rPr>
              <w:t>4.3 مركز تأجير المعدات</w:t>
            </w:r>
            <w:r>
              <w:tab/>
            </w:r>
            <w:r>
              <w:fldChar w:fldCharType="begin"/>
            </w:r>
            <w:r>
              <w:instrText xml:space="preserve"> PAGEREF _Toc100030 \h </w:instrText>
            </w:r>
            <w:r>
              <w:fldChar w:fldCharType="separate"/>
            </w:r>
            <w:r>
              <w:t>13</w:t>
            </w:r>
            <w:r>
              <w:fldChar w:fldCharType="end"/>
            </w:r>
          </w:hyperlink>
        </w:p>
        <w:p>
          <w:pPr>
            <w:pStyle w:val="12"/>
            <w:ind w:left="720"/>
            <w:tabs>
              <w:tab w:val="right" w:leader="dot" w:pos="9026"/>
            </w:tabs>
            <w:spacing w:before="120" w:after="60"/>
          </w:pPr>
          <w:hyperlink w:anchor="_Toc100031" w:history="1">
            <w:r>
              <w:rPr>
                <w:rStyle w:val="Hyperlink"/>
              </w:rPr>
              <w:t>4.3.1 شاشة المعدات</w:t>
            </w:r>
            <w:r>
              <w:tab/>
            </w:r>
            <w:r>
              <w:fldChar w:fldCharType="begin"/>
            </w:r>
            <w:r>
              <w:instrText xml:space="preserve"> PAGEREF _Toc100031 \h </w:instrText>
            </w:r>
            <w:r>
              <w:fldChar w:fldCharType="separate"/>
            </w:r>
            <w:r>
              <w:t>13</w:t>
            </w:r>
            <w:r>
              <w:fldChar w:fldCharType="end"/>
            </w:r>
          </w:hyperlink>
        </w:p>
        <w:p>
          <w:pPr>
            <w:pStyle w:val="12"/>
            <w:ind w:left="720"/>
            <w:tabs>
              <w:tab w:val="right" w:leader="dot" w:pos="9026"/>
            </w:tabs>
            <w:spacing w:before="120" w:after="60"/>
          </w:pPr>
          <w:hyperlink w:anchor="_Toc100032" w:history="1">
            <w:r>
              <w:rPr>
                <w:rStyle w:val="Hyperlink"/>
              </w:rPr>
              <w:t>4.3.2 شاشة عقود التأجير</w:t>
            </w:r>
            <w:r>
              <w:tab/>
            </w:r>
            <w:r>
              <w:fldChar w:fldCharType="begin"/>
            </w:r>
            <w:r>
              <w:instrText xml:space="preserve"> PAGEREF _Toc100032 \h </w:instrText>
            </w:r>
            <w:r>
              <w:fldChar w:fldCharType="separate"/>
            </w:r>
            <w:r>
              <w:t>13</w:t>
            </w:r>
            <w:r>
              <w:fldChar w:fldCharType="end"/>
            </w:r>
          </w:hyperlink>
        </w:p>
        <w:p>
          <w:pPr>
            <w:pStyle w:val="12"/>
            <w:ind w:left="720"/>
            <w:tabs>
              <w:tab w:val="right" w:leader="dot" w:pos="9026"/>
            </w:tabs>
            <w:spacing w:before="120" w:after="60"/>
          </w:pPr>
          <w:hyperlink w:anchor="_Toc100033" w:history="1">
            <w:r>
              <w:rPr>
                <w:rStyle w:val="Hyperlink"/>
              </w:rPr>
              <w:t>4.3.3 شاشة أوامر التوصيل</w:t>
            </w:r>
            <w:r>
              <w:tab/>
            </w:r>
            <w:r>
              <w:fldChar w:fldCharType="begin"/>
            </w:r>
            <w:r>
              <w:instrText xml:space="preserve"> PAGEREF _Toc100033 \h </w:instrText>
            </w:r>
            <w:r>
              <w:fldChar w:fldCharType="separate"/>
            </w:r>
            <w:r>
              <w:t>14</w:t>
            </w:r>
            <w:r>
              <w:fldChar w:fldCharType="end"/>
            </w:r>
          </w:hyperlink>
        </w:p>
        <w:p>
          <w:pPr>
            <w:pStyle w:val="12"/>
            <w:ind w:left="720"/>
            <w:tabs>
              <w:tab w:val="right" w:leader="dot" w:pos="9026"/>
            </w:tabs>
            <w:spacing w:before="120" w:after="60"/>
          </w:pPr>
          <w:hyperlink w:anchor="_Toc100034" w:history="1">
            <w:r>
              <w:rPr>
                <w:rStyle w:val="Hyperlink"/>
              </w:rPr>
              <w:t>4.3.4 شاشة سجلات الساعات (Timesheets)</w:t>
            </w:r>
            <w:r>
              <w:tab/>
            </w:r>
            <w:r>
              <w:fldChar w:fldCharType="begin"/>
            </w:r>
            <w:r>
              <w:instrText xml:space="preserve"> PAGEREF _Toc100034 \h </w:instrText>
            </w:r>
            <w:r>
              <w:fldChar w:fldCharType="separate"/>
            </w:r>
            <w:r>
              <w:t>15</w:t>
            </w:r>
            <w:r>
              <w:fldChar w:fldCharType="end"/>
            </w:r>
          </w:hyperlink>
        </w:p>
        <w:p>
          <w:pPr>
            <w:pStyle w:val="12"/>
            <w:ind w:left="720"/>
            <w:tabs>
              <w:tab w:val="right" w:leader="dot" w:pos="9026"/>
            </w:tabs>
            <w:spacing w:before="120" w:after="60"/>
          </w:pPr>
          <w:hyperlink w:anchor="_Toc100035" w:history="1">
            <w:r>
              <w:rPr>
                <w:rStyle w:val="Hyperlink"/>
              </w:rPr>
              <w:t>4.3.5 شاشة فواتير التأجير</w:t>
            </w:r>
            <w:r>
              <w:tab/>
            </w:r>
            <w:r>
              <w:fldChar w:fldCharType="begin"/>
            </w:r>
            <w:r>
              <w:instrText xml:space="preserve"> PAGEREF _Toc100035 \h </w:instrText>
            </w:r>
            <w:r>
              <w:fldChar w:fldCharType="separate"/>
            </w:r>
            <w:r>
              <w:t>15</w:t>
            </w:r>
            <w:r>
              <w:fldChar w:fldCharType="end"/>
            </w:r>
          </w:hyperlink>
        </w:p>
        <w:p>
          <w:pPr>
            <w:pStyle w:val="12"/>
            <w:ind w:left="720"/>
            <w:tabs>
              <w:tab w:val="right" w:leader="dot" w:pos="9026"/>
            </w:tabs>
            <w:spacing w:before="120" w:after="60"/>
          </w:pPr>
          <w:hyperlink w:anchor="_Toc100036" w:history="1">
            <w:r>
              <w:rPr>
                <w:rStyle w:val="Hyperlink"/>
              </w:rPr>
              <w:t>4.3.6 شاشة تحصيلات التأجير</w:t>
            </w:r>
            <w:r>
              <w:tab/>
            </w:r>
            <w:r>
              <w:fldChar w:fldCharType="begin"/>
            </w:r>
            <w:r>
              <w:instrText xml:space="preserve"> PAGEREF _Toc100036 \h </w:instrText>
            </w:r>
            <w:r>
              <w:fldChar w:fldCharType="separate"/>
            </w:r>
            <w:r>
              <w:t>15</w:t>
            </w:r>
            <w:r>
              <w:fldChar w:fldCharType="end"/>
            </w:r>
          </w:hyperlink>
        </w:p>
        <w:p>
          <w:pPr>
            <w:pStyle w:val="11"/>
            <w:ind w:left="360"/>
            <w:tabs>
              <w:tab w:val="right" w:leader="dot" w:pos="9026"/>
            </w:tabs>
            <w:spacing w:before="120" w:after="60"/>
          </w:pPr>
          <w:hyperlink w:anchor="_Toc100037" w:history="1">
            <w:r>
              <w:rPr>
                <w:rStyle w:val="Hyperlink"/>
              </w:rPr>
              <w:t>4.4 الموارد البشرية</w:t>
            </w:r>
            <w:r>
              <w:tab/>
            </w:r>
            <w:r>
              <w:fldChar w:fldCharType="begin"/>
            </w:r>
            <w:r>
              <w:instrText xml:space="preserve"> PAGEREF _Toc100037 \h </w:instrText>
            </w:r>
            <w:r>
              <w:fldChar w:fldCharType="separate"/>
            </w:r>
            <w:r>
              <w:t>16</w:t>
            </w:r>
            <w:r>
              <w:fldChar w:fldCharType="end"/>
            </w:r>
          </w:hyperlink>
        </w:p>
        <w:p>
          <w:pPr>
            <w:pStyle w:val="12"/>
            <w:ind w:left="720"/>
            <w:tabs>
              <w:tab w:val="right" w:leader="dot" w:pos="9026"/>
            </w:tabs>
            <w:spacing w:before="120" w:after="60"/>
          </w:pPr>
          <w:hyperlink w:anchor="_Toc100038" w:history="1">
            <w:r>
              <w:rPr>
                <w:rStyle w:val="Hyperlink"/>
              </w:rPr>
              <w:t>4.4.1 شاشة الموظفين</w:t>
            </w:r>
            <w:r>
              <w:tab/>
            </w:r>
            <w:r>
              <w:fldChar w:fldCharType="begin"/>
            </w:r>
            <w:r>
              <w:instrText xml:space="preserve"> PAGEREF _Toc100038 \h </w:instrText>
            </w:r>
            <w:r>
              <w:fldChar w:fldCharType="separate"/>
            </w:r>
            <w:r>
              <w:t>16</w:t>
            </w:r>
            <w:r>
              <w:fldChar w:fldCharType="end"/>
            </w:r>
          </w:hyperlink>
        </w:p>
        <w:p>
          <w:pPr>
            <w:pStyle w:val="12"/>
            <w:ind w:left="720"/>
            <w:tabs>
              <w:tab w:val="right" w:leader="dot" w:pos="9026"/>
            </w:tabs>
            <w:spacing w:before="120" w:after="60"/>
          </w:pPr>
          <w:hyperlink w:anchor="_Toc100039" w:history="1">
            <w:r>
              <w:rPr>
                <w:rStyle w:val="Hyperlink"/>
              </w:rPr>
              <w:t>4.4.2 شاشة عقود الموظفين</w:t>
            </w:r>
            <w:r>
              <w:tab/>
            </w:r>
            <w:r>
              <w:fldChar w:fldCharType="begin"/>
            </w:r>
            <w:r>
              <w:instrText xml:space="preserve"> PAGEREF _Toc100039 \h </w:instrText>
            </w:r>
            <w:r>
              <w:fldChar w:fldCharType="separate"/>
            </w:r>
            <w:r>
              <w:t>16</w:t>
            </w:r>
            <w:r>
              <w:fldChar w:fldCharType="end"/>
            </w:r>
          </w:hyperlink>
        </w:p>
        <w:p>
          <w:pPr>
            <w:pStyle w:val="12"/>
            <w:ind w:left="720"/>
            <w:tabs>
              <w:tab w:val="right" w:leader="dot" w:pos="9026"/>
            </w:tabs>
            <w:spacing w:before="120" w:after="60"/>
          </w:pPr>
          <w:hyperlink w:anchor="_Toc100040" w:history="1">
            <w:r>
              <w:rPr>
                <w:rStyle w:val="Hyperlink"/>
              </w:rPr>
              <w:t>4.4.3 شاشة الحضور والانصراف</w:t>
            </w:r>
            <w:r>
              <w:tab/>
            </w:r>
            <w:r>
              <w:fldChar w:fldCharType="begin"/>
            </w:r>
            <w:r>
              <w:instrText xml:space="preserve"> PAGEREF _Toc100040 \h </w:instrText>
            </w:r>
            <w:r>
              <w:fldChar w:fldCharType="separate"/>
            </w:r>
            <w:r>
              <w:t>17</w:t>
            </w:r>
            <w:r>
              <w:fldChar w:fldCharType="end"/>
            </w:r>
          </w:hyperlink>
        </w:p>
        <w:p>
          <w:pPr>
            <w:pStyle w:val="12"/>
            <w:ind w:left="720"/>
            <w:tabs>
              <w:tab w:val="right" w:leader="dot" w:pos="9026"/>
            </w:tabs>
            <w:spacing w:before="120" w:after="60"/>
          </w:pPr>
          <w:hyperlink w:anchor="_Toc100041" w:history="1">
            <w:r>
              <w:rPr>
                <w:rStyle w:val="Hyperlink"/>
              </w:rPr>
              <w:t>4.4.4 شاشة الرواتب</w:t>
            </w:r>
            <w:r>
              <w:tab/>
            </w:r>
            <w:r>
              <w:fldChar w:fldCharType="begin"/>
            </w:r>
            <w:r>
              <w:instrText xml:space="preserve"> PAGEREF _Toc100041 \h </w:instrText>
            </w:r>
            <w:r>
              <w:fldChar w:fldCharType="separate"/>
            </w:r>
            <w:r>
              <w:t>17</w:t>
            </w:r>
            <w:r>
              <w:fldChar w:fldCharType="end"/>
            </w:r>
          </w:hyperlink>
        </w:p>
        <w:p>
          <w:pPr>
            <w:pStyle w:val="12"/>
            <w:ind w:left="720"/>
            <w:tabs>
              <w:tab w:val="right" w:leader="dot" w:pos="9026"/>
            </w:tabs>
            <w:spacing w:before="120" w:after="60"/>
          </w:pPr>
          <w:hyperlink w:anchor="_Toc100042" w:history="1">
            <w:r>
              <w:rPr>
                <w:rStyle w:val="Hyperlink"/>
              </w:rPr>
              <w:t>4.4.5 شاشة مسير الرواتب (Payroll Runs)</w:t>
            </w:r>
            <w:r>
              <w:tab/>
            </w:r>
            <w:r>
              <w:fldChar w:fldCharType="begin"/>
            </w:r>
            <w:r>
              <w:instrText xml:space="preserve"> PAGEREF _Toc100042 \h </w:instrText>
            </w:r>
            <w:r>
              <w:fldChar w:fldCharType="separate"/>
            </w:r>
            <w:r>
              <w:t>18</w:t>
            </w:r>
            <w:r>
              <w:fldChar w:fldCharType="end"/>
            </w:r>
          </w:hyperlink>
        </w:p>
        <w:p>
          <w:pPr>
            <w:pStyle w:val="12"/>
            <w:ind w:left="720"/>
            <w:tabs>
              <w:tab w:val="right" w:leader="dot" w:pos="9026"/>
            </w:tabs>
            <w:spacing w:before="120" w:after="60"/>
          </w:pPr>
          <w:hyperlink w:anchor="_Toc100043" w:history="1">
            <w:r>
              <w:rPr>
                <w:rStyle w:val="Hyperlink"/>
              </w:rPr>
              <w:t>4.4.6 شاشة فرق العمل</w:t>
            </w:r>
            <w:r>
              <w:tab/>
            </w:r>
            <w:r>
              <w:fldChar w:fldCharType="begin"/>
            </w:r>
            <w:r>
              <w:instrText xml:space="preserve"> PAGEREF _Toc100043 \h </w:instrText>
            </w:r>
            <w:r>
              <w:fldChar w:fldCharType="separate"/>
            </w:r>
            <w:r>
              <w:t>18</w:t>
            </w:r>
            <w:r>
              <w:fldChar w:fldCharType="end"/>
            </w:r>
          </w:hyperlink>
        </w:p>
        <w:p>
          <w:pPr>
            <w:pStyle w:val="12"/>
            <w:ind w:left="720"/>
            <w:tabs>
              <w:tab w:val="right" w:leader="dot" w:pos="9026"/>
            </w:tabs>
            <w:spacing w:before="120" w:after="60"/>
          </w:pPr>
          <w:hyperlink w:anchor="_Toc100044" w:history="1">
            <w:r>
              <w:rPr>
                <w:rStyle w:val="Hyperlink"/>
              </w:rPr>
              <w:t>4.4.7 شاشة توزيع الموارد</w:t>
            </w:r>
            <w:r>
              <w:tab/>
            </w:r>
            <w:r>
              <w:fldChar w:fldCharType="begin"/>
            </w:r>
            <w:r>
              <w:instrText xml:space="preserve"> PAGEREF _Toc100044 \h </w:instrText>
            </w:r>
            <w:r>
              <w:fldChar w:fldCharType="separate"/>
            </w:r>
            <w:r>
              <w:t>19</w:t>
            </w:r>
            <w:r>
              <w:fldChar w:fldCharType="end"/>
            </w:r>
          </w:hyperlink>
        </w:p>
        <w:p>
          <w:pPr>
            <w:pStyle w:val="11"/>
            <w:ind w:left="360"/>
            <w:tabs>
              <w:tab w:val="right" w:leader="dot" w:pos="9026"/>
            </w:tabs>
            <w:spacing w:before="120" w:after="60"/>
          </w:pPr>
          <w:hyperlink w:anchor="_Toc100045" w:history="1">
            <w:r>
              <w:rPr>
                <w:rStyle w:val="Hyperlink"/>
              </w:rPr>
              <w:t>4.5 سلسلة التوريد</w:t>
            </w:r>
            <w:r>
              <w:tab/>
            </w:r>
            <w:r>
              <w:fldChar w:fldCharType="begin"/>
            </w:r>
            <w:r>
              <w:instrText xml:space="preserve"> PAGEREF _Toc100045 \h </w:instrText>
            </w:r>
            <w:r>
              <w:fldChar w:fldCharType="separate"/>
            </w:r>
            <w:r>
              <w:t>19</w:t>
            </w:r>
            <w:r>
              <w:fldChar w:fldCharType="end"/>
            </w:r>
          </w:hyperlink>
        </w:p>
        <w:p>
          <w:pPr>
            <w:pStyle w:val="12"/>
            <w:ind w:left="720"/>
            <w:tabs>
              <w:tab w:val="right" w:leader="dot" w:pos="9026"/>
            </w:tabs>
            <w:spacing w:before="120" w:after="60"/>
          </w:pPr>
          <w:hyperlink w:anchor="_Toc100046" w:history="1">
            <w:r>
              <w:rPr>
                <w:rStyle w:val="Hyperlink"/>
              </w:rPr>
              <w:t>4.5.1 شاشة طلبات الشراء</w:t>
            </w:r>
            <w:r>
              <w:tab/>
            </w:r>
            <w:r>
              <w:fldChar w:fldCharType="begin"/>
            </w:r>
            <w:r>
              <w:instrText xml:space="preserve"> PAGEREF _Toc100046 \h </w:instrText>
            </w:r>
            <w:r>
              <w:fldChar w:fldCharType="separate"/>
            </w:r>
            <w:r>
              <w:t>19</w:t>
            </w:r>
            <w:r>
              <w:fldChar w:fldCharType="end"/>
            </w:r>
          </w:hyperlink>
        </w:p>
        <w:p>
          <w:pPr>
            <w:pStyle w:val="12"/>
            <w:ind w:left="720"/>
            <w:tabs>
              <w:tab w:val="right" w:leader="dot" w:pos="9026"/>
            </w:tabs>
            <w:spacing w:before="120" w:after="60"/>
          </w:pPr>
          <w:hyperlink w:anchor="_Toc100047" w:history="1">
            <w:r>
              <w:rPr>
                <w:rStyle w:val="Hyperlink"/>
              </w:rPr>
              <w:t>4.5.2 شاشة أوامر الشراء</w:t>
            </w:r>
            <w:r>
              <w:tab/>
            </w:r>
            <w:r>
              <w:fldChar w:fldCharType="begin"/>
            </w:r>
            <w:r>
              <w:instrText xml:space="preserve"> PAGEREF _Toc100047 \h </w:instrText>
            </w:r>
            <w:r>
              <w:fldChar w:fldCharType="separate"/>
            </w:r>
            <w:r>
              <w:t>20</w:t>
            </w:r>
            <w:r>
              <w:fldChar w:fldCharType="end"/>
            </w:r>
          </w:hyperlink>
        </w:p>
        <w:p>
          <w:pPr>
            <w:pStyle w:val="12"/>
            <w:ind w:left="720"/>
            <w:tabs>
              <w:tab w:val="right" w:leader="dot" w:pos="9026"/>
            </w:tabs>
            <w:spacing w:before="120" w:after="60"/>
          </w:pPr>
          <w:hyperlink w:anchor="_Toc100048" w:history="1">
            <w:r>
              <w:rPr>
                <w:rStyle w:val="Hyperlink"/>
              </w:rPr>
              <w:t>4.5.3 شاشة استلام البضائع</w:t>
            </w:r>
            <w:r>
              <w:tab/>
            </w:r>
            <w:r>
              <w:fldChar w:fldCharType="begin"/>
            </w:r>
            <w:r>
              <w:instrText xml:space="preserve"> PAGEREF _Toc100048 \h </w:instrText>
            </w:r>
            <w:r>
              <w:fldChar w:fldCharType="separate"/>
            </w:r>
            <w:r>
              <w:t>20</w:t>
            </w:r>
            <w:r>
              <w:fldChar w:fldCharType="end"/>
            </w:r>
          </w:hyperlink>
        </w:p>
        <w:p>
          <w:pPr>
            <w:pStyle w:val="12"/>
            <w:ind w:left="720"/>
            <w:tabs>
              <w:tab w:val="right" w:leader="dot" w:pos="9026"/>
            </w:tabs>
            <w:spacing w:before="120" w:after="60"/>
          </w:pPr>
          <w:hyperlink w:anchor="_Toc100049" w:history="1">
            <w:r>
              <w:rPr>
                <w:rStyle w:val="Hyperlink"/>
              </w:rPr>
              <w:t>4.5.4 شاشة فواتير الموردين</w:t>
            </w:r>
            <w:r>
              <w:tab/>
            </w:r>
            <w:r>
              <w:fldChar w:fldCharType="begin"/>
            </w:r>
            <w:r>
              <w:instrText xml:space="preserve"> PAGEREF _Toc100049 \h </w:instrText>
            </w:r>
            <w:r>
              <w:fldChar w:fldCharType="separate"/>
            </w:r>
            <w:r>
              <w:t>20</w:t>
            </w:r>
            <w:r>
              <w:fldChar w:fldCharType="end"/>
            </w:r>
          </w:hyperlink>
        </w:p>
        <w:p>
          <w:pPr>
            <w:pStyle w:val="12"/>
            <w:ind w:left="720"/>
            <w:tabs>
              <w:tab w:val="right" w:leader="dot" w:pos="9026"/>
            </w:tabs>
            <w:spacing w:before="120" w:after="60"/>
          </w:pPr>
          <w:hyperlink w:anchor="_Toc100050" w:history="1">
            <w:r>
              <w:rPr>
                <w:rStyle w:val="Hyperlink"/>
              </w:rPr>
              <w:t>4.5.5 شاشة مدفوعات الموردين</w:t>
            </w:r>
            <w:r>
              <w:tab/>
            </w:r>
            <w:r>
              <w:fldChar w:fldCharType="begin"/>
            </w:r>
            <w:r>
              <w:instrText xml:space="preserve"> PAGEREF _Toc100050 \h </w:instrText>
            </w:r>
            <w:r>
              <w:fldChar w:fldCharType="separate"/>
            </w:r>
            <w:r>
              <w:t>21</w:t>
            </w:r>
            <w:r>
              <w:fldChar w:fldCharType="end"/>
            </w:r>
          </w:hyperlink>
        </w:p>
        <w:p>
          <w:pPr>
            <w:pStyle w:val="11"/>
            <w:ind w:left="360"/>
            <w:tabs>
              <w:tab w:val="right" w:leader="dot" w:pos="9026"/>
            </w:tabs>
            <w:spacing w:before="120" w:after="60"/>
          </w:pPr>
          <w:hyperlink w:anchor="_Toc100051" w:history="1">
            <w:r>
              <w:rPr>
                <w:rStyle w:val="Hyperlink"/>
              </w:rPr>
              <w:t>4.6 التشغيل والصيانة</w:t>
            </w:r>
            <w:r>
              <w:tab/>
            </w:r>
            <w:r>
              <w:fldChar w:fldCharType="begin"/>
            </w:r>
            <w:r>
              <w:instrText xml:space="preserve"> PAGEREF _Toc100051 \h </w:instrText>
            </w:r>
            <w:r>
              <w:fldChar w:fldCharType="separate"/>
            </w:r>
            <w:r>
              <w:t>21</w:t>
            </w:r>
            <w:r>
              <w:fldChar w:fldCharType="end"/>
            </w:r>
          </w:hyperlink>
        </w:p>
        <w:p>
          <w:pPr>
            <w:pStyle w:val="12"/>
            <w:ind w:left="720"/>
            <w:tabs>
              <w:tab w:val="right" w:leader="dot" w:pos="9026"/>
            </w:tabs>
            <w:spacing w:before="120" w:after="60"/>
          </w:pPr>
          <w:hyperlink w:anchor="_Toc100052" w:history="1">
            <w:r>
              <w:rPr>
                <w:rStyle w:val="Hyperlink"/>
              </w:rPr>
              <w:t>4.6.1 شاشة عمليات المعدات</w:t>
            </w:r>
            <w:r>
              <w:tab/>
            </w:r>
            <w:r>
              <w:fldChar w:fldCharType="begin"/>
            </w:r>
            <w:r>
              <w:instrText xml:space="preserve"> PAGEREF _Toc100052 \h </w:instrText>
            </w:r>
            <w:r>
              <w:fldChar w:fldCharType="separate"/>
            </w:r>
            <w:r>
              <w:t>22</w:t>
            </w:r>
            <w:r>
              <w:fldChar w:fldCharType="end"/>
            </w:r>
          </w:hyperlink>
        </w:p>
        <w:p>
          <w:pPr>
            <w:pStyle w:val="12"/>
            <w:ind w:left="720"/>
            <w:tabs>
              <w:tab w:val="right" w:leader="dot" w:pos="9026"/>
            </w:tabs>
            <w:spacing w:before="120" w:after="60"/>
          </w:pPr>
          <w:hyperlink w:anchor="_Toc100053" w:history="1">
            <w:r>
              <w:rPr>
                <w:rStyle w:val="Hyperlink"/>
              </w:rPr>
              <w:t>4.6.2 شاشة صيانة المعدات</w:t>
            </w:r>
            <w:r>
              <w:tab/>
            </w:r>
            <w:r>
              <w:fldChar w:fldCharType="begin"/>
            </w:r>
            <w:r>
              <w:instrText xml:space="preserve"> PAGEREF _Toc100053 \h </w:instrText>
            </w:r>
            <w:r>
              <w:fldChar w:fldCharType="separate"/>
            </w:r>
            <w:r>
              <w:t>22</w:t>
            </w:r>
            <w:r>
              <w:fldChar w:fldCharType="end"/>
            </w:r>
          </w:hyperlink>
        </w:p>
        <w:p>
          <w:pPr>
            <w:pStyle w:val="12"/>
            <w:ind w:left="720"/>
            <w:tabs>
              <w:tab w:val="right" w:leader="dot" w:pos="9026"/>
            </w:tabs>
            <w:spacing w:before="120" w:after="60"/>
          </w:pPr>
          <w:hyperlink w:anchor="_Toc100054" w:history="1">
            <w:r>
              <w:rPr>
                <w:rStyle w:val="Hyperlink"/>
              </w:rPr>
              <w:t>4.6.3 شاشة سجل الوقود</w:t>
            </w:r>
            <w:r>
              <w:tab/>
            </w:r>
            <w:r>
              <w:fldChar w:fldCharType="begin"/>
            </w:r>
            <w:r>
              <w:instrText xml:space="preserve"> PAGEREF _Toc100054 \h </w:instrText>
            </w:r>
            <w:r>
              <w:fldChar w:fldCharType="separate"/>
            </w:r>
            <w:r>
              <w:t>22</w:t>
            </w:r>
            <w:r>
              <w:fldChar w:fldCharType="end"/>
            </w:r>
          </w:hyperlink>
        </w:p>
        <w:p>
          <w:pPr>
            <w:pStyle w:val="12"/>
            <w:ind w:left="720"/>
            <w:tabs>
              <w:tab w:val="right" w:leader="dot" w:pos="9026"/>
            </w:tabs>
            <w:spacing w:before="120" w:after="60"/>
          </w:pPr>
          <w:hyperlink w:anchor="_Toc100055" w:history="1">
            <w:r>
              <w:rPr>
                <w:rStyle w:val="Hyperlink"/>
              </w:rPr>
              <w:t>4.6.4 شاشة المقاولين الفرعيين</w:t>
            </w:r>
            <w:r>
              <w:tab/>
            </w:r>
            <w:r>
              <w:fldChar w:fldCharType="begin"/>
            </w:r>
            <w:r>
              <w:instrText xml:space="preserve"> PAGEREF _Toc100055 \h </w:instrText>
            </w:r>
            <w:r>
              <w:fldChar w:fldCharType="separate"/>
            </w:r>
            <w:r>
              <w:t>23</w:t>
            </w:r>
            <w:r>
              <w:fldChar w:fldCharType="end"/>
            </w:r>
          </w:hyperlink>
        </w:p>
        <w:p>
          <w:pPr>
            <w:pStyle w:val="12"/>
            <w:ind w:left="720"/>
            <w:tabs>
              <w:tab w:val="right" w:leader="dot" w:pos="9026"/>
            </w:tabs>
            <w:spacing w:before="120" w:after="60"/>
          </w:pPr>
          <w:hyperlink w:anchor="_Toc100056" w:history="1">
            <w:r>
              <w:rPr>
                <w:rStyle w:val="Hyperlink"/>
              </w:rPr>
              <w:t>4.6.5 شاشة المصروفات</w:t>
            </w:r>
            <w:r>
              <w:tab/>
            </w:r>
            <w:r>
              <w:fldChar w:fldCharType="begin"/>
            </w:r>
            <w:r>
              <w:instrText xml:space="preserve"> PAGEREF _Toc100056 \h </w:instrText>
            </w:r>
            <w:r>
              <w:fldChar w:fldCharType="separate"/>
            </w:r>
            <w:r>
              <w:t>23</w:t>
            </w:r>
            <w:r>
              <w:fldChar w:fldCharType="end"/>
            </w:r>
          </w:hyperlink>
        </w:p>
        <w:p>
          <w:pPr>
            <w:pStyle w:val="11"/>
            <w:ind w:left="360"/>
            <w:tabs>
              <w:tab w:val="right" w:leader="dot" w:pos="9026"/>
            </w:tabs>
            <w:spacing w:before="120" w:after="60"/>
          </w:pPr>
          <w:hyperlink w:anchor="_Toc100057" w:history="1">
            <w:r>
              <w:rPr>
                <w:rStyle w:val="Hyperlink"/>
              </w:rPr>
              <w:t>4.7 المحاسبة والتقارير</w:t>
            </w:r>
            <w:r>
              <w:tab/>
            </w:r>
            <w:r>
              <w:fldChar w:fldCharType="begin"/>
            </w:r>
            <w:r>
              <w:instrText xml:space="preserve"> PAGEREF _Toc100057 \h </w:instrText>
            </w:r>
            <w:r>
              <w:fldChar w:fldCharType="separate"/>
            </w:r>
            <w:r>
              <w:t>24</w:t>
            </w:r>
            <w:r>
              <w:fldChar w:fldCharType="end"/>
            </w:r>
          </w:hyperlink>
        </w:p>
        <w:p>
          <w:pPr>
            <w:pStyle w:val="12"/>
            <w:ind w:left="720"/>
            <w:tabs>
              <w:tab w:val="right" w:leader="dot" w:pos="9026"/>
            </w:tabs>
            <w:spacing w:before="120" w:after="60"/>
          </w:pPr>
          <w:hyperlink w:anchor="_Toc100058" w:history="1">
            <w:r>
              <w:rPr>
                <w:rStyle w:val="Hyperlink"/>
              </w:rPr>
              <w:t>4.7.1 شاشة المحاسبة (دليل الحسابات والقيود)</w:t>
            </w:r>
            <w:r>
              <w:tab/>
            </w:r>
            <w:r>
              <w:fldChar w:fldCharType="begin"/>
            </w:r>
            <w:r>
              <w:instrText xml:space="preserve"> PAGEREF _Toc100058 \h </w:instrText>
            </w:r>
            <w:r>
              <w:fldChar w:fldCharType="separate"/>
            </w:r>
            <w:r>
              <w:t>24</w:t>
            </w:r>
            <w:r>
              <w:fldChar w:fldCharType="end"/>
            </w:r>
          </w:hyperlink>
        </w:p>
        <w:p>
          <w:pPr>
            <w:pStyle w:val="12"/>
            <w:ind w:left="720"/>
            <w:tabs>
              <w:tab w:val="right" w:leader="dot" w:pos="9026"/>
            </w:tabs>
            <w:spacing w:before="120" w:after="60"/>
          </w:pPr>
          <w:hyperlink w:anchor="_Toc100059" w:history="1">
            <w:r>
              <w:rPr>
                <w:rStyle w:val="Hyperlink"/>
              </w:rPr>
              <w:t>4.7.2 شاشة ضريبة القيمة المضافة</w:t>
            </w:r>
            <w:r>
              <w:tab/>
            </w:r>
            <w:r>
              <w:fldChar w:fldCharType="begin"/>
            </w:r>
            <w:r>
              <w:instrText xml:space="preserve"> PAGEREF _Toc100059 \h </w:instrText>
            </w:r>
            <w:r>
              <w:fldChar w:fldCharType="separate"/>
            </w:r>
            <w:r>
              <w:t>24</w:t>
            </w:r>
            <w:r>
              <w:fldChar w:fldCharType="end"/>
            </w:r>
          </w:hyperlink>
        </w:p>
        <w:p>
          <w:pPr>
            <w:pStyle w:val="12"/>
            <w:ind w:left="720"/>
            <w:tabs>
              <w:tab w:val="right" w:leader="dot" w:pos="9026"/>
            </w:tabs>
            <w:spacing w:before="120" w:after="60"/>
          </w:pPr>
          <w:hyperlink w:anchor="_Toc100060" w:history="1">
            <w:r>
              <w:rPr>
                <w:rStyle w:val="Hyperlink"/>
              </w:rPr>
              <w:t>4.7.3 شاشة التقارير</w:t>
            </w:r>
            <w:r>
              <w:tab/>
            </w:r>
            <w:r>
              <w:fldChar w:fldCharType="begin"/>
            </w:r>
            <w:r>
              <w:instrText xml:space="preserve"> PAGEREF _Toc100060 \h </w:instrText>
            </w:r>
            <w:r>
              <w:fldChar w:fldCharType="separate"/>
            </w:r>
            <w:r>
              <w:t>25</w:t>
            </w:r>
            <w:r>
              <w:fldChar w:fldCharType="end"/>
            </w:r>
          </w:hyperlink>
        </w:p>
        <w:p>
          <w:pPr>
            <w:pStyle w:val="11"/>
            <w:ind w:left="360"/>
            <w:tabs>
              <w:tab w:val="right" w:leader="dot" w:pos="9026"/>
            </w:tabs>
            <w:spacing w:before="120" w:after="60"/>
          </w:pPr>
          <w:hyperlink w:anchor="_Toc100061" w:history="1">
            <w:r>
              <w:rPr>
                <w:rStyle w:val="Hyperlink"/>
              </w:rPr>
              <w:t>4.8 الإعدادات والبيانات الأساسية</w:t>
            </w:r>
            <w:r>
              <w:tab/>
            </w:r>
            <w:r>
              <w:fldChar w:fldCharType="begin"/>
            </w:r>
            <w:r>
              <w:instrText xml:space="preserve"> PAGEREF _Toc100061 \h </w:instrText>
            </w:r>
            <w:r>
              <w:fldChar w:fldCharType="separate"/>
            </w:r>
            <w:r>
              <w:t>25</w:t>
            </w:r>
            <w:r>
              <w:fldChar w:fldCharType="end"/>
            </w:r>
          </w:hyperlink>
        </w:p>
        <w:p>
          <w:pPr>
            <w:pStyle w:val="12"/>
            <w:ind w:left="720"/>
            <w:tabs>
              <w:tab w:val="right" w:leader="dot" w:pos="9026"/>
            </w:tabs>
            <w:spacing w:before="120" w:after="60"/>
          </w:pPr>
          <w:hyperlink w:anchor="_Toc100062" w:history="1">
            <w:r>
              <w:rPr>
                <w:rStyle w:val="Hyperlink"/>
              </w:rPr>
              <w:t>4.8.1 شاشة العملاء</w:t>
            </w:r>
            <w:r>
              <w:tab/>
            </w:r>
            <w:r>
              <w:fldChar w:fldCharType="begin"/>
            </w:r>
            <w:r>
              <w:instrText xml:space="preserve"> PAGEREF _Toc100062 \h </w:instrText>
            </w:r>
            <w:r>
              <w:fldChar w:fldCharType="separate"/>
            </w:r>
            <w:r>
              <w:t>25</w:t>
            </w:r>
            <w:r>
              <w:fldChar w:fldCharType="end"/>
            </w:r>
          </w:hyperlink>
        </w:p>
        <w:p>
          <w:pPr>
            <w:pStyle w:val="12"/>
            <w:ind w:left="720"/>
            <w:tabs>
              <w:tab w:val="right" w:leader="dot" w:pos="9026"/>
            </w:tabs>
            <w:spacing w:before="120" w:after="60"/>
          </w:pPr>
          <w:hyperlink w:anchor="_Toc100063" w:history="1">
            <w:r>
              <w:rPr>
                <w:rStyle w:val="Hyperlink"/>
              </w:rPr>
              <w:t>4.8.2 شاشة الموردين</w:t>
            </w:r>
            <w:r>
              <w:tab/>
            </w:r>
            <w:r>
              <w:fldChar w:fldCharType="begin"/>
            </w:r>
            <w:r>
              <w:instrText xml:space="preserve"> PAGEREF _Toc100063 \h </w:instrText>
            </w:r>
            <w:r>
              <w:fldChar w:fldCharType="separate"/>
            </w:r>
            <w:r>
              <w:t>26</w:t>
            </w:r>
            <w:r>
              <w:fldChar w:fldCharType="end"/>
            </w:r>
          </w:hyperlink>
        </w:p>
        <w:p>
          <w:pPr>
            <w:pStyle w:val="12"/>
            <w:ind w:left="720"/>
            <w:tabs>
              <w:tab w:val="right" w:leader="dot" w:pos="9026"/>
            </w:tabs>
            <w:spacing w:before="120" w:after="60"/>
          </w:pPr>
          <w:hyperlink w:anchor="_Toc100064" w:history="1">
            <w:r>
              <w:rPr>
                <w:rStyle w:val="Hyperlink"/>
              </w:rPr>
              <w:t>4.8.3 شاشة المخزون</w:t>
            </w:r>
            <w:r>
              <w:tab/>
            </w:r>
            <w:r>
              <w:fldChar w:fldCharType="begin"/>
            </w:r>
            <w:r>
              <w:instrText xml:space="preserve"> PAGEREF _Toc100064 \h </w:instrText>
            </w:r>
            <w:r>
              <w:fldChar w:fldCharType="separate"/>
            </w:r>
            <w:r>
              <w:t>26</w:t>
            </w:r>
            <w:r>
              <w:fldChar w:fldCharType="end"/>
            </w:r>
          </w:hyperlink>
        </w:p>
        <w:p>
          <w:pPr>
            <w:pStyle w:val="12"/>
            <w:ind w:left="720"/>
            <w:tabs>
              <w:tab w:val="right" w:leader="dot" w:pos="9026"/>
            </w:tabs>
            <w:spacing w:before="120" w:after="60"/>
          </w:pPr>
          <w:hyperlink w:anchor="_Toc100065" w:history="1">
            <w:r>
              <w:rPr>
                <w:rStyle w:val="Hyperlink"/>
              </w:rPr>
              <w:t>4.8.4 شاشة الإعدادات</w:t>
            </w:r>
            <w:r>
              <w:tab/>
            </w:r>
            <w:r>
              <w:fldChar w:fldCharType="begin"/>
            </w:r>
            <w:r>
              <w:instrText xml:space="preserve"> PAGEREF _Toc100065 \h </w:instrText>
            </w:r>
            <w:r>
              <w:fldChar w:fldCharType="separate"/>
            </w:r>
            <w:r>
              <w:t>27</w:t>
            </w:r>
            <w:r>
              <w:fldChar w:fldCharType="end"/>
            </w:r>
          </w:hyperlink>
        </w:p>
        <w:p>
          <w:pPr>
            <w:pStyle w:val="9"/>
            <w:tabs>
              <w:tab w:val="right" w:leader="dot" w:pos="9026"/>
            </w:tabs>
            <w:spacing w:before="120" w:after="60"/>
          </w:pPr>
          <w:hyperlink w:anchor="_Toc100066" w:history="1">
            <w:r>
              <w:rPr>
                <w:rStyle w:val="Hyperlink"/>
              </w:rPr>
              <w:t>الفصل الخامس: تكامل الشاشات وترابطها</w:t>
            </w:r>
            <w:r>
              <w:tab/>
            </w:r>
            <w:r>
              <w:fldChar w:fldCharType="begin"/>
            </w:r>
            <w:r>
              <w:instrText xml:space="preserve"> PAGEREF _Toc100066 \h </w:instrText>
            </w:r>
            <w:r>
              <w:fldChar w:fldCharType="separate"/>
            </w:r>
            <w:r>
              <w:t>28</w:t>
            </w:r>
            <w:r>
              <w:fldChar w:fldCharType="end"/>
            </w:r>
          </w:hyperlink>
        </w:p>
        <w:p>
          <w:pPr>
            <w:pStyle w:val="11"/>
            <w:ind w:left="360"/>
            <w:tabs>
              <w:tab w:val="right" w:leader="dot" w:pos="9026"/>
            </w:tabs>
            <w:spacing w:before="120" w:after="60"/>
          </w:pPr>
          <w:hyperlink w:anchor="_Toc100067" w:history="1">
            <w:r>
              <w:rPr>
                <w:rStyle w:val="Hyperlink"/>
              </w:rPr>
              <w:t>5.1 سير العمل الإنشائي (Construction Flow)</w:t>
            </w:r>
            <w:r>
              <w:tab/>
            </w:r>
            <w:r>
              <w:fldChar w:fldCharType="begin"/>
            </w:r>
            <w:r>
              <w:instrText xml:space="preserve"> PAGEREF _Toc100067 \h </w:instrText>
            </w:r>
            <w:r>
              <w:fldChar w:fldCharType="separate"/>
            </w:r>
            <w:r>
              <w:t>28</w:t>
            </w:r>
            <w:r>
              <w:fldChar w:fldCharType="end"/>
            </w:r>
          </w:hyperlink>
        </w:p>
        <w:p>
          <w:pPr>
            <w:pStyle w:val="11"/>
            <w:ind w:left="360"/>
            <w:tabs>
              <w:tab w:val="right" w:leader="dot" w:pos="9026"/>
            </w:tabs>
            <w:spacing w:before="120" w:after="60"/>
          </w:pPr>
          <w:hyperlink w:anchor="_Toc100068" w:history="1">
            <w:r>
              <w:rPr>
                <w:rStyle w:val="Hyperlink"/>
              </w:rPr>
              <w:t>5.2 سير عمل التأجير (Rental Flow)</w:t>
            </w:r>
            <w:r>
              <w:tab/>
            </w:r>
            <w:r>
              <w:fldChar w:fldCharType="begin"/>
            </w:r>
            <w:r>
              <w:instrText xml:space="preserve"> PAGEREF _Toc100068 \h </w:instrText>
            </w:r>
            <w:r>
              <w:fldChar w:fldCharType="separate"/>
            </w:r>
            <w:r>
              <w:t>29</w:t>
            </w:r>
            <w:r>
              <w:fldChar w:fldCharType="end"/>
            </w:r>
          </w:hyperlink>
        </w:p>
        <w:p>
          <w:pPr>
            <w:pStyle w:val="11"/>
            <w:ind w:left="360"/>
            <w:tabs>
              <w:tab w:val="right" w:leader="dot" w:pos="9026"/>
            </w:tabs>
            <w:spacing w:before="120" w:after="60"/>
          </w:pPr>
          <w:hyperlink w:anchor="_Toc100069" w:history="1">
            <w:r>
              <w:rPr>
                <w:rStyle w:val="Hyperlink"/>
              </w:rPr>
              <w:t>5.3 سير عمل المشتريات (Purchase Flow)</w:t>
            </w:r>
            <w:r>
              <w:tab/>
            </w:r>
            <w:r>
              <w:fldChar w:fldCharType="begin"/>
            </w:r>
            <w:r>
              <w:instrText xml:space="preserve"> PAGEREF _Toc100069 \h </w:instrText>
            </w:r>
            <w:r>
              <w:fldChar w:fldCharType="separate"/>
            </w:r>
            <w:r>
              <w:t>29</w:t>
            </w:r>
            <w:r>
              <w:fldChar w:fldCharType="end"/>
            </w:r>
          </w:hyperlink>
        </w:p>
        <w:p>
          <w:pPr>
            <w:pStyle w:val="11"/>
            <w:ind w:left="360"/>
            <w:tabs>
              <w:tab w:val="right" w:leader="dot" w:pos="9026"/>
            </w:tabs>
            <w:spacing w:before="120" w:after="60"/>
          </w:pPr>
          <w:hyperlink w:anchor="_Toc100070" w:history="1">
            <w:r>
              <w:rPr>
                <w:rStyle w:val="Hyperlink"/>
              </w:rPr>
              <w:t>5.4 سير عمل الرواتب (Payroll Flow)</w:t>
            </w:r>
            <w:r>
              <w:tab/>
            </w:r>
            <w:r>
              <w:fldChar w:fldCharType="begin"/>
            </w:r>
            <w:r>
              <w:instrText xml:space="preserve"> PAGEREF _Toc100070 \h </w:instrText>
            </w:r>
            <w:r>
              <w:fldChar w:fldCharType="separate"/>
            </w:r>
            <w:r>
              <w:t>30</w:t>
            </w:r>
            <w:r>
              <w:fldChar w:fldCharType="end"/>
            </w:r>
          </w:hyperlink>
        </w:p>
        <w:p>
          <w:pPr>
            <w:pStyle w:val="11"/>
            <w:ind w:left="360"/>
            <w:tabs>
              <w:tab w:val="right" w:leader="dot" w:pos="9026"/>
            </w:tabs>
            <w:spacing w:before="120" w:after="60"/>
          </w:pPr>
          <w:hyperlink w:anchor="_Toc100071" w:history="1">
            <w:r>
              <w:rPr>
                <w:rStyle w:val="Hyperlink"/>
              </w:rPr>
              <w:t>5.5 توجيه التكاليف التلقائي</w:t>
            </w:r>
            <w:r>
              <w:tab/>
            </w:r>
            <w:r>
              <w:fldChar w:fldCharType="begin"/>
            </w:r>
            <w:r>
              <w:instrText xml:space="preserve"> PAGEREF _Toc100071 \h </w:instrText>
            </w:r>
            <w:r>
              <w:fldChar w:fldCharType="separate"/>
            </w:r>
            <w:r>
              <w:t>31</w:t>
            </w:r>
            <w:r>
              <w:fldChar w:fldCharType="end"/>
            </w:r>
          </w:hyperlink>
        </w:p>
        <w:p>
          <w:pPr>
            <w:pStyle w:val="9"/>
            <w:tabs>
              <w:tab w:val="right" w:leader="dot" w:pos="9026"/>
            </w:tabs>
            <w:spacing w:before="120" w:after="60"/>
          </w:pPr>
          <w:hyperlink w:anchor="_Toc100072" w:history="1">
            <w:r>
              <w:rPr>
                <w:rStyle w:val="Hyperlink"/>
              </w:rPr>
              <w:t>الفصل السادس: القيود المحاسبية - الأثر التفصيلي لكل عملية</w:t>
            </w:r>
            <w:r>
              <w:tab/>
            </w:r>
            <w:r>
              <w:fldChar w:fldCharType="begin"/>
            </w:r>
            <w:r>
              <w:instrText xml:space="preserve"> PAGEREF _Toc100072 \h </w:instrText>
            </w:r>
            <w:r>
              <w:fldChar w:fldCharType="separate"/>
            </w:r>
            <w:r>
              <w:t>31</w:t>
            </w:r>
            <w:r>
              <w:fldChar w:fldCharType="end"/>
            </w:r>
          </w:hyperlink>
        </w:p>
        <w:p>
          <w:pPr>
            <w:pStyle w:val="11"/>
            <w:ind w:left="360"/>
            <w:tabs>
              <w:tab w:val="right" w:leader="dot" w:pos="9026"/>
            </w:tabs>
            <w:spacing w:before="120" w:after="60"/>
          </w:pPr>
          <w:hyperlink w:anchor="_Toc100073" w:history="1">
            <w:r>
              <w:rPr>
                <w:rStyle w:val="Hyperlink"/>
              </w:rPr>
              <w:t>6.1 فاتورة مبيعات</w:t>
            </w:r>
            <w:r>
              <w:tab/>
            </w:r>
            <w:r>
              <w:fldChar w:fldCharType="begin"/>
            </w:r>
            <w:r>
              <w:instrText xml:space="preserve"> PAGEREF _Toc100073 \h </w:instrText>
            </w:r>
            <w:r>
              <w:fldChar w:fldCharType="separate"/>
            </w:r>
            <w:r>
              <w:t>31</w:t>
            </w:r>
            <w:r>
              <w:fldChar w:fldCharType="end"/>
            </w:r>
          </w:hyperlink>
        </w:p>
        <w:p>
          <w:pPr>
            <w:pStyle w:val="11"/>
            <w:ind w:left="360"/>
            <w:tabs>
              <w:tab w:val="right" w:leader="dot" w:pos="9026"/>
            </w:tabs>
            <w:spacing w:before="120" w:after="60"/>
          </w:pPr>
          <w:hyperlink w:anchor="_Toc100074" w:history="1">
            <w:r>
              <w:rPr>
                <w:rStyle w:val="Hyperlink"/>
              </w:rPr>
              <w:t>6.2 فاتورة مورد</w:t>
            </w:r>
            <w:r>
              <w:tab/>
            </w:r>
            <w:r>
              <w:fldChar w:fldCharType="begin"/>
            </w:r>
            <w:r>
              <w:instrText xml:space="preserve"> PAGEREF _Toc100074 \h </w:instrText>
            </w:r>
            <w:r>
              <w:fldChar w:fldCharType="separate"/>
            </w:r>
            <w:r>
              <w:t>31</w:t>
            </w:r>
            <w:r>
              <w:fldChar w:fldCharType="end"/>
            </w:r>
          </w:hyperlink>
        </w:p>
        <w:p>
          <w:pPr>
            <w:pStyle w:val="11"/>
            <w:ind w:left="360"/>
            <w:tabs>
              <w:tab w:val="right" w:leader="dot" w:pos="9026"/>
            </w:tabs>
            <w:spacing w:before="120" w:after="60"/>
          </w:pPr>
          <w:hyperlink w:anchor="_Toc100075" w:history="1">
            <w:r>
              <w:rPr>
                <w:rStyle w:val="Hyperlink"/>
              </w:rPr>
              <w:t>6.3 مستخلص مشروع</w:t>
            </w:r>
            <w:r>
              <w:tab/>
            </w:r>
            <w:r>
              <w:fldChar w:fldCharType="begin"/>
            </w:r>
            <w:r>
              <w:instrText xml:space="preserve"> PAGEREF _Toc100075 \h </w:instrText>
            </w:r>
            <w:r>
              <w:fldChar w:fldCharType="separate"/>
            </w:r>
            <w:r>
              <w:t>32</w:t>
            </w:r>
            <w:r>
              <w:fldChar w:fldCharType="end"/>
            </w:r>
          </w:hyperlink>
        </w:p>
        <w:p>
          <w:pPr>
            <w:pStyle w:val="11"/>
            <w:ind w:left="360"/>
            <w:tabs>
              <w:tab w:val="right" w:leader="dot" w:pos="9026"/>
            </w:tabs>
            <w:spacing w:before="120" w:after="60"/>
          </w:pPr>
          <w:hyperlink w:anchor="_Toc100076" w:history="1">
            <w:r>
              <w:rPr>
                <w:rStyle w:val="Hyperlink"/>
              </w:rPr>
              <w:t>6.4 فاتورة تأجير</w:t>
            </w:r>
            <w:r>
              <w:tab/>
            </w:r>
            <w:r>
              <w:fldChar w:fldCharType="begin"/>
            </w:r>
            <w:r>
              <w:instrText xml:space="preserve"> PAGEREF _Toc100076 \h </w:instrText>
            </w:r>
            <w:r>
              <w:fldChar w:fldCharType="separate"/>
            </w:r>
            <w:r>
              <w:t>32</w:t>
            </w:r>
            <w:r>
              <w:fldChar w:fldCharType="end"/>
            </w:r>
          </w:hyperlink>
        </w:p>
        <w:p>
          <w:pPr>
            <w:pStyle w:val="11"/>
            <w:ind w:left="360"/>
            <w:tabs>
              <w:tab w:val="right" w:leader="dot" w:pos="9026"/>
            </w:tabs>
            <w:spacing w:before="120" w:after="60"/>
          </w:pPr>
          <w:hyperlink w:anchor="_Toc100077" w:history="1">
            <w:r>
              <w:rPr>
                <w:rStyle w:val="Hyperlink"/>
              </w:rPr>
              <w:t>6.5 تحصيل من عميل</w:t>
            </w:r>
            <w:r>
              <w:tab/>
            </w:r>
            <w:r>
              <w:fldChar w:fldCharType="begin"/>
            </w:r>
            <w:r>
              <w:instrText xml:space="preserve"> PAGEREF _Toc100077 \h </w:instrText>
            </w:r>
            <w:r>
              <w:fldChar w:fldCharType="separate"/>
            </w:r>
            <w:r>
              <w:t>32</w:t>
            </w:r>
            <w:r>
              <w:fldChar w:fldCharType="end"/>
            </w:r>
          </w:hyperlink>
        </w:p>
        <w:p>
          <w:pPr>
            <w:pStyle w:val="11"/>
            <w:ind w:left="360"/>
            <w:tabs>
              <w:tab w:val="right" w:leader="dot" w:pos="9026"/>
            </w:tabs>
            <w:spacing w:before="120" w:after="60"/>
          </w:pPr>
          <w:hyperlink w:anchor="_Toc100078" w:history="1">
            <w:r>
              <w:rPr>
                <w:rStyle w:val="Hyperlink"/>
              </w:rPr>
              <w:t>6.6 دفع لمورد</w:t>
            </w:r>
            <w:r>
              <w:tab/>
            </w:r>
            <w:r>
              <w:fldChar w:fldCharType="begin"/>
            </w:r>
            <w:r>
              <w:instrText xml:space="preserve"> PAGEREF _Toc100078 \h </w:instrText>
            </w:r>
            <w:r>
              <w:fldChar w:fldCharType="separate"/>
            </w:r>
            <w:r>
              <w:t>33</w:t>
            </w:r>
            <w:r>
              <w:fldChar w:fldCharType="end"/>
            </w:r>
          </w:hyperlink>
        </w:p>
        <w:p>
          <w:pPr>
            <w:pStyle w:val="11"/>
            <w:ind w:left="360"/>
            <w:tabs>
              <w:tab w:val="right" w:leader="dot" w:pos="9026"/>
            </w:tabs>
            <w:spacing w:before="120" w:after="60"/>
          </w:pPr>
          <w:hyperlink w:anchor="_Toc100079" w:history="1">
            <w:r>
              <w:rPr>
                <w:rStyle w:val="Hyperlink"/>
              </w:rPr>
              <w:t>6.7 مصروف عام</w:t>
            </w:r>
            <w:r>
              <w:tab/>
            </w:r>
            <w:r>
              <w:fldChar w:fldCharType="begin"/>
            </w:r>
            <w:r>
              <w:instrText xml:space="preserve"> PAGEREF _Toc100079 \h </w:instrText>
            </w:r>
            <w:r>
              <w:fldChar w:fldCharType="separate"/>
            </w:r>
            <w:r>
              <w:t>33</w:t>
            </w:r>
            <w:r>
              <w:fldChar w:fldCharType="end"/>
            </w:r>
          </w:hyperlink>
        </w:p>
        <w:p>
          <w:pPr>
            <w:pStyle w:val="11"/>
            <w:ind w:left="360"/>
            <w:tabs>
              <w:tab w:val="right" w:leader="dot" w:pos="9026"/>
            </w:tabs>
            <w:spacing w:before="120" w:after="60"/>
          </w:pPr>
          <w:hyperlink w:anchor="_Toc100080" w:history="1">
            <w:r>
              <w:rPr>
                <w:rStyle w:val="Hyperlink"/>
              </w:rPr>
              <w:t>6.8 رواتب وأجور</w:t>
            </w:r>
            <w:r>
              <w:tab/>
            </w:r>
            <w:r>
              <w:fldChar w:fldCharType="begin"/>
            </w:r>
            <w:r>
              <w:instrText xml:space="preserve"> PAGEREF _Toc100080 \h </w:instrText>
            </w:r>
            <w:r>
              <w:fldChar w:fldCharType="separate"/>
            </w:r>
            <w:r>
              <w:t>33</w:t>
            </w:r>
            <w:r>
              <w:fldChar w:fldCharType="end"/>
            </w:r>
          </w:hyperlink>
        </w:p>
        <w:p>
          <w:pPr>
            <w:pStyle w:val="11"/>
            <w:ind w:left="360"/>
            <w:tabs>
              <w:tab w:val="right" w:leader="dot" w:pos="9026"/>
            </w:tabs>
            <w:spacing w:before="120" w:after="60"/>
          </w:pPr>
          <w:hyperlink w:anchor="_Toc100081" w:history="1">
            <w:r>
              <w:rPr>
                <w:rStyle w:val="Hyperlink"/>
              </w:rPr>
              <w:t>6.9 إهلاك الأصول الثابتة</w:t>
            </w:r>
            <w:r>
              <w:tab/>
            </w:r>
            <w:r>
              <w:fldChar w:fldCharType="begin"/>
            </w:r>
            <w:r>
              <w:instrText xml:space="preserve"> PAGEREF _Toc100081 \h </w:instrText>
            </w:r>
            <w:r>
              <w:fldChar w:fldCharType="separate"/>
            </w:r>
            <w:r>
              <w:t>34</w:t>
            </w:r>
            <w:r>
              <w:fldChar w:fldCharType="end"/>
            </w:r>
          </w:hyperlink>
        </w:p>
        <w:p>
          <w:pPr>
            <w:pStyle w:val="11"/>
            <w:ind w:left="360"/>
            <w:tabs>
              <w:tab w:val="right" w:leader="dot" w:pos="9026"/>
            </w:tabs>
            <w:spacing w:before="120" w:after="60"/>
          </w:pPr>
          <w:hyperlink w:anchor="_Toc100082" w:history="1">
            <w:r>
              <w:rPr>
                <w:rStyle w:val="Hyperlink"/>
              </w:rPr>
              <w:t>6.10 سلفة موظف</w:t>
            </w:r>
            <w:r>
              <w:tab/>
            </w:r>
            <w:r>
              <w:fldChar w:fldCharType="begin"/>
            </w:r>
            <w:r>
              <w:instrText xml:space="preserve"> PAGEREF _Toc100082 \h </w:instrText>
            </w:r>
            <w:r>
              <w:fldChar w:fldCharType="separate"/>
            </w:r>
            <w:r>
              <w:t>34</w:t>
            </w:r>
            <w:r>
              <w:fldChar w:fldCharType="end"/>
            </w:r>
          </w:hyperlink>
        </w:p>
        <w:p>
          <w:pPr>
            <w:pStyle w:val="11"/>
            <w:ind w:left="360"/>
            <w:tabs>
              <w:tab w:val="right" w:leader="dot" w:pos="9026"/>
            </w:tabs>
            <w:spacing w:before="120" w:after="60"/>
          </w:pPr>
          <w:hyperlink w:anchor="_Toc100083" w:history="1">
            <w:r>
              <w:rPr>
                <w:rStyle w:val="Hyperlink"/>
              </w:rPr>
              <w:t>6.11 إقرار ضريبة القيمة المضافة</w:t>
            </w:r>
            <w:r>
              <w:tab/>
            </w:r>
            <w:r>
              <w:fldChar w:fldCharType="begin"/>
            </w:r>
            <w:r>
              <w:instrText xml:space="preserve"> PAGEREF _Toc100083 \h </w:instrText>
            </w:r>
            <w:r>
              <w:fldChar w:fldCharType="separate"/>
            </w:r>
            <w:r>
              <w:t>35</w:t>
            </w:r>
            <w:r>
              <w:fldChar w:fldCharType="end"/>
            </w:r>
          </w:hyperlink>
        </w:p>
        <w:p>
          <w:pPr>
            <w:pStyle w:val="11"/>
            <w:ind w:left="360"/>
            <w:tabs>
              <w:tab w:val="right" w:leader="dot" w:pos="9026"/>
            </w:tabs>
            <w:spacing w:before="120" w:after="60"/>
          </w:pPr>
          <w:hyperlink w:anchor="_Toc100084" w:history="1">
            <w:r>
              <w:rPr>
                <w:rStyle w:val="Hyperlink"/>
              </w:rPr>
              <w:t>6.12 دفعة مقدمة من عميل</w:t>
            </w:r>
            <w:r>
              <w:tab/>
            </w:r>
            <w:r>
              <w:fldChar w:fldCharType="begin"/>
            </w:r>
            <w:r>
              <w:instrText xml:space="preserve"> PAGEREF _Toc100084 \h </w:instrText>
            </w:r>
            <w:r>
              <w:fldChar w:fldCharType="separate"/>
            </w:r>
            <w:r>
              <w:t>35</w:t>
            </w:r>
            <w:r>
              <w:fldChar w:fldCharType="end"/>
            </w:r>
          </w:hyperlink>
        </w:p>
        <w:p>
          <w:pPr>
            <w:pStyle w:val="11"/>
            <w:ind w:left="360"/>
            <w:tabs>
              <w:tab w:val="right" w:leader="dot" w:pos="9026"/>
            </w:tabs>
            <w:spacing w:before="120" w:after="60"/>
          </w:pPr>
          <w:hyperlink w:anchor="_Toc100085" w:history="1">
            <w:r>
              <w:rPr>
                <w:rStyle w:val="Hyperlink"/>
              </w:rPr>
              <w:t>6.13 فاتورة مقاول فرعي</w:t>
            </w:r>
            <w:r>
              <w:tab/>
            </w:r>
            <w:r>
              <w:fldChar w:fldCharType="begin"/>
            </w:r>
            <w:r>
              <w:instrText xml:space="preserve"> PAGEREF _Toc100085 \h </w:instrText>
            </w:r>
            <w:r>
              <w:fldChar w:fldCharType="separate"/>
            </w:r>
            <w:r>
              <w:t>36</w:t>
            </w:r>
            <w:r>
              <w:fldChar w:fldCharType="end"/>
            </w:r>
          </w:hyperlink>
        </w:p>
        <w:p>
          <w:pPr>
            <w:pStyle w:val="11"/>
            <w:ind w:left="360"/>
            <w:tabs>
              <w:tab w:val="right" w:leader="dot" w:pos="9026"/>
            </w:tabs>
            <w:spacing w:before="120" w:after="60"/>
          </w:pPr>
          <w:hyperlink w:anchor="_Toc100086" w:history="1">
            <w:r>
              <w:rPr>
                <w:rStyle w:val="Hyperlink"/>
              </w:rPr>
              <w:t>6.14 محتجزات</w:t>
            </w:r>
            <w:r>
              <w:tab/>
            </w:r>
            <w:r>
              <w:fldChar w:fldCharType="begin"/>
            </w:r>
            <w:r>
              <w:instrText xml:space="preserve"> PAGEREF _Toc100086 \h </w:instrText>
            </w:r>
            <w:r>
              <w:fldChar w:fldCharType="separate"/>
            </w:r>
            <w:r>
              <w:t>36</w:t>
            </w:r>
            <w:r>
              <w:fldChar w:fldCharType="end"/>
            </w:r>
          </w:hyperlink>
        </w:p>
        <w:p>
          <w:pPr>
            <w:pStyle w:val="11"/>
            <w:ind w:left="360"/>
            <w:tabs>
              <w:tab w:val="right" w:leader="dot" w:pos="9026"/>
            </w:tabs>
            <w:spacing w:before="120" w:after="60"/>
          </w:pPr>
          <w:hyperlink w:anchor="_Toc100087" w:history="1">
            <w:r>
              <w:rPr>
                <w:rStyle w:val="Hyperlink"/>
              </w:rPr>
              <w:t>6.15 الزكاة</w:t>
            </w:r>
            <w:r>
              <w:tab/>
            </w:r>
            <w:r>
              <w:fldChar w:fldCharType="begin"/>
            </w:r>
            <w:r>
              <w:instrText xml:space="preserve"> PAGEREF _Toc100087 \h </w:instrText>
            </w:r>
            <w:r>
              <w:fldChar w:fldCharType="separate"/>
            </w:r>
            <w:r>
              <w:t>36</w:t>
            </w:r>
            <w:r>
              <w:fldChar w:fldCharType="end"/>
            </w:r>
          </w:hyperlink>
        </w:p>
        <w:p>
          <w:pPr>
            <w:pStyle w:val="11"/>
            <w:ind w:left="360"/>
            <w:tabs>
              <w:tab w:val="right" w:leader="dot" w:pos="9026"/>
            </w:tabs>
            <w:spacing w:before="120" w:after="60"/>
          </w:pPr>
          <w:hyperlink w:anchor="_Toc100088" w:history="1">
            <w:r>
              <w:rPr>
                <w:rStyle w:val="Hyperlink"/>
              </w:rPr>
              <w:t>6.16 مخصص نهاية الخدمة</w:t>
            </w:r>
            <w:r>
              <w:tab/>
            </w:r>
            <w:r>
              <w:fldChar w:fldCharType="begin"/>
            </w:r>
            <w:r>
              <w:instrText xml:space="preserve"> PAGEREF _Toc100088 \h </w:instrText>
            </w:r>
            <w:r>
              <w:fldChar w:fldCharType="separate"/>
            </w:r>
            <w:r>
              <w:t>36</w:t>
            </w:r>
            <w:r>
              <w:fldChar w:fldCharType="end"/>
            </w:r>
          </w:hyperlink>
        </w:p>
        <w:p>
          <w:pPr>
            <w:pStyle w:val="9"/>
            <w:tabs>
              <w:tab w:val="right" w:leader="dot" w:pos="9026"/>
            </w:tabs>
            <w:spacing w:before="120" w:after="60"/>
          </w:pPr>
          <w:hyperlink w:anchor="_Toc100089" w:history="1">
            <w:r>
              <w:rPr>
                <w:rStyle w:val="Hyperlink"/>
              </w:rPr>
              <w:t>الفصل السابع: محرك القيود التلقائية</w:t>
            </w:r>
            <w:r>
              <w:tab/>
            </w:r>
            <w:r>
              <w:fldChar w:fldCharType="begin"/>
            </w:r>
            <w:r>
              <w:instrText xml:space="preserve"> PAGEREF _Toc100089 \h </w:instrText>
            </w:r>
            <w:r>
              <w:fldChar w:fldCharType="separate"/>
            </w:r>
            <w:r>
              <w:t>37</w:t>
            </w:r>
            <w:r>
              <w:fldChar w:fldCharType="end"/>
            </w:r>
          </w:hyperlink>
        </w:p>
        <w:p>
          <w:pPr>
            <w:pStyle w:val="11"/>
            <w:ind w:left="360"/>
            <w:tabs>
              <w:tab w:val="right" w:leader="dot" w:pos="9026"/>
            </w:tabs>
            <w:spacing w:before="120" w:after="60"/>
          </w:pPr>
          <w:hyperlink w:anchor="_Toc100090" w:history="1">
            <w:r>
              <w:rPr>
                <w:rStyle w:val="Hyperlink"/>
              </w:rPr>
              <w:t>7.1 نظرة عامة</w:t>
            </w:r>
            <w:r>
              <w:tab/>
            </w:r>
            <w:r>
              <w:fldChar w:fldCharType="begin"/>
            </w:r>
            <w:r>
              <w:instrText xml:space="preserve"> PAGEREF _Toc100090 \h </w:instrText>
            </w:r>
            <w:r>
              <w:fldChar w:fldCharType="separate"/>
            </w:r>
            <w:r>
              <w:t>37</w:t>
            </w:r>
            <w:r>
              <w:fldChar w:fldCharType="end"/>
            </w:r>
          </w:hyperlink>
        </w:p>
        <w:p>
          <w:pPr>
            <w:pStyle w:val="11"/>
            <w:ind w:left="360"/>
            <w:tabs>
              <w:tab w:val="right" w:leader="dot" w:pos="9026"/>
            </w:tabs>
            <w:spacing w:before="120" w:after="60"/>
          </w:pPr>
          <w:hyperlink w:anchor="_Toc100091" w:history="1">
            <w:r>
              <w:rPr>
                <w:rStyle w:val="Hyperlink"/>
              </w:rPr>
              <w:t>7.2 الدوال التفصيلية</w:t>
            </w:r>
            <w:r>
              <w:tab/>
            </w:r>
            <w:r>
              <w:fldChar w:fldCharType="begin"/>
            </w:r>
            <w:r>
              <w:instrText xml:space="preserve"> PAGEREF _Toc100091 \h </w:instrText>
            </w:r>
            <w:r>
              <w:fldChar w:fldCharType="separate"/>
            </w:r>
            <w:r>
              <w:t>37</w:t>
            </w:r>
            <w:r>
              <w:fldChar w:fldCharType="end"/>
            </w:r>
          </w:hyperlink>
        </w:p>
        <w:p>
          <w:pPr>
            <w:pStyle w:val="11"/>
            <w:ind w:left="360"/>
            <w:tabs>
              <w:tab w:val="right" w:leader="dot" w:pos="9026"/>
            </w:tabs>
            <w:spacing w:before="120" w:after="60"/>
          </w:pPr>
          <w:hyperlink w:anchor="_Toc100092" w:history="1">
            <w:r>
              <w:rPr>
                <w:rStyle w:val="Hyperlink"/>
              </w:rPr>
              <w:t>7.3 آلية العكس (Reversal)</w:t>
            </w:r>
            <w:r>
              <w:tab/>
            </w:r>
            <w:r>
              <w:fldChar w:fldCharType="begin"/>
            </w:r>
            <w:r>
              <w:instrText xml:space="preserve"> PAGEREF _Toc100092 \h </w:instrText>
            </w:r>
            <w:r>
              <w:fldChar w:fldCharType="separate"/>
            </w:r>
            <w:r>
              <w:t>37</w:t>
            </w:r>
            <w:r>
              <w:fldChar w:fldCharType="end"/>
            </w:r>
          </w:hyperlink>
        </w:p>
        <w:p>
          <w:pPr>
            <w:pStyle w:val="11"/>
            <w:ind w:left="360"/>
            <w:tabs>
              <w:tab w:val="right" w:leader="dot" w:pos="9026"/>
            </w:tabs>
            <w:spacing w:before="120" w:after="60"/>
          </w:pPr>
          <w:hyperlink w:anchor="_Toc100093" w:history="1">
            <w:r>
              <w:rPr>
                <w:rStyle w:val="Hyperlink"/>
              </w:rPr>
              <w:t>7.4 سجل المراجعة</w:t>
            </w:r>
            <w:r>
              <w:tab/>
            </w:r>
            <w:r>
              <w:fldChar w:fldCharType="begin"/>
            </w:r>
            <w:r>
              <w:instrText xml:space="preserve"> PAGEREF _Toc100093 \h </w:instrText>
            </w:r>
            <w:r>
              <w:fldChar w:fldCharType="separate"/>
            </w:r>
            <w:r>
              <w:t>38</w:t>
            </w:r>
            <w:r>
              <w:fldChar w:fldCharType="end"/>
            </w:r>
          </w:hyperlink>
        </w:p>
        <w:p>
          <w:pPr>
            <w:pStyle w:val="9"/>
            <w:tabs>
              <w:tab w:val="right" w:leader="dot" w:pos="9026"/>
            </w:tabs>
            <w:spacing w:before="120" w:after="60"/>
          </w:pPr>
          <w:hyperlink w:anchor="_Toc100094" w:history="1">
            <w:r>
              <w:rPr>
                <w:rStyle w:val="Hyperlink"/>
              </w:rPr>
              <w:t>الفصل الثامن: التقارير المالية</w:t>
            </w:r>
            <w:r>
              <w:tab/>
            </w:r>
            <w:r>
              <w:fldChar w:fldCharType="begin"/>
            </w:r>
            <w:r>
              <w:instrText xml:space="preserve"> PAGEREF _Toc100094 \h </w:instrText>
            </w:r>
            <w:r>
              <w:fldChar w:fldCharType="separate"/>
            </w:r>
            <w:r>
              <w:t>39</w:t>
            </w:r>
            <w:r>
              <w:fldChar w:fldCharType="end"/>
            </w:r>
          </w:hyperlink>
        </w:p>
        <w:p>
          <w:pPr>
            <w:pStyle w:val="11"/>
            <w:ind w:left="360"/>
            <w:tabs>
              <w:tab w:val="right" w:leader="dot" w:pos="9026"/>
            </w:tabs>
            <w:spacing w:before="120" w:after="60"/>
          </w:pPr>
          <w:hyperlink w:anchor="_Toc100095" w:history="1">
            <w:r>
              <w:rPr>
                <w:rStyle w:val="Hyperlink"/>
              </w:rPr>
              <w:t>8.1 ميزان المراجعة (Trial Balance)</w:t>
            </w:r>
            <w:r>
              <w:tab/>
            </w:r>
            <w:r>
              <w:fldChar w:fldCharType="begin"/>
            </w:r>
            <w:r>
              <w:instrText xml:space="preserve"> PAGEREF _Toc100095 \h </w:instrText>
            </w:r>
            <w:r>
              <w:fldChar w:fldCharType="separate"/>
            </w:r>
            <w:r>
              <w:t>39</w:t>
            </w:r>
            <w:r>
              <w:fldChar w:fldCharType="end"/>
            </w:r>
          </w:hyperlink>
        </w:p>
        <w:p>
          <w:pPr>
            <w:pStyle w:val="11"/>
            <w:ind w:left="360"/>
            <w:tabs>
              <w:tab w:val="right" w:leader="dot" w:pos="9026"/>
            </w:tabs>
            <w:spacing w:before="120" w:after="60"/>
          </w:pPr>
          <w:hyperlink w:anchor="_Toc100096" w:history="1">
            <w:r>
              <w:rPr>
                <w:rStyle w:val="Hyperlink"/>
              </w:rPr>
              <w:t>8.2 دفتر الأستاذ العام (General Ledger)</w:t>
            </w:r>
            <w:r>
              <w:tab/>
            </w:r>
            <w:r>
              <w:fldChar w:fldCharType="begin"/>
            </w:r>
            <w:r>
              <w:instrText xml:space="preserve"> PAGEREF _Toc100096 \h </w:instrText>
            </w:r>
            <w:r>
              <w:fldChar w:fldCharType="separate"/>
            </w:r>
            <w:r>
              <w:t>40</w:t>
            </w:r>
            <w:r>
              <w:fldChar w:fldCharType="end"/>
            </w:r>
          </w:hyperlink>
        </w:p>
        <w:p>
          <w:pPr>
            <w:pStyle w:val="11"/>
            <w:ind w:left="360"/>
            <w:tabs>
              <w:tab w:val="right" w:leader="dot" w:pos="9026"/>
            </w:tabs>
            <w:spacing w:before="120" w:after="60"/>
          </w:pPr>
          <w:hyperlink w:anchor="_Toc100097" w:history="1">
            <w:r>
              <w:rPr>
                <w:rStyle w:val="Hyperlink"/>
              </w:rPr>
              <w:t>8.3 الميزانية العمومية (Balance Sheet)</w:t>
            </w:r>
            <w:r>
              <w:tab/>
            </w:r>
            <w:r>
              <w:fldChar w:fldCharType="begin"/>
            </w:r>
            <w:r>
              <w:instrText xml:space="preserve"> PAGEREF _Toc100097 \h </w:instrText>
            </w:r>
            <w:r>
              <w:fldChar w:fldCharType="separate"/>
            </w:r>
            <w:r>
              <w:t>40</w:t>
            </w:r>
            <w:r>
              <w:fldChar w:fldCharType="end"/>
            </w:r>
          </w:hyperlink>
        </w:p>
        <w:p>
          <w:pPr>
            <w:pStyle w:val="11"/>
            <w:ind w:left="360"/>
            <w:tabs>
              <w:tab w:val="right" w:leader="dot" w:pos="9026"/>
            </w:tabs>
            <w:spacing w:before="120" w:after="60"/>
          </w:pPr>
          <w:hyperlink w:anchor="_Toc100098" w:history="1">
            <w:r>
              <w:rPr>
                <w:rStyle w:val="Hyperlink"/>
              </w:rPr>
              <w:t>8.4 قائمة الدخل (Income Statement)</w:t>
            </w:r>
            <w:r>
              <w:tab/>
            </w:r>
            <w:r>
              <w:fldChar w:fldCharType="begin"/>
            </w:r>
            <w:r>
              <w:instrText xml:space="preserve"> PAGEREF _Toc100098 \h </w:instrText>
            </w:r>
            <w:r>
              <w:fldChar w:fldCharType="separate"/>
            </w:r>
            <w:r>
              <w:t>41</w:t>
            </w:r>
            <w:r>
              <w:fldChar w:fldCharType="end"/>
            </w:r>
          </w:hyperlink>
        </w:p>
        <w:p>
          <w:pPr>
            <w:pStyle w:val="11"/>
            <w:ind w:left="360"/>
            <w:tabs>
              <w:tab w:val="right" w:leader="dot" w:pos="9026"/>
            </w:tabs>
            <w:spacing w:before="120" w:after="60"/>
          </w:pPr>
          <w:hyperlink w:anchor="_Toc100099" w:history="1">
            <w:r>
              <w:rPr>
                <w:rStyle w:val="Hyperlink"/>
              </w:rPr>
              <w:t>8.5 كشوف الحسابات</w:t>
            </w:r>
            <w:r>
              <w:tab/>
            </w:r>
            <w:r>
              <w:fldChar w:fldCharType="begin"/>
            </w:r>
            <w:r>
              <w:instrText xml:space="preserve"> PAGEREF _Toc100099 \h </w:instrText>
            </w:r>
            <w:r>
              <w:fldChar w:fldCharType="separate"/>
            </w:r>
            <w:r>
              <w:t>41</w:t>
            </w:r>
            <w:r>
              <w:fldChar w:fldCharType="end"/>
            </w:r>
          </w:hyperlink>
        </w:p>
        <w:p>
          <w:pPr>
            <w:pStyle w:val="11"/>
            <w:ind w:left="360"/>
            <w:tabs>
              <w:tab w:val="right" w:leader="dot" w:pos="9026"/>
            </w:tabs>
            <w:spacing w:before="120" w:after="60"/>
          </w:pPr>
          <w:hyperlink w:anchor="_Toc100100" w:history="1">
            <w:r>
              <w:rPr>
                <w:rStyle w:val="Hyperlink"/>
              </w:rPr>
              <w:t>8.6 فحص الاتساق المالي</w:t>
            </w:r>
            <w:r>
              <w:tab/>
            </w:r>
            <w:r>
              <w:fldChar w:fldCharType="begin"/>
            </w:r>
            <w:r>
              <w:instrText xml:space="preserve"> PAGEREF _Toc100100 \h </w:instrText>
            </w:r>
            <w:r>
              <w:fldChar w:fldCharType="separate"/>
            </w:r>
            <w:r>
              <w:t>42</w:t>
            </w:r>
            <w:r>
              <w:fldChar w:fldCharType="end"/>
            </w:r>
          </w:hyperlink>
        </w:p>
        <w:p>
          <w:pPr>
            <w:pStyle w:val="9"/>
            <w:tabs>
              <w:tab w:val="right" w:leader="dot" w:pos="9026"/>
            </w:tabs>
            <w:spacing w:before="120" w:after="60"/>
          </w:pPr>
          <w:hyperlink w:anchor="_Toc100101" w:history="1">
            <w:r>
              <w:rPr>
                <w:rStyle w:val="Hyperlink"/>
              </w:rPr>
              <w:t>الفصل التاسع: نموذج البيانات</w:t>
            </w:r>
            <w:r>
              <w:tab/>
            </w:r>
            <w:r>
              <w:fldChar w:fldCharType="begin"/>
            </w:r>
            <w:r>
              <w:instrText xml:space="preserve"> PAGEREF _Toc100101 \h </w:instrText>
            </w:r>
            <w:r>
              <w:fldChar w:fldCharType="separate"/>
            </w:r>
            <w:r>
              <w:t>43</w:t>
            </w:r>
            <w:r>
              <w:fldChar w:fldCharType="end"/>
            </w:r>
          </w:hyperlink>
        </w:p>
        <w:p>
          <w:pPr>
            <w:pStyle w:val="11"/>
            <w:ind w:left="360"/>
            <w:tabs>
              <w:tab w:val="right" w:leader="dot" w:pos="9026"/>
            </w:tabs>
            <w:spacing w:before="120" w:after="60"/>
          </w:pPr>
          <w:hyperlink w:anchor="_Toc100102" w:history="1">
            <w:r>
              <w:rPr>
                <w:rStyle w:val="Hyperlink"/>
              </w:rPr>
              <w:t>9.1 نظرة عامة</w:t>
            </w:r>
            <w:r>
              <w:tab/>
            </w:r>
            <w:r>
              <w:fldChar w:fldCharType="begin"/>
            </w:r>
            <w:r>
              <w:instrText xml:space="preserve"> PAGEREF _Toc100102 \h </w:instrText>
            </w:r>
            <w:r>
              <w:fldChar w:fldCharType="separate"/>
            </w:r>
            <w:r>
              <w:t>43</w:t>
            </w:r>
            <w:r>
              <w:fldChar w:fldCharType="end"/>
            </w:r>
          </w:hyperlink>
        </w:p>
        <w:p>
          <w:pPr>
            <w:pStyle w:val="11"/>
            <w:ind w:left="360"/>
            <w:tabs>
              <w:tab w:val="right" w:leader="dot" w:pos="9026"/>
            </w:tabs>
            <w:spacing w:before="120" w:after="60"/>
          </w:pPr>
          <w:hyperlink w:anchor="_Toc100103" w:history="1">
            <w:r>
              <w:rPr>
                <w:rStyle w:val="Hyperlink"/>
              </w:rPr>
              <w:t>9.2 النماذج الأساسية</w:t>
            </w:r>
            <w:r>
              <w:tab/>
            </w:r>
            <w:r>
              <w:fldChar w:fldCharType="begin"/>
            </w:r>
            <w:r>
              <w:instrText xml:space="preserve"> PAGEREF _Toc100103 \h </w:instrText>
            </w:r>
            <w:r>
              <w:fldChar w:fldCharType="separate"/>
            </w:r>
            <w:r>
              <w:t>44</w:t>
            </w:r>
            <w:r>
              <w:fldChar w:fldCharType="end"/>
            </w:r>
          </w:hyperlink>
        </w:p>
        <w:p>
          <w:pPr>
            <w:pStyle w:val="11"/>
            <w:ind w:left="360"/>
            <w:tabs>
              <w:tab w:val="right" w:leader="dot" w:pos="9026"/>
            </w:tabs>
            <w:spacing w:before="120" w:after="60"/>
          </w:pPr>
          <w:hyperlink w:anchor="_Toc100104" w:history="1">
            <w:r>
              <w:rPr>
                <w:rStyle w:val="Hyperlink"/>
              </w:rPr>
              <w:t>9.3 النماذج التشغيلية - المشاريع</w:t>
            </w:r>
            <w:r>
              <w:tab/>
            </w:r>
            <w:r>
              <w:fldChar w:fldCharType="begin"/>
            </w:r>
            <w:r>
              <w:instrText xml:space="preserve"> PAGEREF _Toc100104 \h </w:instrText>
            </w:r>
            <w:r>
              <w:fldChar w:fldCharType="separate"/>
            </w:r>
            <w:r>
              <w:t>44</w:t>
            </w:r>
            <w:r>
              <w:fldChar w:fldCharType="end"/>
            </w:r>
          </w:hyperlink>
        </w:p>
        <w:p>
          <w:pPr>
            <w:pStyle w:val="11"/>
            <w:ind w:left="360"/>
            <w:tabs>
              <w:tab w:val="right" w:leader="dot" w:pos="9026"/>
            </w:tabs>
            <w:spacing w:before="120" w:after="60"/>
          </w:pPr>
          <w:hyperlink w:anchor="_Toc100105" w:history="1">
            <w:r>
              <w:rPr>
                <w:rStyle w:val="Hyperlink"/>
              </w:rPr>
              <w:t>9.4 النماذج التشغيلية - التأجير</w:t>
            </w:r>
            <w:r>
              <w:tab/>
            </w:r>
            <w:r>
              <w:fldChar w:fldCharType="begin"/>
            </w:r>
            <w:r>
              <w:instrText xml:space="preserve"> PAGEREF _Toc100105 \h </w:instrText>
            </w:r>
            <w:r>
              <w:fldChar w:fldCharType="separate"/>
            </w:r>
            <w:r>
              <w:t>44</w:t>
            </w:r>
            <w:r>
              <w:fldChar w:fldCharType="end"/>
            </w:r>
          </w:hyperlink>
        </w:p>
        <w:p>
          <w:pPr>
            <w:pStyle w:val="11"/>
            <w:ind w:left="360"/>
            <w:tabs>
              <w:tab w:val="right" w:leader="dot" w:pos="9026"/>
            </w:tabs>
            <w:spacing w:before="120" w:after="60"/>
          </w:pPr>
          <w:hyperlink w:anchor="_Toc100106" w:history="1">
            <w:r>
              <w:rPr>
                <w:rStyle w:val="Hyperlink"/>
              </w:rPr>
              <w:t>9.5 النماذج المالية</w:t>
            </w:r>
            <w:r>
              <w:tab/>
            </w:r>
            <w:r>
              <w:fldChar w:fldCharType="begin"/>
            </w:r>
            <w:r>
              <w:instrText xml:space="preserve"> PAGEREF _Toc100106 \h </w:instrText>
            </w:r>
            <w:r>
              <w:fldChar w:fldCharType="separate"/>
            </w:r>
            <w:r>
              <w:t>44</w:t>
            </w:r>
            <w:r>
              <w:fldChar w:fldCharType="end"/>
            </w:r>
          </w:hyperlink>
        </w:p>
        <w:p>
          <w:pPr>
            <w:pStyle w:val="9"/>
            <w:tabs>
              <w:tab w:val="right" w:leader="dot" w:pos="9026"/>
            </w:tabs>
            <w:spacing w:before="120" w:after="60"/>
          </w:pPr>
          <w:hyperlink w:anchor="_Toc100107" w:history="1">
            <w:r>
              <w:rPr>
                <w:rStyle w:val="Hyperlink"/>
              </w:rPr>
              <w:t>الفصل العاشر: الامتثال والامتثال التنظيمي</w:t>
            </w:r>
            <w:r>
              <w:tab/>
            </w:r>
            <w:r>
              <w:fldChar w:fldCharType="begin"/>
            </w:r>
            <w:r>
              <w:instrText xml:space="preserve"> PAGEREF _Toc100107 \h </w:instrText>
            </w:r>
            <w:r>
              <w:fldChar w:fldCharType="separate"/>
            </w:r>
            <w:r>
              <w:t>45</w:t>
            </w:r>
            <w:r>
              <w:fldChar w:fldCharType="end"/>
            </w:r>
          </w:hyperlink>
        </w:p>
        <w:p>
          <w:pPr>
            <w:pStyle w:val="11"/>
            <w:ind w:left="360"/>
            <w:tabs>
              <w:tab w:val="right" w:leader="dot" w:pos="9026"/>
            </w:tabs>
            <w:spacing w:before="120" w:after="60"/>
          </w:pPr>
          <w:hyperlink w:anchor="_Toc100108" w:history="1">
            <w:r>
              <w:rPr>
                <w:rStyle w:val="Hyperlink"/>
              </w:rPr>
              <w:t>10.1 معايير المحاسبة السعودية SOCPA</w:t>
            </w:r>
            <w:r>
              <w:tab/>
            </w:r>
            <w:r>
              <w:fldChar w:fldCharType="begin"/>
            </w:r>
            <w:r>
              <w:instrText xml:space="preserve"> PAGEREF _Toc100108 \h </w:instrText>
            </w:r>
            <w:r>
              <w:fldChar w:fldCharType="separate"/>
            </w:r>
            <w:r>
              <w:t>45</w:t>
            </w:r>
            <w:r>
              <w:fldChar w:fldCharType="end"/>
            </w:r>
          </w:hyperlink>
        </w:p>
        <w:p>
          <w:pPr>
            <w:pStyle w:val="11"/>
            <w:ind w:left="360"/>
            <w:tabs>
              <w:tab w:val="right" w:leader="dot" w:pos="9026"/>
            </w:tabs>
            <w:spacing w:before="120" w:after="60"/>
          </w:pPr>
          <w:hyperlink w:anchor="_Toc100109" w:history="1">
            <w:r>
              <w:rPr>
                <w:rStyle w:val="Hyperlink"/>
              </w:rPr>
              <w:t>10.2 الفوترة الإلكترونية ZATCA</w:t>
            </w:r>
            <w:r>
              <w:tab/>
            </w:r>
            <w:r>
              <w:fldChar w:fldCharType="begin"/>
            </w:r>
            <w:r>
              <w:instrText xml:space="preserve"> PAGEREF _Toc100109 \h </w:instrText>
            </w:r>
            <w:r>
              <w:fldChar w:fldCharType="separate"/>
            </w:r>
            <w:r>
              <w:t>46</w:t>
            </w:r>
            <w:r>
              <w:fldChar w:fldCharType="end"/>
            </w:r>
          </w:hyperlink>
        </w:p>
        <w:p>
          <w:pPr>
            <w:pStyle w:val="11"/>
            <w:ind w:left="360"/>
            <w:tabs>
              <w:tab w:val="right" w:leader="dot" w:pos="9026"/>
            </w:tabs>
            <w:spacing w:before="120" w:after="60"/>
          </w:pPr>
          <w:hyperlink w:anchor="_Toc100110" w:history="1">
            <w:r>
              <w:rPr>
                <w:rStyle w:val="Hyperlink"/>
              </w:rPr>
              <w:t>10.3 الإقفال الدوري</w:t>
            </w:r>
            <w:r>
              <w:tab/>
            </w:r>
            <w:r>
              <w:fldChar w:fldCharType="begin"/>
            </w:r>
            <w:r>
              <w:instrText xml:space="preserve"> PAGEREF _Toc100110 \h </w:instrText>
            </w:r>
            <w:r>
              <w:fldChar w:fldCharType="separate"/>
            </w:r>
            <w:r>
              <w:t>47</w:t>
            </w:r>
            <w:r>
              <w:fldChar w:fldCharType="end"/>
            </w:r>
          </w:hyperlink>
        </w:p>
        <w:p>
          <w:pPr>
            <w:pStyle w:val="9"/>
            <w:tabs>
              <w:tab w:val="right" w:leader="dot" w:pos="9026"/>
            </w:tabs>
            <w:spacing w:before="120" w:after="60"/>
          </w:pPr>
          <w:hyperlink w:anchor="_Toc100111" w:history="1">
            <w:r>
              <w:rPr>
                <w:rStyle w:val="Hyperlink"/>
              </w:rPr>
              <w:t>الفصل الحادي عشر: نظام الطباعة والمخرجات</w:t>
            </w:r>
            <w:r>
              <w:tab/>
            </w:r>
            <w:r>
              <w:fldChar w:fldCharType="begin"/>
            </w:r>
            <w:r>
              <w:instrText xml:space="preserve"> PAGEREF _Toc100111 \h </w:instrText>
            </w:r>
            <w:r>
              <w:fldChar w:fldCharType="separate"/>
            </w:r>
            <w:r>
              <w:t>47</w:t>
            </w:r>
            <w:r>
              <w:fldChar w:fldCharType="end"/>
            </w:r>
          </w:hyperlink>
        </w:p>
        <w:p>
          <w:pPr>
            <w:pStyle w:val="11"/>
            <w:ind w:left="360"/>
            <w:tabs>
              <w:tab w:val="right" w:leader="dot" w:pos="9026"/>
            </w:tabs>
            <w:spacing w:before="120" w:after="60"/>
          </w:pPr>
          <w:hyperlink w:anchor="_Toc100112" w:history="1">
            <w:r>
              <w:rPr>
                <w:rStyle w:val="Hyperlink"/>
              </w:rPr>
              <w:t>11.1 محرك الطباعة الموحّد</w:t>
            </w:r>
            <w:r>
              <w:tab/>
            </w:r>
            <w:r>
              <w:fldChar w:fldCharType="begin"/>
            </w:r>
            <w:r>
              <w:instrText xml:space="preserve"> PAGEREF _Toc100112 \h </w:instrText>
            </w:r>
            <w:r>
              <w:fldChar w:fldCharType="separate"/>
            </w:r>
            <w:r>
              <w:t>48</w:t>
            </w:r>
            <w:r>
              <w:fldChar w:fldCharType="end"/>
            </w:r>
          </w:hyperlink>
        </w:p>
        <w:p>
          <w:pPr>
            <w:pStyle w:val="11"/>
            <w:ind w:left="360"/>
            <w:tabs>
              <w:tab w:val="right" w:leader="dot" w:pos="9026"/>
            </w:tabs>
            <w:spacing w:before="120" w:after="60"/>
          </w:pPr>
          <w:hyperlink w:anchor="_Toc100113" w:history="1">
            <w:r>
              <w:rPr>
                <w:rStyle w:val="Hyperlink"/>
              </w:rPr>
              <w:t>11.2 التصدير</w:t>
            </w:r>
            <w:r>
              <w:tab/>
            </w:r>
            <w:r>
              <w:fldChar w:fldCharType="begin"/>
            </w:r>
            <w:r>
              <w:instrText xml:space="preserve"> PAGEREF _Toc100113 \h </w:instrText>
            </w:r>
            <w:r>
              <w:fldChar w:fldCharType="separate"/>
            </w:r>
            <w:r>
              <w:t>48</w:t>
            </w:r>
            <w:r>
              <w:fldChar w:fldCharType="end"/>
            </w:r>
          </w:hyperlink>
        </w:p>
        <w:p>
          <w:pPr>
            <w:pStyle w:val="9"/>
            <w:tabs>
              <w:tab w:val="right" w:leader="dot" w:pos="9026"/>
            </w:tabs>
            <w:spacing w:before="120" w:after="60"/>
          </w:pPr>
          <w:hyperlink w:anchor="_Toc100114" w:history="1">
            <w:r>
              <w:rPr>
                <w:rStyle w:val="Hyperlink"/>
              </w:rPr>
              <w:t>الفصل الثاني عشر: الخلاصة</w:t>
            </w:r>
            <w:r>
              <w:tab/>
            </w:r>
            <w:r>
              <w:fldChar w:fldCharType="begin"/>
            </w:r>
            <w:r>
              <w:instrText xml:space="preserve"> PAGEREF _Toc100114 \h </w:instrText>
            </w:r>
            <w:r>
              <w:fldChar w:fldCharType="separate"/>
            </w:r>
            <w:r>
              <w:t>48</w:t>
            </w:r>
            <w:r>
              <w:fldChar w:fldCharType="end"/>
            </w:r>
          </w:hyperlink>
        </w:p>
        <w:p>
          <w:r>
            <w:fldChar w:fldCharType="end"/>
          </w:r>
        </w:p>
      </w:sdtContent>
    </w:sdt>
    <w:p>
      <w:pPr>
        <w:spacing w:before="200"/>
        <w:jc w:val="center"/>
      </w:pPr>
      <w:r>
        <w:rPr>
          <w:rFonts w:ascii="Calibri" w:cs="Calibri" w:eastAsia="Calibri" w:hAnsi="Calibri"/>
          <w:i/>
          <w:iCs/>
          <w:color w:val="4A5568"/>
          <w:sz w:val="18"/>
          <w:szCs w:val="18"/>
          <w:rtl/>
        </w:rPr>
        <w:t xml:space="preserve">ملاحظة: انقر بزر الماوس الأيمن على الفهرس واختر 'تحديث الحقل' لتحديث أرقام الصفحات</w:t>
      </w:r>
    </w:p>
    <w:p>
      <w:r>
        <w:br w:type="page"/>
      </w:r>
    </w:p>
    <w:p>
      <w:pPr>
        <w:sectPr>
          <w:pgSz w:w="11906" w:h="16838" w:orient="portrait"/>
          <w:pgMar w:top="1440" w:right="1440" w:bottom="1440" w:left="1440" w:header="708" w:footer="708" w:gutter="0"/>
          <w:pgNumType/>
          <w:docGrid w:linePitch="360"/>
        </w:sectPr>
      </w:pPr>
    </w:p>
    <w:p>
      <w:pPr>
        <w:pStyle w:val="Heading1"/>
        <w:keepNext/>
        <w:spacing w:after="200" w:before="360"/>
      </w:pPr>
      <w:bookmarkStart w:id="100000" w:name="_Toc100000"/>
      <w:r>
        <w:rPr>
          <w:rFonts w:ascii="Calibri" w:cs="Calibri" w:eastAsia="Calibri" w:hAnsi="Calibri"/>
          <w:b/>
          <w:bCs/>
          <w:color w:val="1B4332"/>
          <w:sz w:val="36"/>
          <w:szCs w:val="36"/>
        </w:rPr>
        <w:t xml:space="preserve">الفصل الأول: نظرة عامة على النظام</w:t>
      </w:r>
      <w:bookmarkEnd w:id="100000"/>
    </w:p>
    <w:p>
      <w:pPr>
        <w:pStyle w:val="Heading2"/>
        <w:keepNext/>
        <w:spacing w:after="160" w:before="280"/>
      </w:pPr>
      <w:bookmarkStart w:id="100001" w:name="_Toc100001"/>
      <w:r>
        <w:rPr>
          <w:rFonts w:ascii="Calibri" w:cs="Calibri" w:eastAsia="Calibri" w:hAnsi="Calibri"/>
          <w:b/>
          <w:bCs/>
          <w:color w:val="2D6A4F"/>
          <w:sz w:val="30"/>
          <w:szCs w:val="30"/>
        </w:rPr>
        <w:t xml:space="preserve">1.1 التعريف بالنظام</w:t>
      </w:r>
      <w:bookmarkEnd w:id="100001"/>
    </w:p>
    <w:p>
      <w:pPr>
        <w:bidi/>
        <w:spacing w:after="120" w:line="312"/>
        <w:ind w:firstLine="420"/>
        <w:jc w:val="right"/>
      </w:pPr>
      <w:r>
        <w:rPr>
          <w:rFonts w:ascii="Calibri" w:cs="Calibri" w:eastAsia="Calibri" w:hAnsi="Calibri"/>
          <w:b w:val="false"/>
          <w:bCs w:val="false"/>
          <w:color w:val="1A1A2E"/>
          <w:sz w:val="22"/>
          <w:szCs w:val="22"/>
          <w:rtl/>
        </w:rPr>
        <w:t xml:space="preserve">نظام بِنَاء (BINA ERP) هو نظام تخطيط موارد مؤسسات متكامل مصمم خصيصاً لشركات المقاولات الإنشائية وتأجير المعدات في المملكة العربية السعودية. يوفر النظام حلاً شاملاً يغطي جميع العمليات التشغيلية والمالية والمحاسبية وفقاً للمعايير المحاسبية السعودية (SOCPA) ومتطلبات هيئة الزكاة والدخل (ZATCA).</w:t>
      </w:r>
    </w:p>
    <w:p>
      <w:pPr>
        <w:pStyle w:val="Heading2"/>
        <w:keepNext/>
        <w:spacing w:after="160" w:before="280"/>
      </w:pPr>
      <w:bookmarkStart w:id="100002" w:name="_Toc100002"/>
      <w:r>
        <w:rPr>
          <w:rFonts w:ascii="Calibri" w:cs="Calibri" w:eastAsia="Calibri" w:hAnsi="Calibri"/>
          <w:b/>
          <w:bCs/>
          <w:color w:val="2D6A4F"/>
          <w:sz w:val="30"/>
          <w:szCs w:val="30"/>
        </w:rPr>
        <w:t xml:space="preserve">1.2 الرؤية والفلسفة</w:t>
      </w:r>
      <w:bookmarkEnd w:id="100002"/>
    </w:p>
    <w:p>
      <w:pPr>
        <w:bidi/>
        <w:spacing w:after="120" w:line="312"/>
        <w:ind w:firstLine="420"/>
        <w:jc w:val="right"/>
      </w:pPr>
      <w:r>
        <w:rPr>
          <w:rFonts w:ascii="Calibri" w:cs="Calibri" w:eastAsia="Calibri" w:hAnsi="Calibri"/>
          <w:b w:val="false"/>
          <w:bCs w:val="false"/>
          <w:color w:val="1A1A2E"/>
          <w:sz w:val="22"/>
          <w:szCs w:val="22"/>
          <w:rtl/>
        </w:rPr>
        <w:t xml:space="preserve">يقوم النظام على فلسفة محورية أساسية: دليل الحسابات هو المحرك الرئيسي للنظام. كل عملية مالية ترتبط تلقائياً بقيد محاسبي، وكل شاشة تعرف حساباتها المحاسبية وعرض القيد المتوقع قبل الحفظ. هذا يضمن السلامة المالية الكاملة من أول عملية وحتى القوائم المالية.</w:t>
      </w:r>
    </w:p>
    <w:p>
      <w:pPr>
        <w:pStyle w:val="Heading2"/>
        <w:keepNext/>
        <w:spacing w:after="160" w:before="280"/>
      </w:pPr>
      <w:bookmarkStart w:id="100003" w:name="_Toc100003"/>
      <w:r>
        <w:rPr>
          <w:rFonts w:ascii="Calibri" w:cs="Calibri" w:eastAsia="Calibri" w:hAnsi="Calibri"/>
          <w:b/>
          <w:bCs/>
          <w:color w:val="2D6A4F"/>
          <w:sz w:val="30"/>
          <w:szCs w:val="30"/>
        </w:rPr>
        <w:t xml:space="preserve">1.3 التقنيات المستخدمة</w:t>
      </w:r>
      <w:bookmarkEnd w:id="100003"/>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التقنية</w:t>
            </w:r>
          </w:p>
        </w:tc>
        <w:tc>
          <w:tcPr>
            <w:tcW w:type="dxa" w:w="4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الإصدار</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Next.js</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إطار عمل الويب الرئيسي مع App Router</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16</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TypeScript</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لغة البرمجة الأساسية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Tailwind CSS</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نظام التنسيق والتصميم</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shadcn/ui</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مكتبة المكونات الواجهية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أحدث</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Prisma ORM</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طبقة الوصول لقاعدة البيانات</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أحدث</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SQLite</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قاعدة البيانات العلائقية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Zustand</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إدارة الحالة على جانب العميل</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أحدث</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Socket.IO</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التواصل الفوري والخدمات المصغرة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أحدث</w:t>
            </w:r>
          </w:p>
        </w:tc>
      </w:tr>
    </w:tbl>
    <w:p>
      <w:pPr>
        <w:spacing w:after="200"/>
      </w:pPr>
    </w:p>
    <w:p>
      <w:pPr>
        <w:pStyle w:val="Heading2"/>
        <w:keepNext/>
        <w:spacing w:after="160" w:before="280"/>
      </w:pPr>
      <w:bookmarkStart w:id="100004" w:name="_Toc100004"/>
      <w:r>
        <w:rPr>
          <w:rFonts w:ascii="Calibri" w:cs="Calibri" w:eastAsia="Calibri" w:hAnsi="Calibri"/>
          <w:b/>
          <w:bCs/>
          <w:color w:val="2D6A4F"/>
          <w:sz w:val="30"/>
          <w:szCs w:val="30"/>
        </w:rPr>
        <w:t xml:space="preserve">1.4 المتطلبات والمواءمة</w:t>
      </w:r>
      <w:bookmarkEnd w:id="100004"/>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متوافق مع معايير المحاسبة السعودية SOCPA (دليل الحسابات الموحد)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متوافق مع متطلبات الفوترة الإلكترونية ZATCA (رمز QR)</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ضريبة القيمة المضافة 15% محسوبة تلقائياً</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دعم كامل للغة العربية (RTL) مع واجهة ثنائية اللغة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العملة الأساسية: الريال السعودي (SAR)</w:t>
      </w:r>
    </w:p>
    <w:p>
      <w:r>
        <w:br w:type="page"/>
      </w:r>
    </w:p>
    <w:p>
      <w:pPr>
        <w:pStyle w:val="Heading1"/>
        <w:keepNext/>
        <w:spacing w:after="200" w:before="360"/>
      </w:pPr>
      <w:bookmarkStart w:id="100005" w:name="_Toc100005"/>
      <w:r>
        <w:rPr>
          <w:rFonts w:ascii="Calibri" w:cs="Calibri" w:eastAsia="Calibri" w:hAnsi="Calibri"/>
          <w:b/>
          <w:bCs/>
          <w:color w:val="1B4332"/>
          <w:sz w:val="36"/>
          <w:szCs w:val="36"/>
        </w:rPr>
        <w:t xml:space="preserve">الفصل الثاني: هيكل النظام المعماري</w:t>
      </w:r>
      <w:bookmarkEnd w:id="100005"/>
    </w:p>
    <w:p>
      <w:pPr>
        <w:pStyle w:val="Heading2"/>
        <w:keepNext/>
        <w:spacing w:after="160" w:before="280"/>
      </w:pPr>
      <w:bookmarkStart w:id="100006" w:name="_Toc100006"/>
      <w:r>
        <w:rPr>
          <w:rFonts w:ascii="Calibri" w:cs="Calibri" w:eastAsia="Calibri" w:hAnsi="Calibri"/>
          <w:b/>
          <w:bCs/>
          <w:color w:val="2D6A4F"/>
          <w:sz w:val="30"/>
          <w:szCs w:val="30"/>
        </w:rPr>
        <w:t xml:space="preserve">2.1 البنية العامة</w:t>
      </w:r>
      <w:bookmarkEnd w:id="100006"/>
    </w:p>
    <w:p>
      <w:pPr>
        <w:bidi/>
        <w:spacing w:after="120" w:line="312"/>
        <w:ind w:firstLine="420"/>
        <w:jc w:val="right"/>
      </w:pPr>
      <w:r>
        <w:rPr>
          <w:rFonts w:ascii="Calibri" w:cs="Calibri" w:eastAsia="Calibri" w:hAnsi="Calibri"/>
          <w:b w:val="false"/>
          <w:bCs w:val="false"/>
          <w:color w:val="1A1A2E"/>
          <w:sz w:val="22"/>
          <w:szCs w:val="22"/>
          <w:rtl/>
        </w:rPr>
        <w:t xml:space="preserve">يعتمد النظام بنية مركزية قائمة على مركزين أساسيين (Hubs) يغذيهما خدمات مشتركة، ويتصل الجميع بمحرك المحاسبة كمرجع وحيد للحقيقة المالية: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الطبقة</w:t>
            </w:r>
          </w:p>
        </w:tc>
        <w:tc>
          <w:tcPr>
            <w:tcW w:type="dxa" w:w="5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المكونات</w:t>
            </w:r>
          </w:p>
        </w:tc>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الدور</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واجهة المستخدم</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شاشات + مكونات UI + Zustand</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التفاعل مع المستخدم</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طبقة API</w:t>
            </w:r>
          </w:p>
        </w:tc>
        <w:tc>
          <w:tcPr>
            <w:tcW w:type="dxa" w:w="5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+100 نقطة API REST</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الوسيط بين الواجهة والبيانات</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محرك الأعمال</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محرك سير العمل + توجيه التكاليف + حساب الربحية</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المنطق التجاري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محرك المحاسبة</w:t>
            </w:r>
          </w:p>
        </w:tc>
        <w:tc>
          <w:tcPr>
            <w:tcW w:type="dxa" w:w="5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دليل الحسابات + 18 دالة قيد تلقائي + التقارير المالية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المرجع المالي الوحيد</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قاعدة البيانات</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Prisma + SQLite (37 نموذج بيانات)</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التخزين المستمر</w:t>
            </w:r>
          </w:p>
        </w:tc>
      </w:tr>
    </w:tbl>
    <w:p>
      <w:pPr>
        <w:spacing w:after="200"/>
      </w:pPr>
    </w:p>
    <w:p>
      <w:pPr>
        <w:pStyle w:val="Heading2"/>
        <w:keepNext/>
        <w:spacing w:after="160" w:before="280"/>
      </w:pPr>
      <w:bookmarkStart w:id="100007" w:name="_Toc100007"/>
      <w:r>
        <w:rPr>
          <w:rFonts w:ascii="Calibri" w:cs="Calibri" w:eastAsia="Calibri" w:hAnsi="Calibri"/>
          <w:b/>
          <w:bCs/>
          <w:color w:val="2D6A4F"/>
          <w:sz w:val="30"/>
          <w:szCs w:val="30"/>
        </w:rPr>
        <w:t xml:space="preserve">2.2 مركزا النظام الأساسيان</w:t>
      </w:r>
      <w:bookmarkEnd w:id="100007"/>
    </w:p>
    <w:p>
      <w:pPr>
        <w:pStyle w:val="Heading3"/>
        <w:keepNext/>
        <w:spacing w:after="120" w:before="200"/>
      </w:pPr>
      <w:bookmarkStart w:id="100008" w:name="_Toc100008"/>
      <w:r>
        <w:rPr>
          <w:rFonts w:ascii="Calibri" w:cs="Calibri" w:eastAsia="Calibri" w:hAnsi="Calibri"/>
          <w:b/>
          <w:bCs/>
          <w:color w:val="40916C"/>
          <w:sz w:val="26"/>
          <w:szCs w:val="26"/>
        </w:rPr>
        <w:t xml:space="preserve">مركز المشاريع الإنشائية (Construction Hub)</w:t>
      </w:r>
      <w:bookmarkEnd w:id="100008"/>
    </w:p>
    <w:p>
      <w:pPr>
        <w:bidi/>
        <w:spacing w:after="120" w:line="312"/>
        <w:ind w:firstLine="420"/>
        <w:jc w:val="right"/>
      </w:pPr>
      <w:r>
        <w:rPr>
          <w:rFonts w:ascii="Calibri" w:cs="Calibri" w:eastAsia="Calibri" w:hAnsi="Calibri"/>
          <w:b w:val="false"/>
          <w:bCs w:val="false"/>
          <w:color w:val="1A1A2E"/>
          <w:sz w:val="22"/>
          <w:szCs w:val="22"/>
          <w:rtl/>
        </w:rPr>
        <w:t xml:space="preserve">يغطي دورة حياة المشروع الإنشائي الكاملة من العميل وحتى التحصيل: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عميل ← مشروع ← عقد ← جدول كميات ← ساعات عمل ← مصروفات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مقاولون فرعيون ← مشتريات (طلب←أمر شراء←استلام←فاتورة)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مستخلصات ← فواتير مبيعات ← تحصيلات ← قيد محاسبي</w:t>
      </w:r>
    </w:p>
    <w:p>
      <w:pPr>
        <w:pStyle w:val="Heading3"/>
        <w:keepNext/>
        <w:spacing w:after="120" w:before="200"/>
      </w:pPr>
      <w:bookmarkStart w:id="100009" w:name="_Toc100009"/>
      <w:r>
        <w:rPr>
          <w:rFonts w:ascii="Calibri" w:cs="Calibri" w:eastAsia="Calibri" w:hAnsi="Calibri"/>
          <w:b/>
          <w:bCs/>
          <w:color w:val="40916C"/>
          <w:sz w:val="26"/>
          <w:szCs w:val="26"/>
        </w:rPr>
        <w:t xml:space="preserve">مركز تأجير المعدات (Rental Hub)</w:t>
      </w:r>
      <w:bookmarkEnd w:id="100009"/>
    </w:p>
    <w:p>
      <w:pPr>
        <w:bidi/>
        <w:spacing w:after="120" w:line="312"/>
        <w:ind w:firstLine="420"/>
        <w:jc w:val="right"/>
      </w:pPr>
      <w:r>
        <w:rPr>
          <w:rFonts w:ascii="Calibri" w:cs="Calibri" w:eastAsia="Calibri" w:hAnsi="Calibri"/>
          <w:b w:val="false"/>
          <w:bCs w:val="false"/>
          <w:color w:val="1A1A2E"/>
          <w:sz w:val="22"/>
          <w:szCs w:val="22"/>
          <w:rtl/>
        </w:rPr>
        <w:t xml:space="preserve">يغطي دورة تأجير المعدات من العقد وحتى إصدار الفاتورة: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عميل ← عقد تأجير ← أمر توصيل ← سجل ساعات ← فاتورة تأجير ← تحصيل</w:t>
      </w:r>
    </w:p>
    <w:p>
      <w:pPr>
        <w:pStyle w:val="Heading3"/>
        <w:keepNext/>
        <w:spacing w:after="120" w:before="200"/>
      </w:pPr>
      <w:bookmarkStart w:id="100010" w:name="_Toc100010"/>
      <w:r>
        <w:rPr>
          <w:rFonts w:ascii="Calibri" w:cs="Calibri" w:eastAsia="Calibri" w:hAnsi="Calibri"/>
          <w:b/>
          <w:bCs/>
          <w:color w:val="40916C"/>
          <w:sz w:val="26"/>
          <w:szCs w:val="26"/>
        </w:rPr>
        <w:t xml:space="preserve">الخدمات المشتركة</w:t>
      </w:r>
      <w:bookmarkEnd w:id="100010"/>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الموارد البشرية (موظفون، رواتب، فرق عمل)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سلسلة التوريد (طلبات شراء، أوامر شراء، استلام بضائع)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المصروفات والمشتريات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المخزون والمستودعات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الإعدادات والبيانات الأساسية</w:t>
      </w:r>
    </w:p>
    <w:p>
      <w:pPr>
        <w:pStyle w:val="Heading2"/>
        <w:keepNext/>
        <w:spacing w:after="160" w:before="280"/>
      </w:pPr>
      <w:bookmarkStart w:id="100011" w:name="_Toc100011"/>
      <w:r>
        <w:rPr>
          <w:rFonts w:ascii="Calibri" w:cs="Calibri" w:eastAsia="Calibri" w:hAnsi="Calibri"/>
          <w:b/>
          <w:bCs/>
          <w:color w:val="2D6A4F"/>
          <w:sz w:val="30"/>
          <w:szCs w:val="30"/>
        </w:rPr>
        <w:t xml:space="preserve">2.3 محرك المحاسبة - القلب النابض</w:t>
      </w:r>
      <w:bookmarkEnd w:id="100011"/>
    </w:p>
    <w:p>
      <w:pPr>
        <w:bidi/>
        <w:spacing w:after="120" w:line="312"/>
        <w:ind w:firstLine="420"/>
        <w:jc w:val="right"/>
      </w:pPr>
      <w:r>
        <w:rPr>
          <w:rFonts w:ascii="Calibri" w:cs="Calibri" w:eastAsia="Calibri" w:hAnsi="Calibri"/>
          <w:b w:val="false"/>
          <w:bCs w:val="false"/>
          <w:color w:val="1A1A2E"/>
          <w:sz w:val="22"/>
          <w:szCs w:val="22"/>
          <w:rtl/>
        </w:rPr>
        <w:t xml:space="preserve">يمثل محرك المحاسبة المرجع الوحيد للحقيقة المالية في النظام. كل عملية مالية تولّد تلقائياً قيداً محاسبياً وفقاً لنظام القيد المزدوج. القاعدة الذهبية: لا عملية بدون أثر محاسبي.</w:t>
      </w:r>
    </w:p>
    <w:p>
      <w:pPr>
        <w:pStyle w:val="Heading3"/>
        <w:keepNext/>
        <w:spacing w:after="120" w:before="200"/>
      </w:pPr>
      <w:bookmarkStart w:id="100012" w:name="_Toc100012"/>
      <w:r>
        <w:rPr>
          <w:rFonts w:ascii="Calibri" w:cs="Calibri" w:eastAsia="Calibri" w:hAnsi="Calibri"/>
          <w:b/>
          <w:bCs/>
          <w:color w:val="40916C"/>
          <w:sz w:val="26"/>
          <w:szCs w:val="26"/>
        </w:rPr>
        <w:t xml:space="preserve">القواعد الذهبية للمحاسبة</w:t>
      </w:r>
      <w:bookmarkEnd w:id="100012"/>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الرقم</w:t>
            </w:r>
          </w:p>
        </w:tc>
        <w:tc>
          <w:tcPr>
            <w:tcW w:type="dxa" w:w="5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القاعدة</w:t>
            </w:r>
          </w:p>
        </w:tc>
        <w:tc>
          <w:tcPr>
            <w:tcW w:type="dxa" w:w="4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التفصيل</w:t>
            </w:r>
          </w:p>
        </w:tc>
      </w:tr>
      <w:tr>
        <w:trPr>
          <w:cantSplit/>
          <w:tblHeader w:val="false"/>
        </w:trPr>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عملية بدون أثر محاسبي</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كل معاملة مالية تولّد قيداً تلقائياً</w:t>
            </w:r>
          </w:p>
        </w:tc>
      </w:tr>
      <w:tr>
        <w:trPr>
          <w:cantSplit/>
          <w:tblHeader w:val="false"/>
        </w:trPr>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w:t>
            </w:r>
          </w:p>
        </w:tc>
        <w:tc>
          <w:tcPr>
            <w:tcW w:type="dxa" w:w="5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هو المصدر الوحيد للحقيقة</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جميع التقارير المالية مشتقة من القيود</w:t>
            </w:r>
          </w:p>
        </w:tc>
      </w:tr>
      <w:tr>
        <w:trPr>
          <w:cantSplit/>
          <w:tblHeader w:val="false"/>
        </w:trPr>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دليل الحسابات هو المحرك</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كل شاشة تستعلم حساباتها ديناميكياً</w:t>
            </w:r>
          </w:p>
        </w:tc>
      </w:tr>
      <w:tr>
        <w:trPr>
          <w:cantSplit/>
          <w:tblHeader w:val="false"/>
        </w:trPr>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c>
          <w:tcPr>
            <w:tcW w:type="dxa" w:w="5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حذف مباشر للقيود</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استخدام قيد عكسي بدلاً من الحذف</w:t>
            </w:r>
          </w:p>
        </w:tc>
      </w:tr>
      <w:tr>
        <w:trPr>
          <w:cantSplit/>
          <w:tblHeader w:val="false"/>
        </w:trPr>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المرحلة غير قابلة للتعديل</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التعديل = عكس + إنشاء قيد جديد</w:t>
            </w:r>
          </w:p>
        </w:tc>
      </w:tr>
      <w:tr>
        <w:trPr>
          <w:cantSplit/>
          <w:tblHeader w:val="false"/>
        </w:trPr>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w:t>
            </w:r>
          </w:p>
        </w:tc>
        <w:tc>
          <w:tcPr>
            <w:tcW w:type="dxa" w:w="5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عكس متسلسل</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يجب عكس العمليات التابعة قبل الأم</w:t>
            </w:r>
          </w:p>
        </w:tc>
      </w:tr>
      <w:tr>
        <w:trPr>
          <w:cantSplit/>
          <w:tblHeader w:val="false"/>
        </w:trPr>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w:t>
            </w:r>
          </w:p>
        </w:tc>
        <w:tc>
          <w:tcPr>
            <w:tcW w:type="dxa" w:w="5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عرض القيد قبل الحفظ</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كل شاشة تعرض الأثر المحاسبي المتوقع</w:t>
            </w:r>
          </w:p>
        </w:tc>
      </w:tr>
    </w:tbl>
    <w:p>
      <w:pPr>
        <w:spacing w:after="200"/>
      </w:pPr>
    </w:p>
    <w:p>
      <w:r>
        <w:br w:type="page"/>
      </w:r>
    </w:p>
    <w:p>
      <w:pPr>
        <w:pStyle w:val="Heading1"/>
        <w:keepNext/>
        <w:spacing w:after="200" w:before="360"/>
      </w:pPr>
      <w:bookmarkStart w:id="100013" w:name="_Toc100013"/>
      <w:r>
        <w:rPr>
          <w:rFonts w:ascii="Calibri" w:cs="Calibri" w:eastAsia="Calibri" w:hAnsi="Calibri"/>
          <w:b/>
          <w:bCs/>
          <w:color w:val="1B4332"/>
          <w:sz w:val="36"/>
          <w:szCs w:val="36"/>
        </w:rPr>
        <w:t xml:space="preserve">الفصل الثالث: دليل الحسابات - المحرك الرئيسي</w:t>
      </w:r>
      <w:bookmarkEnd w:id="100013"/>
    </w:p>
    <w:p>
      <w:pPr>
        <w:pStyle w:val="Heading2"/>
        <w:keepNext/>
        <w:spacing w:after="160" w:before="280"/>
      </w:pPr>
      <w:bookmarkStart w:id="100014" w:name="_Toc100014"/>
      <w:r>
        <w:rPr>
          <w:rFonts w:ascii="Calibri" w:cs="Calibri" w:eastAsia="Calibri" w:hAnsi="Calibri"/>
          <w:b/>
          <w:bCs/>
          <w:color w:val="2D6A4F"/>
          <w:sz w:val="30"/>
          <w:szCs w:val="30"/>
        </w:rPr>
        <w:t xml:space="preserve">3.1 فلسفة دليل الحسابات</w:t>
      </w:r>
      <w:bookmarkEnd w:id="100014"/>
    </w:p>
    <w:p>
      <w:pPr>
        <w:bidi/>
        <w:spacing w:after="120" w:line="312"/>
        <w:ind w:firstLine="420"/>
        <w:jc w:val="right"/>
      </w:pPr>
      <w:r>
        <w:rPr>
          <w:rFonts w:ascii="Calibri" w:cs="Calibri" w:eastAsia="Calibri" w:hAnsi="Calibri"/>
          <w:b w:val="false"/>
          <w:bCs w:val="false"/>
          <w:color w:val="1A1A2E"/>
          <w:sz w:val="22"/>
          <w:szCs w:val="22"/>
          <w:rtl/>
        </w:rPr>
        <w:t xml:space="preserve">دليل الحسابات في نظام بِنَاء ليس مجرد قائمة حسابات، بل هو المحرك الذي يحرك النظام بالكامل. كل حساب يُضاف إلى الدليل يصبح فوراً متاحاً في جميع الشاشات ذات الصلة عبر نظام الأدوار الوظيفية (accountRole). لا توجد قوائم منسدلة ثابتة في النظام - كل اختيار حسابي يأتي من استعلام ديناميكي.</w:t>
      </w:r>
    </w:p>
    <w:p>
      <w:pPr>
        <w:pStyle w:val="Heading2"/>
        <w:keepNext/>
        <w:spacing w:after="160" w:before="280"/>
      </w:pPr>
      <w:bookmarkStart w:id="100015" w:name="_Toc100015"/>
      <w:r>
        <w:rPr>
          <w:rFonts w:ascii="Calibri" w:cs="Calibri" w:eastAsia="Calibri" w:hAnsi="Calibri"/>
          <w:b/>
          <w:bCs/>
          <w:color w:val="2D6A4F"/>
          <w:sz w:val="30"/>
          <w:szCs w:val="30"/>
        </w:rPr>
        <w:t xml:space="preserve">3.2 هيكل دليل الحسابات SOCPA</w:t>
      </w:r>
      <w:bookmarkEnd w:id="100015"/>
    </w:p>
    <w:p>
      <w:pPr>
        <w:bidi/>
        <w:spacing w:after="120" w:line="312"/>
        <w:jc w:val="right"/>
      </w:pPr>
      <w:r>
        <w:rPr>
          <w:rFonts w:ascii="Calibri" w:cs="Calibri" w:eastAsia="Calibri" w:hAnsi="Calibri"/>
          <w:b w:val="false"/>
          <w:bCs w:val="false"/>
          <w:color w:val="1A1A2E"/>
          <w:sz w:val="22"/>
          <w:szCs w:val="22"/>
          <w:rtl/>
        </w:rPr>
        <w:t xml:space="preserve">يتوافق الدليل مع تصنيف هيئة المحاسبين القانونيين السعوديين:</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12"/>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المدى</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التصنيف</w:t>
            </w:r>
          </w:p>
        </w:tc>
        <w:tc>
          <w:tcPr>
            <w:tcW w:type="dxa" w:w="68"/>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أمثلة</w:t>
            </w:r>
          </w:p>
        </w:tc>
      </w:tr>
      <w:tr>
        <w:trPr>
          <w:cantSplit/>
          <w:tblHeader w:val="false"/>
        </w:trPr>
        <w:tc>
          <w:tcPr>
            <w:tcW w:type="dxa" w:w="12"/>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1xxx</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الأصول المتداولة</w:t>
            </w:r>
          </w:p>
        </w:tc>
        <w:tc>
          <w:tcPr>
            <w:tcW w:type="dxa" w:w="6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 النقدية | 1120 البنوك | 1130 الصندوق | 1210 العملاء | 1220 المحتجزات | 1230 سلف الموظفين | 1240 مسترد ضريبي | 1410 ضريبة مدخلات</w:t>
            </w:r>
          </w:p>
        </w:tc>
      </w:tr>
      <w:tr>
        <w:trPr>
          <w:cantSplit/>
          <w:tblHeader w:val="false"/>
        </w:trPr>
        <w:tc>
          <w:tcPr>
            <w:tcW w:type="dxa" w:w="12"/>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2xxx</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الأصول الثابتة</w:t>
            </w:r>
          </w:p>
        </w:tc>
        <w:tc>
          <w:tcPr>
            <w:tcW w:type="dxa" w:w="6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2110 معدات إنشائية | 2120 معدات تأجير | 2130 مركبات | 2140 أثاث ومعدات | 2210-2240 مجمع الإهلاك</w:t>
            </w:r>
          </w:p>
        </w:tc>
      </w:tr>
      <w:tr>
        <w:trPr>
          <w:cantSplit/>
          <w:tblHeader w:val="false"/>
        </w:trPr>
        <w:tc>
          <w:tcPr>
            <w:tcW w:type="dxa" w:w="12"/>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3xxx</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الالتزامات</w:t>
            </w:r>
          </w:p>
        </w:tc>
        <w:tc>
          <w:tcPr>
            <w:tcW w:type="dxa" w:w="6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 ضريبة مخرجات | 3120 ضريبة مدخلات | 3130 ضريبة مستحقة | 3210 الموردين | 3220 المقاولين الفرعيين | 3310 مستحق الرواتب | 3410/3420 دفعات مقدمة عملاء | 3710 مخصص نهاية خدمة | 3810 مستحق الزكاة | 3830 مستحق التأمينات</w:t>
            </w:r>
          </w:p>
        </w:tc>
      </w:tr>
      <w:tr>
        <w:trPr>
          <w:cantSplit/>
          <w:tblHeader w:val="false"/>
        </w:trPr>
        <w:tc>
          <w:tcPr>
            <w:tcW w:type="dxa" w:w="12"/>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4xxx</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حقوق الملكية</w:t>
            </w:r>
          </w:p>
        </w:tc>
        <w:tc>
          <w:tcPr>
            <w:tcW w:type="dxa" w:w="6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4100 رأس المال | 4400 الأرباح المبقاة</w:t>
            </w:r>
          </w:p>
        </w:tc>
      </w:tr>
      <w:tr>
        <w:trPr>
          <w:cantSplit/>
          <w:tblHeader w:val="false"/>
        </w:trPr>
        <w:tc>
          <w:tcPr>
            <w:tcW w:type="dxa" w:w="12"/>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6xxx</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الإيرادات</w:t>
            </w:r>
          </w:p>
        </w:tc>
        <w:tc>
          <w:tcPr>
            <w:tcW w:type="dxa" w:w="6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 إيرادات المشاريع | 6210 إيرادات التأجير | 6220 إيرادات التوصيل | 6310 أرباح بيع أصول | 6340 إيرادات خدمات</w:t>
            </w:r>
          </w:p>
        </w:tc>
      </w:tr>
      <w:tr>
        <w:trPr>
          <w:cantSplit/>
          <w:tblHeader w:val="false"/>
        </w:trPr>
        <w:tc>
          <w:tcPr>
            <w:tcW w:type="dxa" w:w="12"/>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7xxx</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التكاليف المباشرة</w:t>
            </w:r>
          </w:p>
        </w:tc>
        <w:tc>
          <w:tcPr>
            <w:tcW w:type="dxa" w:w="6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7110 تكاليف المشاريع | 7130 مقاولون فرعيون | 7160 تراخيص | 7210 تكاليف التأجير | 7220 صيانة | 7230 سائقين | 7240 نقل | 7250 إهلاك التأجير | 7300 تكاليف أخرى | 7400 تأمين</w:t>
            </w:r>
          </w:p>
        </w:tc>
      </w:tr>
      <w:tr>
        <w:trPr>
          <w:cantSplit/>
          <w:tblHeader w:val="false"/>
        </w:trPr>
        <w:tc>
          <w:tcPr>
            <w:tcW w:type="dxa" w:w="12"/>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8xxx</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المصروفات الإدارية</w:t>
            </w:r>
          </w:p>
        </w:tc>
        <w:tc>
          <w:tcPr>
            <w:tcW w:type="dxa" w:w="6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 رواتب وأجور | 8120 إيجارات | 8130 مرافق | 8140 مصروفات مكتبية | 8210 تأمينات اجتماعية | 8310-8340 إهلاك | 8510 زكاة | 8610 خسارة تصرف | 8630 متنوعة</w:t>
            </w:r>
          </w:p>
        </w:tc>
      </w:tr>
    </w:tbl>
    <w:p>
      <w:pPr>
        <w:spacing w:after="200"/>
      </w:pPr>
    </w:p>
    <w:p>
      <w:pPr>
        <w:pStyle w:val="Heading2"/>
        <w:keepNext/>
        <w:spacing w:after="160" w:before="280"/>
      </w:pPr>
      <w:bookmarkStart w:id="100016" w:name="_Toc100016"/>
      <w:r>
        <w:rPr>
          <w:rFonts w:ascii="Calibri" w:cs="Calibri" w:eastAsia="Calibri" w:hAnsi="Calibri"/>
          <w:b/>
          <w:bCs/>
          <w:color w:val="2D6A4F"/>
          <w:sz w:val="30"/>
          <w:szCs w:val="30"/>
        </w:rPr>
        <w:t xml:space="preserve">3.3 نظام الأدوار الوظيفية (accountRole)</w:t>
      </w:r>
      <w:bookmarkEnd w:id="100016"/>
    </w:p>
    <w:p>
      <w:pPr>
        <w:bidi/>
        <w:spacing w:after="120" w:line="312"/>
        <w:jc w:val="right"/>
      </w:pPr>
      <w:r>
        <w:rPr>
          <w:rFonts w:ascii="Calibri" w:cs="Calibri" w:eastAsia="Calibri" w:hAnsi="Calibri"/>
          <w:b w:val="false"/>
          <w:bCs w:val="false"/>
          <w:color w:val="1A1A2E"/>
          <w:sz w:val="22"/>
          <w:szCs w:val="22"/>
          <w:rtl/>
        </w:rPr>
        <w:t xml:space="preserve">كل حساب في الدليل يحمل دوراً وظيفياً يحدد أين وكيف يُستخدم في الشاشات. عندما تضيف حساباً جديداً بنفس الدور، يظهر تلقائياً في الشاشات ذات الصلة: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الدور الوظيفي</w:t>
            </w:r>
          </w:p>
        </w:tc>
        <w:tc>
          <w:tcPr>
            <w:tcW w:type="dxa" w:w="4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الأمثلة</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الشاشات المستخدمة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CASH</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 النقدية، 1130 الصندوق</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التحصيلات، المدفوعات، المصروفات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BANK</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1120 البنوك، 1121-1123 بنوك فرعية</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التحصيلات، المدفوعات، التحويلات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CUSTOMER_AR</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الفواتير، المستخلصات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SUPPLIER_AP</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 الموردين، 3220 المقاولين</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فواتير الموردين، المدفوعات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RENTAL_REVENUE</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6210 إيرادات التأجير، 6220 التوصيل</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فواتير التأجير</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PROJECT_REVENUE</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 إيرادات المشاريع</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المستخلصات، فواتير المبيعات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FUEL_EXPENSE</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7240 نقل، 7300 أخرى</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الوقود، المصروفات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MAINTENANCE_EXPENSE</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7220 صيانة</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صيانة المعدات، المصروفات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PAYROLL_EXPENSE</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 رواتب، 7120 عمالة</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الرواتب، مسير الرواتب</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FIXED_ASSET</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2110 معدات إنشائية، 2120 تأجير</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المعدات، الأصول الثابتة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VAT_INPUT</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1410 ضريبة مدخلات</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فواتير الموردين، المصروفات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VAT_OUTPUT</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 ضريبة مخرجات</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فواتير المبيعات، التأجير</w:t>
            </w:r>
          </w:p>
        </w:tc>
      </w:tr>
    </w:tbl>
    <w:p>
      <w:pPr>
        <w:spacing w:after="200"/>
      </w:pPr>
    </w:p>
    <w:p>
      <w:pPr>
        <w:pStyle w:val="Heading2"/>
        <w:keepNext/>
        <w:spacing w:after="160" w:before="280"/>
      </w:pPr>
      <w:bookmarkStart w:id="100017" w:name="_Toc100017"/>
      <w:r>
        <w:rPr>
          <w:rFonts w:ascii="Calibri" w:cs="Calibri" w:eastAsia="Calibri" w:hAnsi="Calibri"/>
          <w:b/>
          <w:bCs/>
          <w:color w:val="2D6A4F"/>
          <w:sz w:val="30"/>
          <w:szCs w:val="30"/>
        </w:rPr>
        <w:t xml:space="preserve">3.4 الاستعلام الديناميكي</w:t>
      </w:r>
      <w:bookmarkEnd w:id="100017"/>
    </w:p>
    <w:p>
      <w:pPr>
        <w:bidi/>
        <w:spacing w:after="120" w:line="312"/>
        <w:ind w:firstLine="420"/>
        <w:jc w:val="right"/>
      </w:pPr>
      <w:r>
        <w:rPr>
          <w:rFonts w:ascii="Calibri" w:cs="Calibri" w:eastAsia="Calibri" w:hAnsi="Calibri"/>
          <w:b w:val="false"/>
          <w:bCs w:val="false"/>
          <w:color w:val="1A1A2E"/>
          <w:sz w:val="22"/>
          <w:szCs w:val="22"/>
          <w:rtl/>
        </w:rPr>
        <w:t xml:space="preserve">بدلاً من ترميز أرقام الحسابات في الكود، تستعلم الشاشات الحسابات ديناميكياً عبر الدور الوظيفي. مثال:</w:t>
      </w:r>
    </w:p>
    <w:p>
      <w:pPr>
        <w:bidi/>
        <w:spacing w:after="120" w:line="312"/>
        <w:jc w:val="right"/>
      </w:pPr>
      <w:r>
        <w:rPr>
          <w:rFonts w:ascii="Calibri" w:cs="Calibri" w:eastAsia="Calibri" w:hAnsi="Calibri"/>
          <w:b/>
          <w:bCs/>
          <w:color w:val="1A1A2E"/>
          <w:sz w:val="22"/>
          <w:szCs w:val="22"/>
          <w:rtl/>
        </w:rPr>
        <w:t xml:space="preserve">عند إنشاء تحصيل جديد، الشاشة تستعلم:</w:t>
      </w:r>
    </w:p>
    <w:p>
      <w:pPr>
        <w:bidi/>
        <w:spacing w:after="120" w:line="312"/>
        <w:jc w:val="right"/>
      </w:pPr>
      <w:r>
        <w:rPr>
          <w:rFonts w:ascii="Calibri" w:cs="Calibri" w:eastAsia="Calibri" w:hAnsi="Calibri"/>
          <w:b w:val="false"/>
          <w:bCs w:val="false"/>
          <w:color w:val="1A1A2E"/>
          <w:sz w:val="22"/>
          <w:szCs w:val="22"/>
          <w:rtl/>
        </w:rPr>
        <w:t xml:space="preserve">SELECT * FROM Account WHERE accountRole IN ('CASH', 'BANK') AND allowPosting = true</w:t>
      </w:r>
    </w:p>
    <w:p>
      <w:pPr>
        <w:bidi/>
        <w:spacing w:after="120" w:line="312"/>
        <w:ind w:firstLine="420"/>
        <w:jc w:val="right"/>
      </w:pPr>
      <w:r>
        <w:rPr>
          <w:rFonts w:ascii="Calibri" w:cs="Calibri" w:eastAsia="Calibri" w:hAnsi="Calibri"/>
          <w:b w:val="false"/>
          <w:bCs w:val="false"/>
          <w:color w:val="1A1A2E"/>
          <w:sz w:val="22"/>
          <w:szCs w:val="22"/>
          <w:rtl/>
        </w:rPr>
        <w:t xml:space="preserve">وهكذا تظهر تلقائياً جميع حسابات النقدية والبنوك المتاحة، بغض النظر عن عدد الحسابات المضافة.</w:t>
      </w:r>
    </w:p>
    <w:p>
      <w:r>
        <w:br w:type="page"/>
      </w:r>
    </w:p>
    <w:p>
      <w:pPr>
        <w:pStyle w:val="Heading1"/>
        <w:keepNext/>
        <w:spacing w:after="200" w:before="360"/>
      </w:pPr>
      <w:bookmarkStart w:id="100018" w:name="_Toc100018"/>
      <w:r>
        <w:rPr>
          <w:rFonts w:ascii="Calibri" w:cs="Calibri" w:eastAsia="Calibri" w:hAnsi="Calibri"/>
          <w:b/>
          <w:bCs/>
          <w:color w:val="1B4332"/>
          <w:sz w:val="36"/>
          <w:szCs w:val="36"/>
        </w:rPr>
        <w:t xml:space="preserve">الفصل الرابع: الشاشات والوظائف التفصيلية</w:t>
      </w:r>
      <w:bookmarkEnd w:id="100018"/>
    </w:p>
    <w:p>
      <w:pPr>
        <w:bidi/>
        <w:spacing w:after="120" w:line="312"/>
        <w:ind w:firstLine="420"/>
        <w:jc w:val="right"/>
      </w:pPr>
      <w:r>
        <w:rPr>
          <w:rFonts w:ascii="Calibri" w:cs="Calibri" w:eastAsia="Calibri" w:hAnsi="Calibri"/>
          <w:b w:val="false"/>
          <w:bCs w:val="false"/>
          <w:color w:val="1A1A2E"/>
          <w:sz w:val="22"/>
          <w:szCs w:val="22"/>
          <w:rtl/>
        </w:rPr>
        <w:t xml:space="preserve">يحتوي النظام على 44 شاشة موزعة على 8 مجموعات رئيسية. كل شاشة متكاملة مع محرك المحاسبة وتعرض القيد المتوقع قبل الحفظ.</w:t>
      </w:r>
    </w:p>
    <w:p>
      <w:pPr>
        <w:pStyle w:val="Heading2"/>
        <w:keepNext/>
        <w:spacing w:after="160" w:before="280"/>
      </w:pPr>
      <w:bookmarkStart w:id="100019" w:name="_Toc100019"/>
      <w:r>
        <w:rPr>
          <w:rFonts w:ascii="Calibri" w:cs="Calibri" w:eastAsia="Calibri" w:hAnsi="Calibri"/>
          <w:b/>
          <w:bCs/>
          <w:color w:val="2D6A4F"/>
          <w:sz w:val="30"/>
          <w:szCs w:val="30"/>
        </w:rPr>
        <w:t xml:space="preserve">4.1 لوحة القيادة (Dashboard)</w:t>
      </w:r>
      <w:bookmarkEnd w:id="100019"/>
    </w:p>
    <w:p>
      <w:pPr>
        <w:pStyle w:val="Heading3"/>
        <w:keepNext/>
        <w:spacing w:after="120" w:before="200"/>
      </w:pPr>
      <w:bookmarkStart w:id="100020" w:name="_Toc100020"/>
      <w:r>
        <w:rPr>
          <w:rFonts w:ascii="Calibri" w:cs="Calibri" w:eastAsia="Calibri" w:hAnsi="Calibri"/>
          <w:b/>
          <w:bCs/>
          <w:color w:val="40916C"/>
          <w:sz w:val="26"/>
          <w:szCs w:val="26"/>
        </w:rPr>
        <w:t xml:space="preserve">الوظيفة</w:t>
      </w:r>
      <w:bookmarkEnd w:id="100020"/>
    </w:p>
    <w:p>
      <w:pPr>
        <w:bidi/>
        <w:spacing w:after="120" w:line="312"/>
        <w:ind w:firstLine="420"/>
        <w:jc w:val="right"/>
      </w:pPr>
      <w:r>
        <w:rPr>
          <w:rFonts w:ascii="Calibri" w:cs="Calibri" w:eastAsia="Calibri" w:hAnsi="Calibri"/>
          <w:b w:val="false"/>
          <w:bCs w:val="false"/>
          <w:color w:val="1A1A2E"/>
          <w:sz w:val="22"/>
          <w:szCs w:val="22"/>
          <w:rtl/>
        </w:rPr>
        <w:t xml:space="preserve">لوحة القيادة المركزية التي تعرض ملخصاً شاملاً لجميع عمليات النظام والأرقام المالية الرئيسية.</w:t>
      </w:r>
    </w:p>
    <w:p>
      <w:pPr>
        <w:pStyle w:val="Heading3"/>
        <w:keepNext/>
        <w:spacing w:after="120" w:before="200"/>
      </w:pPr>
      <w:bookmarkStart w:id="100021" w:name="_Toc100021"/>
      <w:r>
        <w:rPr>
          <w:rFonts w:ascii="Calibri" w:cs="Calibri" w:eastAsia="Calibri" w:hAnsi="Calibri"/>
          <w:b/>
          <w:bCs/>
          <w:color w:val="40916C"/>
          <w:sz w:val="26"/>
          <w:szCs w:val="26"/>
        </w:rPr>
        <w:t xml:space="preserve">المحتويات</w:t>
      </w:r>
      <w:bookmarkEnd w:id="100021"/>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بطاقات ملخص مالي: النقدية، الإيرادات، المصروفات، الأرباح الصافية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رسم بياني للإيرادات والمصروفات الشهرية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ملخص المشاريع النشطة مع نسب الإنجاز</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ملخص المعدات المتاحة والمؤجرة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المستحقات العملاء والموردين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آخر العمليات والقيود المحاسبية</w:t>
      </w:r>
    </w:p>
    <w:p>
      <w:pPr>
        <w:pStyle w:val="Heading3"/>
        <w:keepNext/>
        <w:spacing w:after="120" w:before="200"/>
      </w:pPr>
      <w:bookmarkStart w:id="100022" w:name="_Toc100022"/>
      <w:r>
        <w:rPr>
          <w:rFonts w:ascii="Calibri" w:cs="Calibri" w:eastAsia="Calibri" w:hAnsi="Calibri"/>
          <w:b/>
          <w:bCs/>
          <w:color w:val="40916C"/>
          <w:sz w:val="26"/>
          <w:szCs w:val="26"/>
        </w:rPr>
        <w:t xml:space="preserve">المصدر المحاسبي</w:t>
      </w:r>
      <w:bookmarkEnd w:id="100022"/>
    </w:p>
    <w:p>
      <w:pPr>
        <w:bidi/>
        <w:spacing w:after="120" w:line="312"/>
        <w:jc w:val="right"/>
      </w:pPr>
      <w:r>
        <w:rPr>
          <w:rFonts w:ascii="Calibri" w:cs="Calibri" w:eastAsia="Calibri" w:hAnsi="Calibri"/>
          <w:b/>
          <w:bCs/>
          <w:color w:val="C53030"/>
          <w:sz w:val="22"/>
          <w:szCs w:val="22"/>
          <w:rtl/>
        </w:rPr>
        <w:t xml:space="preserve">جميع الأرقام مشتقة من دفتر الأستاذ العام (GL) وليس من الجداول التشغيلية، مما يضمن الدقة المالية الكاملة.</w:t>
      </w:r>
    </w:p>
    <w:p>
      <w:r>
        <w:br w:type="page"/>
      </w:r>
    </w:p>
    <w:p>
      <w:pPr>
        <w:pStyle w:val="Heading2"/>
        <w:keepNext/>
        <w:spacing w:after="160" w:before="280"/>
      </w:pPr>
      <w:bookmarkStart w:id="100023" w:name="_Toc100023"/>
      <w:r>
        <w:rPr>
          <w:rFonts w:ascii="Calibri" w:cs="Calibri" w:eastAsia="Calibri" w:hAnsi="Calibri"/>
          <w:b/>
          <w:bCs/>
          <w:color w:val="2D6A4F"/>
          <w:sz w:val="30"/>
          <w:szCs w:val="30"/>
        </w:rPr>
        <w:t xml:space="preserve">4.2 مركز المشاريع الإنشائية</w:t>
      </w:r>
      <w:bookmarkEnd w:id="100023"/>
    </w:p>
    <w:p>
      <w:pPr>
        <w:pStyle w:val="Heading3"/>
        <w:keepNext/>
        <w:spacing w:after="120" w:before="200"/>
      </w:pPr>
      <w:bookmarkStart w:id="100024" w:name="_Toc100024"/>
      <w:r>
        <w:rPr>
          <w:rFonts w:ascii="Calibri" w:cs="Calibri" w:eastAsia="Calibri" w:hAnsi="Calibri"/>
          <w:b/>
          <w:bCs/>
          <w:color w:val="40916C"/>
          <w:sz w:val="26"/>
          <w:szCs w:val="26"/>
        </w:rPr>
        <w:t xml:space="preserve">4.2.1 شاشة المشاريع</w:t>
      </w:r>
      <w:bookmarkEnd w:id="100024"/>
    </w:p>
    <w:p>
      <w:pPr>
        <w:bidi/>
        <w:spacing w:after="120" w:line="312"/>
        <w:ind w:firstLine="420"/>
        <w:jc w:val="right"/>
      </w:pPr>
      <w:r>
        <w:rPr>
          <w:rFonts w:ascii="Calibri" w:cs="Calibri" w:eastAsia="Calibri" w:hAnsi="Calibri"/>
          <w:b w:val="false"/>
          <w:bCs w:val="false"/>
          <w:color w:val="1A1A2E"/>
          <w:sz w:val="22"/>
          <w:szCs w:val="22"/>
          <w:rtl/>
        </w:rPr>
        <w:t xml:space="preserve">إدارة المشاريع الإنشائية الكاملة مع تتبع التكاليف والإيرادات والربحية.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وتعديل مشاريع إنشائية مع ربطها بالعميل والفرع</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رمز المشروع، الاسم، العميل، نوع المشروع (إنشائي/تأجير)، قيمة العقد، الحالة، التفرع</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تخطيط ← نشط ← متوقف ← مكتمل ← ملغى</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الارتباطات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العقود، جدول الكميات، المستخلصات، المصروفات، فواتير البيع، المعدات، فرق العمل</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الربحية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الإيرادات - (مواد + عمالة + مقاولين فرعيين + معدات + وقود + صيانة + مصروفات + مشتريات)</w:t>
            </w:r>
          </w:p>
        </w:tc>
      </w:tr>
    </w:tbl>
    <w:p>
      <w:pPr>
        <w:spacing w:after="100"/>
      </w:pPr>
    </w:p>
    <w:p>
      <w:pPr>
        <w:pStyle w:val="Heading3"/>
        <w:keepNext/>
        <w:spacing w:after="120" w:before="200"/>
      </w:pPr>
      <w:bookmarkStart w:id="100025" w:name="_Toc100025"/>
      <w:r>
        <w:rPr>
          <w:rFonts w:ascii="Calibri" w:cs="Calibri" w:eastAsia="Calibri" w:hAnsi="Calibri"/>
          <w:b/>
          <w:bCs/>
          <w:color w:val="40916C"/>
          <w:sz w:val="26"/>
          <w:szCs w:val="26"/>
        </w:rPr>
        <w:t xml:space="preserve">4.2.2 شاشة العقود</w:t>
      </w:r>
      <w:bookmarkEnd w:id="100025"/>
    </w:p>
    <w:p>
      <w:pPr>
        <w:bidi/>
        <w:spacing w:after="120" w:line="312"/>
        <w:ind w:firstLine="420"/>
        <w:jc w:val="right"/>
      </w:pPr>
      <w:r>
        <w:rPr>
          <w:rFonts w:ascii="Calibri" w:cs="Calibri" w:eastAsia="Calibri" w:hAnsi="Calibri"/>
          <w:b w:val="false"/>
          <w:bCs w:val="false"/>
          <w:color w:val="1A1A2E"/>
          <w:sz w:val="22"/>
          <w:szCs w:val="22"/>
          <w:rtl/>
        </w:rPr>
        <w:t xml:space="preserve">إدارة عقود المشاريع مع شروط الدفع والضمانات.</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عقود مشاريع مع تفاصيل الشروط والضمانات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نوع العقد (مشروع/تأجير/خدمي)، القيمة، ضريبة القيمة المضافة، طريقة الفوترة، نسبة الدفعة المقدمة، نسبة المحتجزات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الضمانات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أداء، دفعة مقدمة، محتجزات، صيانة - مع المُصدِر والمستفيد والمبلغ والتواريخ</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الارتباطات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المشروع، أوامر التغيير، المستخلصات</w:t>
            </w:r>
          </w:p>
        </w:tc>
      </w:tr>
    </w:tbl>
    <w:p>
      <w:pPr>
        <w:spacing w:after="100"/>
      </w:pPr>
    </w:p>
    <w:p>
      <w:pPr>
        <w:pStyle w:val="Heading3"/>
        <w:keepNext/>
        <w:spacing w:after="120" w:before="200"/>
      </w:pPr>
      <w:bookmarkStart w:id="100026" w:name="_Toc100026"/>
      <w:r>
        <w:rPr>
          <w:rFonts w:ascii="Calibri" w:cs="Calibri" w:eastAsia="Calibri" w:hAnsi="Calibri"/>
          <w:b/>
          <w:bCs/>
          <w:color w:val="40916C"/>
          <w:sz w:val="26"/>
          <w:szCs w:val="26"/>
        </w:rPr>
        <w:t xml:space="preserve">4.2.3 شاشة جدول الكميات (BOQ)</w:t>
      </w:r>
      <w:bookmarkEnd w:id="100026"/>
    </w:p>
    <w:p>
      <w:pPr>
        <w:bidi/>
        <w:spacing w:after="120" w:line="312"/>
        <w:ind w:firstLine="420"/>
        <w:jc w:val="right"/>
      </w:pPr>
      <w:r>
        <w:rPr>
          <w:rFonts w:ascii="Calibri" w:cs="Calibri" w:eastAsia="Calibri" w:hAnsi="Calibri"/>
          <w:b w:val="false"/>
          <w:bCs w:val="false"/>
          <w:color w:val="1A1A2E"/>
          <w:sz w:val="22"/>
          <w:szCs w:val="22"/>
          <w:rtl/>
        </w:rPr>
        <w:t xml:space="preserve">تفصيل بنود الأعمال والكميات والأسعار لكل مشروع.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بنود تفصيلية: كود، وصف، وحدة، كمية، سعر الوحدة، الإجمالي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تصنيف البنود حسب الفئات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ربط كل بند بالمشروع والعقد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أساس حساب المستخلصات ونسب الإنجاز</w:t>
      </w:r>
    </w:p>
    <w:p>
      <w:pPr>
        <w:pStyle w:val="Heading3"/>
        <w:keepNext/>
        <w:spacing w:after="120" w:before="200"/>
      </w:pPr>
      <w:bookmarkStart w:id="100027" w:name="_Toc100027"/>
      <w:r>
        <w:rPr>
          <w:rFonts w:ascii="Calibri" w:cs="Calibri" w:eastAsia="Calibri" w:hAnsi="Calibri"/>
          <w:b/>
          <w:bCs/>
          <w:color w:val="40916C"/>
          <w:sz w:val="26"/>
          <w:szCs w:val="26"/>
        </w:rPr>
        <w:t xml:space="preserve">4.2.4 شاشة المستخلصات</w:t>
      </w:r>
      <w:bookmarkEnd w:id="100027"/>
    </w:p>
    <w:p>
      <w:pPr>
        <w:bidi/>
        <w:spacing w:after="120" w:line="312"/>
        <w:ind w:firstLine="420"/>
        <w:jc w:val="right"/>
      </w:pPr>
      <w:r>
        <w:rPr>
          <w:rFonts w:ascii="Calibri" w:cs="Calibri" w:eastAsia="Calibri" w:hAnsi="Calibri"/>
          <w:b w:val="false"/>
          <w:bCs w:val="false"/>
          <w:color w:val="1A1A2E"/>
          <w:sz w:val="22"/>
          <w:szCs w:val="22"/>
          <w:rtl/>
        </w:rPr>
        <w:t xml:space="preserve">إنشاء مستخلصات الدورية للمشاريع مع احتساب المحتجزات والضريبة.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مستخلصات دورية تعكس نسبة الإنجاز الفعلية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رقم المستخلص، النسبة المئوية، المبلغ، المحتجزات، الصافي، cumulative، الضريبة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مقدمة ← معتمدة ← مدفوعة جزئياً ← مدفوعة بالكامل ← مرفوضة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1210 العملاء | دائن: 6110 إيرادات المشاريع + 3110 ضريبة مخرجات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الشروط</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يتطلب: عميل + عقد + جدول كميات</w:t>
            </w:r>
          </w:p>
        </w:tc>
      </w:tr>
    </w:tbl>
    <w:p>
      <w:pPr>
        <w:spacing w:after="100"/>
      </w:pPr>
    </w:p>
    <w:p>
      <w:pPr>
        <w:pStyle w:val="Heading3"/>
        <w:keepNext/>
        <w:spacing w:after="120" w:before="200"/>
      </w:pPr>
      <w:bookmarkStart w:id="100028" w:name="_Toc100028"/>
      <w:r>
        <w:rPr>
          <w:rFonts w:ascii="Calibri" w:cs="Calibri" w:eastAsia="Calibri" w:hAnsi="Calibri"/>
          <w:b/>
          <w:bCs/>
          <w:color w:val="40916C"/>
          <w:sz w:val="26"/>
          <w:szCs w:val="26"/>
        </w:rPr>
        <w:t xml:space="preserve">4.2.5 شاشة فواتير المبيعات</w:t>
      </w:r>
      <w:bookmarkEnd w:id="100028"/>
    </w:p>
    <w:p>
      <w:pPr>
        <w:bidi/>
        <w:spacing w:after="120" w:line="312"/>
        <w:ind w:firstLine="420"/>
        <w:jc w:val="right"/>
      </w:pPr>
      <w:r>
        <w:rPr>
          <w:rFonts w:ascii="Calibri" w:cs="Calibri" w:eastAsia="Calibri" w:hAnsi="Calibri"/>
          <w:b w:val="false"/>
          <w:bCs w:val="false"/>
          <w:color w:val="1A1A2E"/>
          <w:sz w:val="22"/>
          <w:szCs w:val="22"/>
          <w:rtl/>
        </w:rPr>
        <w:t xml:space="preserve">إصدار فواتير مبيعات للمشاريع والتأجير والخدمات.</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أنواع الفواتير</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مستخلص، تأجير، خدمية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رقم الفاتورة، النوع، البنود، المجاميع، المدفوع، رمز ZATCA QR</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الضريبة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 ضريبة قيمة مضافة محسوبة تلقائياً</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ZATCA</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رمز QR يُنشأ تلقائياً بترميز TLV (اسم البائع، الرقم الضريبي، التاريخ، المبالغ)</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بالحروف</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تحويل تلقائي للأرقام إلى حروف بالعربية والإنجليزية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1210 العملاء | دائن: 6110/6210/6340 الإيرادات + 3110 ضريبة مخرجات</w:t>
            </w:r>
          </w:p>
        </w:tc>
      </w:tr>
    </w:tbl>
    <w:p>
      <w:pPr>
        <w:spacing w:after="100"/>
      </w:pPr>
    </w:p>
    <w:p>
      <w:pPr>
        <w:pStyle w:val="Heading3"/>
        <w:keepNext/>
        <w:spacing w:after="120" w:before="200"/>
      </w:pPr>
      <w:bookmarkStart w:id="100029" w:name="_Toc100029"/>
      <w:r>
        <w:rPr>
          <w:rFonts w:ascii="Calibri" w:cs="Calibri" w:eastAsia="Calibri" w:hAnsi="Calibri"/>
          <w:b/>
          <w:bCs/>
          <w:color w:val="40916C"/>
          <w:sz w:val="26"/>
          <w:szCs w:val="26"/>
        </w:rPr>
        <w:t xml:space="preserve">4.2.6 شاشة تحصيلات العملاء</w:t>
      </w:r>
      <w:bookmarkEnd w:id="100029"/>
    </w:p>
    <w:p>
      <w:pPr>
        <w:bidi/>
        <w:spacing w:after="120" w:line="312"/>
        <w:ind w:firstLine="420"/>
        <w:jc w:val="right"/>
      </w:pPr>
      <w:r>
        <w:rPr>
          <w:rFonts w:ascii="Calibri" w:cs="Calibri" w:eastAsia="Calibri" w:hAnsi="Calibri"/>
          <w:b w:val="false"/>
          <w:bCs w:val="false"/>
          <w:color w:val="1A1A2E"/>
          <w:sz w:val="22"/>
          <w:szCs w:val="22"/>
          <w:rtl/>
        </w:rPr>
        <w:t xml:space="preserve">تسجيل تحصيلات العملاء مع ربطها بالحسابات البنكية أو النقدية.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المدفوعات الواردة من العملاء</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اختيار الحساب</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ديناميكي من دليل الحسابات (CASH أو BANK) بدلاً من أزرار ثابتة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نوع الدفع</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عميل (مشروع) أو تأجير</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1110/1120 النقدية/البنك | دائن: 1210 العملاء</w:t>
            </w:r>
          </w:p>
        </w:tc>
      </w:tr>
    </w:tbl>
    <w:p>
      <w:pPr>
        <w:spacing w:after="100"/>
      </w:pPr>
    </w:p>
    <w:p>
      <w:r>
        <w:br w:type="page"/>
      </w:r>
    </w:p>
    <w:p>
      <w:pPr>
        <w:pStyle w:val="Heading2"/>
        <w:keepNext/>
        <w:spacing w:after="160" w:before="280"/>
      </w:pPr>
      <w:bookmarkStart w:id="100030" w:name="_Toc100030"/>
      <w:r>
        <w:rPr>
          <w:rFonts w:ascii="Calibri" w:cs="Calibri" w:eastAsia="Calibri" w:hAnsi="Calibri"/>
          <w:b/>
          <w:bCs/>
          <w:color w:val="2D6A4F"/>
          <w:sz w:val="30"/>
          <w:szCs w:val="30"/>
        </w:rPr>
        <w:t xml:space="preserve">4.3 مركز تأجير المعدات</w:t>
      </w:r>
      <w:bookmarkEnd w:id="100030"/>
    </w:p>
    <w:p>
      <w:pPr>
        <w:pStyle w:val="Heading3"/>
        <w:keepNext/>
        <w:spacing w:after="120" w:before="200"/>
      </w:pPr>
      <w:bookmarkStart w:id="100031" w:name="_Toc100031"/>
      <w:r>
        <w:rPr>
          <w:rFonts w:ascii="Calibri" w:cs="Calibri" w:eastAsia="Calibri" w:hAnsi="Calibri"/>
          <w:b/>
          <w:bCs/>
          <w:color w:val="40916C"/>
          <w:sz w:val="26"/>
          <w:szCs w:val="26"/>
        </w:rPr>
        <w:t xml:space="preserve">4.3.1 شاشة المعدات</w:t>
      </w:r>
      <w:bookmarkEnd w:id="100031"/>
    </w:p>
    <w:p>
      <w:pPr>
        <w:bidi/>
        <w:spacing w:after="120" w:line="312"/>
        <w:ind w:firstLine="420"/>
        <w:jc w:val="right"/>
      </w:pPr>
      <w:r>
        <w:rPr>
          <w:rFonts w:ascii="Calibri" w:cs="Calibri" w:eastAsia="Calibri" w:hAnsi="Calibri"/>
          <w:b w:val="false"/>
          <w:bCs w:val="false"/>
          <w:color w:val="1A1A2E"/>
          <w:sz w:val="22"/>
          <w:szCs w:val="22"/>
          <w:rtl/>
        </w:rPr>
        <w:t xml:space="preserve">إدارة سجل المعدات الكامل مع الارتباط المحاسبي.</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إدارة سجل المعدات الأساسي والتشغيلي والمحاسبي</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رمز المعدة، نوع الملكية، المعدلات (ساعي/يومي/شهري)، سعر الشراء، العمر الإنتاجي</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أنواع الملكية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ملكية الشركة، مؤجرة من طرف ثالث، مشتراة، عقد إيجار، ملك العميل</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 التشغيلية</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متاحة، قيد الاستخدام، صيانة، خارج الخدمة، مؤجرة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الحسابات المرتبطة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الأصل (2110/2120)، مصروف الإهلاك، مجمع الإهلاك - كلها من دليل الحسابات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عند الشراء</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2110/2120 الأصل | دائن: 1110/1120 النقدية أو 3210 الموردين</w:t>
            </w:r>
          </w:p>
        </w:tc>
      </w:tr>
    </w:tbl>
    <w:p>
      <w:pPr>
        <w:spacing w:after="100"/>
      </w:pPr>
    </w:p>
    <w:p>
      <w:pPr>
        <w:pStyle w:val="Heading3"/>
        <w:keepNext/>
        <w:spacing w:after="120" w:before="200"/>
      </w:pPr>
      <w:bookmarkStart w:id="100032" w:name="_Toc100032"/>
      <w:r>
        <w:rPr>
          <w:rFonts w:ascii="Calibri" w:cs="Calibri" w:eastAsia="Calibri" w:hAnsi="Calibri"/>
          <w:b/>
          <w:bCs/>
          <w:color w:val="40916C"/>
          <w:sz w:val="26"/>
          <w:szCs w:val="26"/>
        </w:rPr>
        <w:t xml:space="preserve">4.3.2 شاشة عقود التأجير</w:t>
      </w:r>
      <w:bookmarkEnd w:id="100032"/>
    </w:p>
    <w:p>
      <w:pPr>
        <w:bidi/>
        <w:spacing w:after="120" w:line="312"/>
        <w:ind w:firstLine="420"/>
        <w:jc w:val="right"/>
      </w:pPr>
      <w:r>
        <w:rPr>
          <w:rFonts w:ascii="Calibri" w:cs="Calibri" w:eastAsia="Calibri" w:hAnsi="Calibri"/>
          <w:b w:val="false"/>
          <w:bCs w:val="false"/>
          <w:color w:val="1A1A2E"/>
          <w:sz w:val="22"/>
          <w:szCs w:val="22"/>
          <w:rtl/>
        </w:rPr>
        <w:t xml:space="preserve">إدارة عقود تأجير المعدات للعملاء.</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نوع التسعير: ساعي / يومي / شهري / مقطوع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معدل مرجعي وساعات مرجعية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موقع العمل والمدينة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رسوم التوصيل (نوع ومبلغ)</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نوع التشغيل: بدون سائق / مع سائق / مع طاقم</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مسؤولية الوقود والتأمين</w:t>
      </w:r>
    </w:p>
    <w:p>
      <w:pPr>
        <w:pStyle w:val="Heading3"/>
        <w:keepNext/>
        <w:spacing w:after="120" w:before="200"/>
      </w:pPr>
      <w:bookmarkStart w:id="100033" w:name="_Toc100033"/>
      <w:r>
        <w:rPr>
          <w:rFonts w:ascii="Calibri" w:cs="Calibri" w:eastAsia="Calibri" w:hAnsi="Calibri"/>
          <w:b/>
          <w:bCs/>
          <w:color w:val="40916C"/>
          <w:sz w:val="26"/>
          <w:szCs w:val="26"/>
        </w:rPr>
        <w:t xml:space="preserve">4.3.3 شاشة أوامر التوصيل</w:t>
      </w:r>
      <w:bookmarkEnd w:id="100033"/>
    </w:p>
    <w:p>
      <w:pPr>
        <w:bidi/>
        <w:spacing w:after="120" w:line="312"/>
        <w:ind w:firstLine="420"/>
        <w:jc w:val="right"/>
      </w:pPr>
      <w:r>
        <w:rPr>
          <w:rFonts w:ascii="Calibri" w:cs="Calibri" w:eastAsia="Calibri" w:hAnsi="Calibri"/>
          <w:b w:val="false"/>
          <w:bCs w:val="false"/>
          <w:color w:val="1A1A2E"/>
          <w:sz w:val="22"/>
          <w:szCs w:val="22"/>
          <w:rtl/>
        </w:rPr>
        <w:t xml:space="preserve">إدارة أوامر توصيل المعدات للمواقع.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رقم الأمر، عقد التأجير، الموقع، تاريخ التوصيل والإرجاع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الحالات: قيد الانتظار ← تم التوصيل ← تم الإرجاع ← ملغى</w:t>
      </w:r>
    </w:p>
    <w:p>
      <w:pPr>
        <w:pStyle w:val="Heading3"/>
        <w:keepNext/>
        <w:spacing w:after="120" w:before="200"/>
      </w:pPr>
      <w:bookmarkStart w:id="100034" w:name="_Toc100034"/>
      <w:r>
        <w:rPr>
          <w:rFonts w:ascii="Calibri" w:cs="Calibri" w:eastAsia="Calibri" w:hAnsi="Calibri"/>
          <w:b/>
          <w:bCs/>
          <w:color w:val="40916C"/>
          <w:sz w:val="26"/>
          <w:szCs w:val="26"/>
        </w:rPr>
        <w:t xml:space="preserve">4.3.4 شاشة سجلات الساعات (Timesheets)</w:t>
      </w:r>
      <w:bookmarkEnd w:id="100034"/>
    </w:p>
    <w:p>
      <w:pPr>
        <w:bidi/>
        <w:spacing w:after="120" w:line="312"/>
        <w:ind w:firstLine="420"/>
        <w:jc w:val="right"/>
      </w:pPr>
      <w:r>
        <w:rPr>
          <w:rFonts w:ascii="Calibri" w:cs="Calibri" w:eastAsia="Calibri" w:hAnsi="Calibri"/>
          <w:b w:val="false"/>
          <w:bCs w:val="false"/>
          <w:color w:val="1A1A2E"/>
          <w:sz w:val="22"/>
          <w:szCs w:val="22"/>
          <w:rtl/>
        </w:rPr>
        <w:t xml:space="preserve">تسجيل ساعات عمل المعدات المؤجرة شهرياً.</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ساعات التشغيل الفعلية لكل معدة مؤجرة شهرياً</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التأجير، الشهر/السنة، ساعات التشغيل، الحالة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مقدمة ← معتمدة ← مفوترة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الارتباط</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أساس إصدار فاتورة التأجير - لا فاتورة بدون سجل ساعات معتمد</w:t>
            </w:r>
          </w:p>
        </w:tc>
      </w:tr>
    </w:tbl>
    <w:p>
      <w:pPr>
        <w:spacing w:after="100"/>
      </w:pPr>
    </w:p>
    <w:p>
      <w:pPr>
        <w:pStyle w:val="Heading3"/>
        <w:keepNext/>
        <w:spacing w:after="120" w:before="200"/>
      </w:pPr>
      <w:bookmarkStart w:id="100035" w:name="_Toc100035"/>
      <w:r>
        <w:rPr>
          <w:rFonts w:ascii="Calibri" w:cs="Calibri" w:eastAsia="Calibri" w:hAnsi="Calibri"/>
          <w:b/>
          <w:bCs/>
          <w:color w:val="40916C"/>
          <w:sz w:val="26"/>
          <w:szCs w:val="26"/>
        </w:rPr>
        <w:t xml:space="preserve">4.3.5 شاشة فواتير التأجير</w:t>
      </w:r>
      <w:bookmarkEnd w:id="100035"/>
    </w:p>
    <w:p>
      <w:pPr>
        <w:bidi/>
        <w:spacing w:after="120" w:line="312"/>
        <w:ind w:firstLine="420"/>
        <w:jc w:val="right"/>
      </w:pPr>
      <w:r>
        <w:rPr>
          <w:rFonts w:ascii="Calibri" w:cs="Calibri" w:eastAsia="Calibri" w:hAnsi="Calibri"/>
          <w:b w:val="false"/>
          <w:bCs w:val="false"/>
          <w:color w:val="1A1A2E"/>
          <w:sz w:val="22"/>
          <w:szCs w:val="22"/>
          <w:rtl/>
        </w:rPr>
        <w:t xml:space="preserve">إصدار فواتير تأجير المعدات بناءً على سجلات الساعات المعتمدة.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إصدار فواتير تأجير تلقائياً من سجلات الساعات المعتمدة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الحسابات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التأجير (6210)، إيرادات التوصيل (6220)، إيرادات أخرى (6230) - من دليل الحسابات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1210 العملاء | دائن: 6210 إيرادات التأجير + 3110 ضريبة مخرجات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مع رسوم التوصيل</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1210 العملاء | دائن: 6220 إيرادات التوصيل + 3110 ضريبة مخرجات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الشرط</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يتطلب: عقد تأجير + أمر توصيل + سجل ساعات معتمد</w:t>
            </w:r>
          </w:p>
        </w:tc>
      </w:tr>
    </w:tbl>
    <w:p>
      <w:pPr>
        <w:spacing w:after="100"/>
      </w:pPr>
    </w:p>
    <w:p>
      <w:pPr>
        <w:pStyle w:val="Heading3"/>
        <w:keepNext/>
        <w:spacing w:after="120" w:before="200"/>
      </w:pPr>
      <w:bookmarkStart w:id="100036" w:name="_Toc100036"/>
      <w:r>
        <w:rPr>
          <w:rFonts w:ascii="Calibri" w:cs="Calibri" w:eastAsia="Calibri" w:hAnsi="Calibri"/>
          <w:b/>
          <w:bCs/>
          <w:color w:val="40916C"/>
          <w:sz w:val="26"/>
          <w:szCs w:val="26"/>
        </w:rPr>
        <w:t xml:space="preserve">4.3.6 شاشة تحصيلات التأجير</w:t>
      </w:r>
      <w:bookmarkEnd w:id="100036"/>
    </w:p>
    <w:p>
      <w:pPr>
        <w:bidi/>
        <w:spacing w:after="120" w:line="312"/>
        <w:ind w:firstLine="420"/>
        <w:jc w:val="right"/>
      </w:pPr>
      <w:r>
        <w:rPr>
          <w:rFonts w:ascii="Calibri" w:cs="Calibri" w:eastAsia="Calibri" w:hAnsi="Calibri"/>
          <w:b w:val="false"/>
          <w:bCs w:val="false"/>
          <w:color w:val="1A1A2E"/>
          <w:sz w:val="22"/>
          <w:szCs w:val="22"/>
          <w:rtl/>
        </w:rPr>
        <w:t xml:space="preserve">تسجيل تحصيلات فواتير التأجير.</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اختيار حساب الاستلام ديناميكياً من دليل الحسابات (CASH/BANK)</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القيد: مدين: 1110/1120 | دائن: 1210 العملاء</w:t>
      </w:r>
    </w:p>
    <w:p>
      <w:r>
        <w:br w:type="page"/>
      </w:r>
    </w:p>
    <w:p>
      <w:pPr>
        <w:pStyle w:val="Heading2"/>
        <w:keepNext/>
        <w:spacing w:after="160" w:before="280"/>
      </w:pPr>
      <w:bookmarkStart w:id="100037" w:name="_Toc100037"/>
      <w:r>
        <w:rPr>
          <w:rFonts w:ascii="Calibri" w:cs="Calibri" w:eastAsia="Calibri" w:hAnsi="Calibri"/>
          <w:b/>
          <w:bCs/>
          <w:color w:val="2D6A4F"/>
          <w:sz w:val="30"/>
          <w:szCs w:val="30"/>
        </w:rPr>
        <w:t xml:space="preserve">4.4 الموارد البشرية</w:t>
      </w:r>
      <w:bookmarkEnd w:id="100037"/>
    </w:p>
    <w:p>
      <w:pPr>
        <w:pStyle w:val="Heading3"/>
        <w:keepNext/>
        <w:spacing w:after="120" w:before="200"/>
      </w:pPr>
      <w:bookmarkStart w:id="100038" w:name="_Toc100038"/>
      <w:r>
        <w:rPr>
          <w:rFonts w:ascii="Calibri" w:cs="Calibri" w:eastAsia="Calibri" w:hAnsi="Calibri"/>
          <w:b/>
          <w:bCs/>
          <w:color w:val="40916C"/>
          <w:sz w:val="26"/>
          <w:szCs w:val="26"/>
        </w:rPr>
        <w:t xml:space="preserve">4.4.1 شاشة الموظفين</w:t>
      </w:r>
      <w:bookmarkEnd w:id="100038"/>
    </w:p>
    <w:p>
      <w:pPr>
        <w:bidi/>
        <w:spacing w:after="120" w:line="312"/>
        <w:ind w:firstLine="420"/>
        <w:jc w:val="right"/>
      </w:pPr>
      <w:r>
        <w:rPr>
          <w:rFonts w:ascii="Calibri" w:cs="Calibri" w:eastAsia="Calibri" w:hAnsi="Calibri"/>
          <w:b w:val="false"/>
          <w:bCs w:val="false"/>
          <w:color w:val="1A1A2E"/>
          <w:sz w:val="22"/>
          <w:szCs w:val="22"/>
          <w:rtl/>
        </w:rPr>
        <w:t xml:space="preserve">إدارة البيانات الأساسية للموظفين.</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 الأساسية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رمز الموظف، الاسم، الفرع، المشروع، الحالة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بيانات الراتب</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الراتب الأساسي، النوع (شهري/ساعي)، بدل السكن، بدل المواصلات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التأمينات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خاضع لظام التأمينات، نسبة التأمينات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نشط ← إجازة ← منتهية خدمة ← مستقيل</w:t>
            </w:r>
          </w:p>
        </w:tc>
      </w:tr>
    </w:tbl>
    <w:p>
      <w:pPr>
        <w:spacing w:after="100"/>
      </w:pPr>
    </w:p>
    <w:p>
      <w:pPr>
        <w:pStyle w:val="Heading3"/>
        <w:keepNext/>
        <w:spacing w:after="120" w:before="200"/>
      </w:pPr>
      <w:bookmarkStart w:id="100039" w:name="_Toc100039"/>
      <w:r>
        <w:rPr>
          <w:rFonts w:ascii="Calibri" w:cs="Calibri" w:eastAsia="Calibri" w:hAnsi="Calibri"/>
          <w:b/>
          <w:bCs/>
          <w:color w:val="40916C"/>
          <w:sz w:val="26"/>
          <w:szCs w:val="26"/>
        </w:rPr>
        <w:t xml:space="preserve">4.4.2 شاشة عقود الموظفين</w:t>
      </w:r>
      <w:bookmarkEnd w:id="100039"/>
    </w:p>
    <w:p>
      <w:pPr>
        <w:bidi/>
        <w:spacing w:after="120" w:line="312"/>
        <w:ind w:firstLine="420"/>
        <w:jc w:val="right"/>
      </w:pPr>
      <w:r>
        <w:rPr>
          <w:rFonts w:ascii="Calibri" w:cs="Calibri" w:eastAsia="Calibri" w:hAnsi="Calibri"/>
          <w:b w:val="false"/>
          <w:bCs w:val="false"/>
          <w:color w:val="1A1A2E"/>
          <w:sz w:val="22"/>
          <w:szCs w:val="22"/>
          <w:rtl/>
        </w:rPr>
        <w:t xml:space="preserve">إدارة عقود العمل للموظفين مع تفاصيل الرواتب والبدلات.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تاريخ البداية والنهاية، الراتب + البدلات</w:t>
      </w:r>
    </w:p>
    <w:p>
      <w:pPr>
        <w:pStyle w:val="Heading3"/>
        <w:keepNext/>
        <w:spacing w:after="120" w:before="200"/>
      </w:pPr>
      <w:bookmarkStart w:id="100040" w:name="_Toc100040"/>
      <w:r>
        <w:rPr>
          <w:rFonts w:ascii="Calibri" w:cs="Calibri" w:eastAsia="Calibri" w:hAnsi="Calibri"/>
          <w:b/>
          <w:bCs/>
          <w:color w:val="40916C"/>
          <w:sz w:val="26"/>
          <w:szCs w:val="26"/>
        </w:rPr>
        <w:t xml:space="preserve">4.4.3 شاشة الحضور والانصراف</w:t>
      </w:r>
      <w:bookmarkEnd w:id="100040"/>
    </w:p>
    <w:p>
      <w:pPr>
        <w:bidi/>
        <w:spacing w:after="120" w:line="312"/>
        <w:ind w:firstLine="420"/>
        <w:jc w:val="right"/>
      </w:pPr>
      <w:r>
        <w:rPr>
          <w:rFonts w:ascii="Calibri" w:cs="Calibri" w:eastAsia="Calibri" w:hAnsi="Calibri"/>
          <w:b w:val="false"/>
          <w:bCs w:val="false"/>
          <w:color w:val="1A1A2E"/>
          <w:sz w:val="22"/>
          <w:szCs w:val="22"/>
          <w:rtl/>
        </w:rPr>
        <w:t xml:space="preserve">تسجيل الحضور اليومي للموظفين.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وقت الحضور والانصراف، ساعات العمل، ساعات إضافية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الحالات: حاضر، غائب، إجازة، عطلة</w:t>
      </w:r>
    </w:p>
    <w:p>
      <w:pPr>
        <w:pStyle w:val="Heading3"/>
        <w:keepNext/>
        <w:spacing w:after="120" w:before="200"/>
      </w:pPr>
      <w:bookmarkStart w:id="100041" w:name="_Toc100041"/>
      <w:r>
        <w:rPr>
          <w:rFonts w:ascii="Calibri" w:cs="Calibri" w:eastAsia="Calibri" w:hAnsi="Calibri"/>
          <w:b/>
          <w:bCs/>
          <w:color w:val="40916C"/>
          <w:sz w:val="26"/>
          <w:szCs w:val="26"/>
        </w:rPr>
        <w:t xml:space="preserve">4.4.4 شاشة الرواتب</w:t>
      </w:r>
      <w:bookmarkEnd w:id="100041"/>
    </w:p>
    <w:p>
      <w:pPr>
        <w:bidi/>
        <w:spacing w:after="120" w:line="312"/>
        <w:ind w:firstLine="420"/>
        <w:jc w:val="right"/>
      </w:pPr>
      <w:r>
        <w:rPr>
          <w:rFonts w:ascii="Calibri" w:cs="Calibri" w:eastAsia="Calibri" w:hAnsi="Calibri"/>
          <w:b w:val="false"/>
          <w:bCs w:val="false"/>
          <w:color w:val="1A1A2E"/>
          <w:sz w:val="22"/>
          <w:szCs w:val="22"/>
          <w:rtl/>
        </w:rPr>
        <w:t xml:space="preserve">عرض وإدارة سجلات الرواتب الشهرية الفردية.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الشهر/السنة، جميع مكونات الراتب، خصم السلف، خصم الغياب، خصم التأمينات، الصافي</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نوع النشاط</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تنفيذي، تأجيري، عام - يحدد الحساب المحاسبي</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8110 رواتب | دائن: 3310 مستحق الرواتب + 3830 مستحق التأمينات + 1110/1120 نقدي/بنك</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معتمدة ← مدفوعة</w:t>
            </w:r>
          </w:p>
        </w:tc>
      </w:tr>
    </w:tbl>
    <w:p>
      <w:pPr>
        <w:spacing w:after="100"/>
      </w:pPr>
    </w:p>
    <w:p>
      <w:pPr>
        <w:pStyle w:val="Heading3"/>
        <w:keepNext/>
        <w:spacing w:after="120" w:before="200"/>
      </w:pPr>
      <w:bookmarkStart w:id="100042" w:name="_Toc100042"/>
      <w:r>
        <w:rPr>
          <w:rFonts w:ascii="Calibri" w:cs="Calibri" w:eastAsia="Calibri" w:hAnsi="Calibri"/>
          <w:b/>
          <w:bCs/>
          <w:color w:val="40916C"/>
          <w:sz w:val="26"/>
          <w:szCs w:val="26"/>
        </w:rPr>
        <w:t xml:space="preserve">4.4.5 شاشة مسير الرواتب (Payroll Runs)</w:t>
      </w:r>
      <w:bookmarkEnd w:id="100042"/>
    </w:p>
    <w:p>
      <w:pPr>
        <w:bidi/>
        <w:spacing w:after="120" w:line="312"/>
        <w:ind w:firstLine="420"/>
        <w:jc w:val="right"/>
      </w:pPr>
      <w:r>
        <w:rPr>
          <w:rFonts w:ascii="Calibri" w:cs="Calibri" w:eastAsia="Calibri" w:hAnsi="Calibri"/>
          <w:b w:val="false"/>
          <w:bCs w:val="false"/>
          <w:color w:val="1A1A2E"/>
          <w:sz w:val="22"/>
          <w:szCs w:val="22"/>
          <w:rtl/>
        </w:rPr>
        <w:t xml:space="preserve">تشغيل مسير رواتب شهري شامل لجميع الموظفين.</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تشغيل مسير رواتب دفعة واحدة لشهر كامل</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الشهر/السنة، الحالة، الإجمالي، الصافي</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البنود</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سطر لكل موظف يشمل جميع مكونات الراتب</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الدفع</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اختيار حساب البنك ديناميكياً من دليل الحسابات (BANK)</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مدفوعة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المتوقع</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8110 رواتب + 8210 تأمينات | دائن: 3310 مستحق الرواتب + 3830 تأمينات + بنك</w:t>
            </w:r>
          </w:p>
        </w:tc>
      </w:tr>
    </w:tbl>
    <w:p>
      <w:pPr>
        <w:spacing w:after="100"/>
      </w:pPr>
    </w:p>
    <w:p>
      <w:pPr>
        <w:pStyle w:val="Heading3"/>
        <w:keepNext/>
        <w:spacing w:after="120" w:before="200"/>
      </w:pPr>
      <w:bookmarkStart w:id="100043" w:name="_Toc100043"/>
      <w:r>
        <w:rPr>
          <w:rFonts w:ascii="Calibri" w:cs="Calibri" w:eastAsia="Calibri" w:hAnsi="Calibri"/>
          <w:b/>
          <w:bCs/>
          <w:color w:val="40916C"/>
          <w:sz w:val="26"/>
          <w:szCs w:val="26"/>
        </w:rPr>
        <w:t xml:space="preserve">4.4.6 شاشة فرق العمل</w:t>
      </w:r>
      <w:bookmarkEnd w:id="100043"/>
    </w:p>
    <w:p>
      <w:pPr>
        <w:bidi/>
        <w:spacing w:after="120" w:line="312"/>
        <w:ind w:firstLine="420"/>
        <w:jc w:val="right"/>
      </w:pPr>
      <w:r>
        <w:rPr>
          <w:rFonts w:ascii="Calibri" w:cs="Calibri" w:eastAsia="Calibri" w:hAnsi="Calibri"/>
          <w:b w:val="false"/>
          <w:bCs w:val="false"/>
          <w:color w:val="1A1A2E"/>
          <w:sz w:val="22"/>
          <w:szCs w:val="22"/>
          <w:rtl/>
        </w:rPr>
        <w:t xml:space="preserve">إدارة فرق العمل مع تخصيص الأعضاء والمهام.</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رمز الفريق، التخصص، المشروع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أعضاء الفريق: الموظف، الدور، القائد</w:t>
      </w:r>
    </w:p>
    <w:p>
      <w:pPr>
        <w:pStyle w:val="Heading3"/>
        <w:keepNext/>
        <w:spacing w:after="120" w:before="200"/>
      </w:pPr>
      <w:bookmarkStart w:id="100044" w:name="_Toc100044"/>
      <w:r>
        <w:rPr>
          <w:rFonts w:ascii="Calibri" w:cs="Calibri" w:eastAsia="Calibri" w:hAnsi="Calibri"/>
          <w:b/>
          <w:bCs/>
          <w:color w:val="40916C"/>
          <w:sz w:val="26"/>
          <w:szCs w:val="26"/>
        </w:rPr>
        <w:t xml:space="preserve">4.4.7 شاشة توزيع الموارد</w:t>
      </w:r>
      <w:bookmarkEnd w:id="100044"/>
    </w:p>
    <w:p>
      <w:pPr>
        <w:bidi/>
        <w:spacing w:after="120" w:line="312"/>
        <w:ind w:firstLine="420"/>
        <w:jc w:val="right"/>
      </w:pPr>
      <w:r>
        <w:rPr>
          <w:rFonts w:ascii="Calibri" w:cs="Calibri" w:eastAsia="Calibri" w:hAnsi="Calibri"/>
          <w:b w:val="false"/>
          <w:bCs w:val="false"/>
          <w:color w:val="1A1A2E"/>
          <w:sz w:val="22"/>
          <w:szCs w:val="22"/>
          <w:rtl/>
        </w:rPr>
        <w:t xml:space="preserve">توزيع الموارد البشرية والمعدات على المشاريع.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نوع المورد: موظف / فريق / معدة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تواريخ البداية والنهاية</w:t>
      </w:r>
    </w:p>
    <w:p>
      <w:r>
        <w:br w:type="page"/>
      </w:r>
    </w:p>
    <w:p>
      <w:pPr>
        <w:pStyle w:val="Heading2"/>
        <w:keepNext/>
        <w:spacing w:after="160" w:before="280"/>
      </w:pPr>
      <w:bookmarkStart w:id="100045" w:name="_Toc100045"/>
      <w:r>
        <w:rPr>
          <w:rFonts w:ascii="Calibri" w:cs="Calibri" w:eastAsia="Calibri" w:hAnsi="Calibri"/>
          <w:b/>
          <w:bCs/>
          <w:color w:val="2D6A4F"/>
          <w:sz w:val="30"/>
          <w:szCs w:val="30"/>
        </w:rPr>
        <w:t xml:space="preserve">4.5 سلسلة التوريد</w:t>
      </w:r>
      <w:bookmarkEnd w:id="100045"/>
    </w:p>
    <w:p>
      <w:pPr>
        <w:pStyle w:val="Heading3"/>
        <w:keepNext/>
        <w:spacing w:after="120" w:before="200"/>
      </w:pPr>
      <w:bookmarkStart w:id="100046" w:name="_Toc100046"/>
      <w:r>
        <w:rPr>
          <w:rFonts w:ascii="Calibri" w:cs="Calibri" w:eastAsia="Calibri" w:hAnsi="Calibri"/>
          <w:b/>
          <w:bCs/>
          <w:color w:val="40916C"/>
          <w:sz w:val="26"/>
          <w:szCs w:val="26"/>
        </w:rPr>
        <w:t xml:space="preserve">4.5.1 شاشة طلبات الشراء</w:t>
      </w:r>
      <w:bookmarkEnd w:id="100046"/>
    </w:p>
    <w:p>
      <w:pPr>
        <w:bidi/>
        <w:spacing w:after="120" w:line="312"/>
        <w:ind w:firstLine="420"/>
        <w:jc w:val="right"/>
      </w:pPr>
      <w:r>
        <w:rPr>
          <w:rFonts w:ascii="Calibri" w:cs="Calibri" w:eastAsia="Calibri" w:hAnsi="Calibri"/>
          <w:b w:val="false"/>
          <w:bCs w:val="false"/>
          <w:color w:val="1A1A2E"/>
          <w:sz w:val="22"/>
          <w:szCs w:val="22"/>
          <w:rtl/>
        </w:rPr>
        <w:t xml:space="preserve">إنشاء طلبات شراء جديدة من الأقسام المختلفة.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طلبات شراء تخضع لسير عمل الموافقة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المصدر</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مشروع، مخزون، ورشة، إدارة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البنود</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وصف، كمية، وحدة لكل بند</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جديد ← معتمد ← محول لأمر شراء ← ملغى</w:t>
            </w:r>
          </w:p>
        </w:tc>
      </w:tr>
    </w:tbl>
    <w:p>
      <w:pPr>
        <w:spacing w:after="100"/>
      </w:pPr>
    </w:p>
    <w:p>
      <w:pPr>
        <w:pStyle w:val="Heading3"/>
        <w:keepNext/>
        <w:spacing w:after="120" w:before="200"/>
      </w:pPr>
      <w:bookmarkStart w:id="100047" w:name="_Toc100047"/>
      <w:r>
        <w:rPr>
          <w:rFonts w:ascii="Calibri" w:cs="Calibri" w:eastAsia="Calibri" w:hAnsi="Calibri"/>
          <w:b/>
          <w:bCs/>
          <w:color w:val="40916C"/>
          <w:sz w:val="26"/>
          <w:szCs w:val="26"/>
        </w:rPr>
        <w:t xml:space="preserve">4.5.2 شاشة أوامر الشراء</w:t>
      </w:r>
      <w:bookmarkEnd w:id="100047"/>
    </w:p>
    <w:p>
      <w:pPr>
        <w:bidi/>
        <w:spacing w:after="120" w:line="312"/>
        <w:ind w:firstLine="420"/>
        <w:jc w:val="right"/>
      </w:pPr>
      <w:r>
        <w:rPr>
          <w:rFonts w:ascii="Calibri" w:cs="Calibri" w:eastAsia="Calibri" w:hAnsi="Calibri"/>
          <w:b w:val="false"/>
          <w:bCs w:val="false"/>
          <w:color w:val="1A1A2E"/>
          <w:sz w:val="22"/>
          <w:szCs w:val="22"/>
          <w:rtl/>
        </w:rPr>
        <w:t xml:space="preserve">إصدار أوامر شراء للموردين بناءً على الطلبات المعتمدة.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إصدار أوامر شراء رسمية للموردين</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رقم الأمر، المورد، المجاميع الفرعية، الضريبة، الإجمالي، المدفوع</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بانتظار الموافقة ← معتمد ← مستلم جزئياً ← مستلم بالكامل ← ملغى</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الشرط</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يتطلب طلب شراء معتمد</w:t>
            </w:r>
          </w:p>
        </w:tc>
      </w:tr>
    </w:tbl>
    <w:p>
      <w:pPr>
        <w:spacing w:after="100"/>
      </w:pPr>
    </w:p>
    <w:p>
      <w:pPr>
        <w:pStyle w:val="Heading3"/>
        <w:keepNext/>
        <w:spacing w:after="120" w:before="200"/>
      </w:pPr>
      <w:bookmarkStart w:id="100048" w:name="_Toc100048"/>
      <w:r>
        <w:rPr>
          <w:rFonts w:ascii="Calibri" w:cs="Calibri" w:eastAsia="Calibri" w:hAnsi="Calibri"/>
          <w:b/>
          <w:bCs/>
          <w:color w:val="40916C"/>
          <w:sz w:val="26"/>
          <w:szCs w:val="26"/>
        </w:rPr>
        <w:t xml:space="preserve">4.5.3 شاشة استلام البضائع</w:t>
      </w:r>
      <w:bookmarkEnd w:id="100048"/>
    </w:p>
    <w:p>
      <w:pPr>
        <w:bidi/>
        <w:spacing w:after="120" w:line="312"/>
        <w:ind w:firstLine="420"/>
        <w:jc w:val="right"/>
      </w:pPr>
      <w:r>
        <w:rPr>
          <w:rFonts w:ascii="Calibri" w:cs="Calibri" w:eastAsia="Calibri" w:hAnsi="Calibri"/>
          <w:b w:val="false"/>
          <w:bCs w:val="false"/>
          <w:color w:val="1A1A2E"/>
          <w:sz w:val="22"/>
          <w:szCs w:val="22"/>
          <w:rtl/>
        </w:rPr>
        <w:t xml:space="preserve">تسجيل استلام البضائع من أوامر الشراء.</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استلام البضائع مقابل أوامر الشراء</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البنود</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الكمية المطلوبة / المستلمة / المتبقية، الوجهة (مخزون/مشروع)</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قيد الانتظار ← جزئي ← مكتمل ← ملغى</w:t>
            </w:r>
          </w:p>
        </w:tc>
      </w:tr>
    </w:tbl>
    <w:p>
      <w:pPr>
        <w:spacing w:after="100"/>
      </w:pPr>
    </w:p>
    <w:p>
      <w:pPr>
        <w:pStyle w:val="Heading3"/>
        <w:keepNext/>
        <w:spacing w:after="120" w:before="200"/>
      </w:pPr>
      <w:bookmarkStart w:id="100049" w:name="_Toc100049"/>
      <w:r>
        <w:rPr>
          <w:rFonts w:ascii="Calibri" w:cs="Calibri" w:eastAsia="Calibri" w:hAnsi="Calibri"/>
          <w:b/>
          <w:bCs/>
          <w:color w:val="40916C"/>
          <w:sz w:val="26"/>
          <w:szCs w:val="26"/>
        </w:rPr>
        <w:t xml:space="preserve">4.5.4 شاشة فواتير الموردين</w:t>
      </w:r>
      <w:bookmarkEnd w:id="100049"/>
    </w:p>
    <w:p>
      <w:pPr>
        <w:bidi/>
        <w:spacing w:after="120" w:line="312"/>
        <w:ind w:firstLine="420"/>
        <w:jc w:val="right"/>
      </w:pPr>
      <w:r>
        <w:rPr>
          <w:rFonts w:ascii="Calibri" w:cs="Calibri" w:eastAsia="Calibri" w:hAnsi="Calibri"/>
          <w:b w:val="false"/>
          <w:bCs w:val="false"/>
          <w:color w:val="1A1A2E"/>
          <w:sz w:val="22"/>
          <w:szCs w:val="22"/>
          <w:rtl/>
        </w:rPr>
        <w:t xml:space="preserve">تسجيل فواتير الموردين مع الأثر المحاسبي الكامل.</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فواتير الموردين مع تخصيص حسابات التكاليف</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الحسابات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المصروف من دليل الحسابات (7xxx/8xxx)، ضريبة المدخلات (1410)</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7xxx تكاليف + 1410 ضريبة مدخلات | دائن: 3210 الموردين</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ZATCA</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رمز QR تلقائي لفواتير الموردين</w:t>
            </w:r>
          </w:p>
        </w:tc>
      </w:tr>
    </w:tbl>
    <w:p>
      <w:pPr>
        <w:spacing w:after="100"/>
      </w:pPr>
    </w:p>
    <w:p>
      <w:pPr>
        <w:pStyle w:val="Heading3"/>
        <w:keepNext/>
        <w:spacing w:after="120" w:before="200"/>
      </w:pPr>
      <w:bookmarkStart w:id="100050" w:name="_Toc100050"/>
      <w:r>
        <w:rPr>
          <w:rFonts w:ascii="Calibri" w:cs="Calibri" w:eastAsia="Calibri" w:hAnsi="Calibri"/>
          <w:b/>
          <w:bCs/>
          <w:color w:val="40916C"/>
          <w:sz w:val="26"/>
          <w:szCs w:val="26"/>
        </w:rPr>
        <w:t xml:space="preserve">4.5.5 شاشة مدفوعات الموردين</w:t>
      </w:r>
      <w:bookmarkEnd w:id="100050"/>
    </w:p>
    <w:p>
      <w:pPr>
        <w:bidi/>
        <w:spacing w:after="120" w:line="312"/>
        <w:ind w:firstLine="420"/>
        <w:jc w:val="right"/>
      </w:pPr>
      <w:r>
        <w:rPr>
          <w:rFonts w:ascii="Calibri" w:cs="Calibri" w:eastAsia="Calibri" w:hAnsi="Calibri"/>
          <w:b w:val="false"/>
          <w:bCs w:val="false"/>
          <w:color w:val="1A1A2E"/>
          <w:sz w:val="22"/>
          <w:szCs w:val="22"/>
          <w:rtl/>
        </w:rPr>
        <w:t xml:space="preserve">تسجيل مدفوعات الموردين مع اختيار حساب الدفع.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اختيار حساب الدفع ديناميكياً من دليل الحسابات (CASH/BANK)</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القيد: مدين: 3210 الموردين | دائن: 1110/1120 نقدي/بنك</w:t>
      </w:r>
    </w:p>
    <w:p>
      <w:r>
        <w:br w:type="page"/>
      </w:r>
    </w:p>
    <w:p>
      <w:pPr>
        <w:pStyle w:val="Heading2"/>
        <w:keepNext/>
        <w:spacing w:after="160" w:before="280"/>
      </w:pPr>
      <w:bookmarkStart w:id="100051" w:name="_Toc100051"/>
      <w:r>
        <w:rPr>
          <w:rFonts w:ascii="Calibri" w:cs="Calibri" w:eastAsia="Calibri" w:hAnsi="Calibri"/>
          <w:b/>
          <w:bCs/>
          <w:color w:val="2D6A4F"/>
          <w:sz w:val="30"/>
          <w:szCs w:val="30"/>
        </w:rPr>
        <w:t xml:space="preserve">4.6 التشغيل والصيانة</w:t>
      </w:r>
      <w:bookmarkEnd w:id="100051"/>
    </w:p>
    <w:p>
      <w:pPr>
        <w:pStyle w:val="Heading3"/>
        <w:keepNext/>
        <w:spacing w:after="120" w:before="200"/>
      </w:pPr>
      <w:bookmarkStart w:id="100052" w:name="_Toc100052"/>
      <w:r>
        <w:rPr>
          <w:rFonts w:ascii="Calibri" w:cs="Calibri" w:eastAsia="Calibri" w:hAnsi="Calibri"/>
          <w:b/>
          <w:bCs/>
          <w:color w:val="40916C"/>
          <w:sz w:val="26"/>
          <w:szCs w:val="26"/>
        </w:rPr>
        <w:t xml:space="preserve">4.6.1 شاشة عمليات المعدات</w:t>
      </w:r>
      <w:bookmarkEnd w:id="100052"/>
    </w:p>
    <w:p>
      <w:pPr>
        <w:bidi/>
        <w:spacing w:after="120" w:line="312"/>
        <w:ind w:firstLine="420"/>
        <w:jc w:val="right"/>
      </w:pPr>
      <w:r>
        <w:rPr>
          <w:rFonts w:ascii="Calibri" w:cs="Calibri" w:eastAsia="Calibri" w:hAnsi="Calibri"/>
          <w:b w:val="false"/>
          <w:bCs w:val="false"/>
          <w:color w:val="1A1A2E"/>
          <w:sz w:val="22"/>
          <w:szCs w:val="22"/>
          <w:rtl/>
        </w:rPr>
        <w:t xml:space="preserve">تسجيل العمليات اليومية للمعدات.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المعدة، المشغّل، المشروع، الساعات</w:t>
      </w:r>
    </w:p>
    <w:p>
      <w:pPr>
        <w:pStyle w:val="Heading3"/>
        <w:keepNext/>
        <w:spacing w:after="120" w:before="200"/>
      </w:pPr>
      <w:bookmarkStart w:id="100053" w:name="_Toc100053"/>
      <w:r>
        <w:rPr>
          <w:rFonts w:ascii="Calibri" w:cs="Calibri" w:eastAsia="Calibri" w:hAnsi="Calibri"/>
          <w:b/>
          <w:bCs/>
          <w:color w:val="40916C"/>
          <w:sz w:val="26"/>
          <w:szCs w:val="26"/>
        </w:rPr>
        <w:t xml:space="preserve">4.6.2 شاشة صيانة المعدات</w:t>
      </w:r>
      <w:bookmarkEnd w:id="100053"/>
    </w:p>
    <w:p>
      <w:pPr>
        <w:bidi/>
        <w:spacing w:after="120" w:line="312"/>
        <w:ind w:firstLine="420"/>
        <w:jc w:val="right"/>
      </w:pPr>
      <w:r>
        <w:rPr>
          <w:rFonts w:ascii="Calibri" w:cs="Calibri" w:eastAsia="Calibri" w:hAnsi="Calibri"/>
          <w:b w:val="false"/>
          <w:bCs w:val="false"/>
          <w:color w:val="1A1A2E"/>
          <w:sz w:val="22"/>
          <w:szCs w:val="22"/>
          <w:rtl/>
        </w:rPr>
        <w:t xml:space="preserve">تسجيل أعمال الصيانة مع تتبع التكاليف.</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أعمال الصيانة وربطها بالمعدات والموردين</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المعدة، التكلفة، المورد، تاريخ الصيانة القادم</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7220 صيانة | دائن: 1110/1120 نقدي/بنك أو 3210 موردين</w:t>
            </w:r>
          </w:p>
        </w:tc>
      </w:tr>
    </w:tbl>
    <w:p>
      <w:pPr>
        <w:spacing w:after="100"/>
      </w:pPr>
    </w:p>
    <w:p>
      <w:pPr>
        <w:pStyle w:val="Heading3"/>
        <w:keepNext/>
        <w:spacing w:after="120" w:before="200"/>
      </w:pPr>
      <w:bookmarkStart w:id="100054" w:name="_Toc100054"/>
      <w:r>
        <w:rPr>
          <w:rFonts w:ascii="Calibri" w:cs="Calibri" w:eastAsia="Calibri" w:hAnsi="Calibri"/>
          <w:b/>
          <w:bCs/>
          <w:color w:val="40916C"/>
          <w:sz w:val="26"/>
          <w:szCs w:val="26"/>
        </w:rPr>
        <w:t xml:space="preserve">4.6.3 شاشة سجل الوقود</w:t>
      </w:r>
      <w:bookmarkEnd w:id="100054"/>
    </w:p>
    <w:p>
      <w:pPr>
        <w:bidi/>
        <w:spacing w:after="120" w:line="312"/>
        <w:ind w:firstLine="420"/>
        <w:jc w:val="right"/>
      </w:pPr>
      <w:r>
        <w:rPr>
          <w:rFonts w:ascii="Calibri" w:cs="Calibri" w:eastAsia="Calibri" w:hAnsi="Calibri"/>
          <w:b w:val="false"/>
          <w:bCs w:val="false"/>
          <w:color w:val="1A1A2E"/>
          <w:sz w:val="22"/>
          <w:szCs w:val="22"/>
          <w:rtl/>
        </w:rPr>
        <w:t xml:space="preserve">تتبع استهلاك الوقود للمعدات.</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المعدة، اللترات، سعر اللتر، التكلفة الإجمالية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7240 نقل/وقود | دائن: 1110/1120 نقدي/بنك</w:t>
            </w:r>
          </w:p>
        </w:tc>
      </w:tr>
    </w:tbl>
    <w:p>
      <w:pPr>
        <w:spacing w:after="100"/>
      </w:pPr>
    </w:p>
    <w:p>
      <w:pPr>
        <w:pStyle w:val="Heading3"/>
        <w:keepNext/>
        <w:spacing w:after="120" w:before="200"/>
      </w:pPr>
      <w:bookmarkStart w:id="100055" w:name="_Toc100055"/>
      <w:r>
        <w:rPr>
          <w:rFonts w:ascii="Calibri" w:cs="Calibri" w:eastAsia="Calibri" w:hAnsi="Calibri"/>
          <w:b/>
          <w:bCs/>
          <w:color w:val="40916C"/>
          <w:sz w:val="26"/>
          <w:szCs w:val="26"/>
        </w:rPr>
        <w:t xml:space="preserve">4.6.4 شاشة المقاولين الفرعيين</w:t>
      </w:r>
      <w:bookmarkEnd w:id="100055"/>
    </w:p>
    <w:p>
      <w:pPr>
        <w:bidi/>
        <w:spacing w:after="120" w:line="312"/>
        <w:ind w:firstLine="420"/>
        <w:jc w:val="right"/>
      </w:pPr>
      <w:r>
        <w:rPr>
          <w:rFonts w:ascii="Calibri" w:cs="Calibri" w:eastAsia="Calibri" w:hAnsi="Calibri"/>
          <w:b w:val="false"/>
          <w:bCs w:val="false"/>
          <w:color w:val="1A1A2E"/>
          <w:sz w:val="22"/>
          <w:szCs w:val="22"/>
          <w:rtl/>
        </w:rPr>
        <w:t xml:space="preserve">إدارة المقاولين الفرعيين وفواتيرهم.</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التخصص، رقم السجل/الهوية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عقود المقاولين الفرعيين مع نسب المحتجزات والضريبة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فواتير المقاولين: مدين: 7130 تكاليف مقاولين فرعيين + 3120 ضريبة | دائن: 3220 مقاولين فرعيين</w:t>
      </w:r>
    </w:p>
    <w:p>
      <w:pPr>
        <w:pStyle w:val="Heading3"/>
        <w:keepNext/>
        <w:spacing w:after="120" w:before="200"/>
      </w:pPr>
      <w:bookmarkStart w:id="100056" w:name="_Toc100056"/>
      <w:r>
        <w:rPr>
          <w:rFonts w:ascii="Calibri" w:cs="Calibri" w:eastAsia="Calibri" w:hAnsi="Calibri"/>
          <w:b/>
          <w:bCs/>
          <w:color w:val="40916C"/>
          <w:sz w:val="26"/>
          <w:szCs w:val="26"/>
        </w:rPr>
        <w:t xml:space="preserve">4.6.5 شاشة المصروفات</w:t>
      </w:r>
      <w:bookmarkEnd w:id="100056"/>
    </w:p>
    <w:p>
      <w:pPr>
        <w:bidi/>
        <w:spacing w:after="120" w:line="312"/>
        <w:ind w:firstLine="420"/>
        <w:jc w:val="right"/>
      </w:pPr>
      <w:r>
        <w:rPr>
          <w:rFonts w:ascii="Calibri" w:cs="Calibri" w:eastAsia="Calibri" w:hAnsi="Calibri"/>
          <w:b w:val="false"/>
          <w:bCs w:val="false"/>
          <w:color w:val="1A1A2E"/>
          <w:sz w:val="22"/>
          <w:szCs w:val="22"/>
          <w:rtl/>
        </w:rPr>
        <w:t xml:space="preserve">تسجيل المصروفات العامة والمشروعية مع الارتباط المحاسبي.</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النوع</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مشروعي (PROJECT) أو داخلي (INTERNAL)</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النشاط</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تنفيذي (EXECUTION)، تأجيري (RENTAL)، عام (GENERAL)</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الفئات (18)</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إيجار، صيانة، نقل، وقود، رواتب، مكتبية، مرافق، تأمين، تصاريح، إلخ</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الصرف من</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خزينة، صندوق طوارئ، بنك - من دليل الحسابات ديناميكياً</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الحساب</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اختيار حساب المصروف من دليل الحسابات (7xxx/8xxx) حسب الدور الوظيفي</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7xxx/8xxx مصروف + 1410 ضريبة مدخلات | دائن: 1110/1120/1130 نقدي/بنك أو 3210 موردين</w:t>
            </w:r>
          </w:p>
        </w:tc>
      </w:tr>
    </w:tbl>
    <w:p>
      <w:pPr>
        <w:spacing w:after="100"/>
      </w:pPr>
    </w:p>
    <w:p>
      <w:r>
        <w:br w:type="page"/>
      </w:r>
    </w:p>
    <w:p>
      <w:pPr>
        <w:pStyle w:val="Heading2"/>
        <w:keepNext/>
        <w:spacing w:after="160" w:before="280"/>
      </w:pPr>
      <w:bookmarkStart w:id="100057" w:name="_Toc100057"/>
      <w:r>
        <w:rPr>
          <w:rFonts w:ascii="Calibri" w:cs="Calibri" w:eastAsia="Calibri" w:hAnsi="Calibri"/>
          <w:b/>
          <w:bCs/>
          <w:color w:val="2D6A4F"/>
          <w:sz w:val="30"/>
          <w:szCs w:val="30"/>
        </w:rPr>
        <w:t xml:space="preserve">4.7 المحاسبة والتقارير</w:t>
      </w:r>
      <w:bookmarkEnd w:id="100057"/>
    </w:p>
    <w:p>
      <w:pPr>
        <w:pStyle w:val="Heading3"/>
        <w:keepNext/>
        <w:spacing w:after="120" w:before="200"/>
      </w:pPr>
      <w:bookmarkStart w:id="100058" w:name="_Toc100058"/>
      <w:r>
        <w:rPr>
          <w:rFonts w:ascii="Calibri" w:cs="Calibri" w:eastAsia="Calibri" w:hAnsi="Calibri"/>
          <w:b/>
          <w:bCs/>
          <w:color w:val="40916C"/>
          <w:sz w:val="26"/>
          <w:szCs w:val="26"/>
        </w:rPr>
        <w:t xml:space="preserve">4.7.1 شاشة المحاسبة (دليل الحسابات والقيود)</w:t>
      </w:r>
      <w:bookmarkEnd w:id="100058"/>
    </w:p>
    <w:p>
      <w:pPr>
        <w:bidi/>
        <w:spacing w:after="120" w:line="312"/>
        <w:ind w:firstLine="420"/>
        <w:jc w:val="right"/>
      </w:pPr>
      <w:r>
        <w:rPr>
          <w:rFonts w:ascii="Calibri" w:cs="Calibri" w:eastAsia="Calibri" w:hAnsi="Calibri"/>
          <w:b w:val="false"/>
          <w:bCs w:val="false"/>
          <w:color w:val="1A1A2E"/>
          <w:sz w:val="22"/>
          <w:szCs w:val="22"/>
          <w:rtl/>
        </w:rPr>
        <w:t xml:space="preserve">المركز المحاسبي الرئيسي للنظام.</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دليل الحسابات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عرض وإدارة الشجرة المحاسبية الكاملة مع الأدوار الوظيفية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المحاسبية</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وعرض وترحيل وعكس القيود المحاسبية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أنواع المصدر</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20+ نوع: فاتورة مبيعات، فاتورة مشتريات، مصروف، راتب، تحصيل، دفع، إهلاك، زكاة، إلخ</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مرحّلة ← ملغاة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عكس القيود</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فحص التبعيات قبل العكس، إنشاء قيد عكسي تلقائي</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المراجعة</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تتبع كامل: إنشاء ← ترحيل ← عكس ← إلغاء ← طباعة</w:t>
            </w:r>
          </w:p>
        </w:tc>
      </w:tr>
    </w:tbl>
    <w:p>
      <w:pPr>
        <w:spacing w:after="100"/>
      </w:pPr>
    </w:p>
    <w:p>
      <w:pPr>
        <w:pStyle w:val="Heading3"/>
        <w:keepNext/>
        <w:spacing w:after="120" w:before="200"/>
      </w:pPr>
      <w:bookmarkStart w:id="100059" w:name="_Toc100059"/>
      <w:r>
        <w:rPr>
          <w:rFonts w:ascii="Calibri" w:cs="Calibri" w:eastAsia="Calibri" w:hAnsi="Calibri"/>
          <w:b/>
          <w:bCs/>
          <w:color w:val="40916C"/>
          <w:sz w:val="26"/>
          <w:szCs w:val="26"/>
        </w:rPr>
        <w:t xml:space="preserve">4.7.2 شاشة ضريبة القيمة المضافة</w:t>
      </w:r>
      <w:bookmarkEnd w:id="100059"/>
    </w:p>
    <w:p>
      <w:pPr>
        <w:bidi/>
        <w:spacing w:after="120" w:line="312"/>
        <w:ind w:firstLine="420"/>
        <w:jc w:val="right"/>
      </w:pPr>
      <w:r>
        <w:rPr>
          <w:rFonts w:ascii="Calibri" w:cs="Calibri" w:eastAsia="Calibri" w:hAnsi="Calibri"/>
          <w:b w:val="false"/>
          <w:bCs w:val="false"/>
          <w:color w:val="1A1A2E"/>
          <w:sz w:val="22"/>
          <w:szCs w:val="22"/>
          <w:rtl/>
        </w:rPr>
        <w:t xml:space="preserve">إدارة الإقرارات الضريبية الفصلية.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العنصر</w:t>
            </w:r>
          </w:p>
        </w:tc>
        <w:tc>
          <w:tcPr>
            <w:tcW w:type="dxa" w:w="7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الوظيفة</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إقرارات ضريبية ربع سنوية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البيانات</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السنة/الربع، إجمالي المبيعات، إجمالي المشتريات، ضريبة المخرجات، ضريبة المدخلات، الضريبة الصافية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الحالات</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مسودة ← مقدمة ← مدفوعة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 إقرار</w:t>
            </w:r>
          </w:p>
        </w:tc>
        <w:tc>
          <w:tcPr>
            <w:tcW w:type="dxa" w:w="7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3110 ضريبة مخرجات | دائن: 3120 ضريبة مدخلات + 3130 ضريبة مستحقة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 دفع</w:t>
            </w:r>
          </w:p>
        </w:tc>
        <w:tc>
          <w:tcPr>
            <w:tcW w:type="dxa" w:w="7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3130 ضريبة مستحقة | دائن: 1120 بنك</w:t>
            </w:r>
          </w:p>
        </w:tc>
      </w:tr>
    </w:tbl>
    <w:p>
      <w:pPr>
        <w:spacing w:after="100"/>
      </w:pPr>
    </w:p>
    <w:p>
      <w:pPr>
        <w:pStyle w:val="Heading3"/>
        <w:keepNext/>
        <w:spacing w:after="120" w:before="200"/>
      </w:pPr>
      <w:bookmarkStart w:id="100060" w:name="_Toc100060"/>
      <w:r>
        <w:rPr>
          <w:rFonts w:ascii="Calibri" w:cs="Calibri" w:eastAsia="Calibri" w:hAnsi="Calibri"/>
          <w:b/>
          <w:bCs/>
          <w:color w:val="40916C"/>
          <w:sz w:val="26"/>
          <w:szCs w:val="26"/>
        </w:rPr>
        <w:t xml:space="preserve">4.7.3 شاشة التقارير</w:t>
      </w:r>
      <w:bookmarkEnd w:id="100060"/>
    </w:p>
    <w:p>
      <w:pPr>
        <w:bidi/>
        <w:spacing w:after="120" w:line="312"/>
        <w:ind w:firstLine="420"/>
        <w:jc w:val="right"/>
      </w:pPr>
      <w:r>
        <w:rPr>
          <w:rFonts w:ascii="Calibri" w:cs="Calibri" w:eastAsia="Calibri" w:hAnsi="Calibri"/>
          <w:b w:val="false"/>
          <w:bCs w:val="false"/>
          <w:color w:val="1A1A2E"/>
          <w:sz w:val="22"/>
          <w:szCs w:val="22"/>
          <w:rtl/>
        </w:rPr>
        <w:t xml:space="preserve">مركز التقارير المالية والتشغيلية الشامل.</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التقرير</w:t>
            </w:r>
          </w:p>
        </w:tc>
        <w:tc>
          <w:tcPr>
            <w:tcW w:type="dxa" w:w="4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الوصف</w:t>
            </w:r>
          </w:p>
        </w:tc>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المصدر</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ميزان المراجعة</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ملخص أرصدة جميع الحسابات</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المرحلة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دفتر الأستاذ العام</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الحركات التفصيلية لكل حساب مع الرصيد الجاري</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المرحلة</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الميزانية العمومية</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الأصول والالتزامات وحقوق الملكية</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GL + الأرصدة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قائمة الدخل</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الإيرادات والمصروفات وصافي الربح</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GL + الأرصدة</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قائمة التدفقات النقدية</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التدفقات النقدية التشغيلية والاستثمارية والتمويلية</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النقدية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كشف حساب عميل</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الفواتير والتحصيلات والرصيد</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المرحلة</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كشف حساب مورد</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الفواتير والمدفوعات والرصيد</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المرحلة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كشف حساب مشروع</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التكاليف والإيرادات والربحية</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 العمليات</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تكاليف المشاريع</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تفصيل التكاليف لكل مشروع</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القيود + العمليات</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أرصدة العملاء</w:t>
            </w:r>
          </w:p>
        </w:tc>
        <w:tc>
          <w:tcPr>
            <w:tcW w:type="dxa" w:w="4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ملخص أرصدة جميع العملاء</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GL - حساب 1210</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أرصدة الموردين</w:t>
            </w:r>
          </w:p>
        </w:tc>
        <w:tc>
          <w:tcPr>
            <w:tcW w:type="dxa" w:w="4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ملخص أرصدة جميع الموردين</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GL - حساب 3210</w:t>
            </w:r>
          </w:p>
        </w:tc>
      </w:tr>
    </w:tbl>
    <w:p>
      <w:pPr>
        <w:spacing w:after="100"/>
      </w:pPr>
    </w:p>
    <w:p>
      <w:pPr>
        <w:pStyle w:val="Heading2"/>
        <w:keepNext/>
        <w:spacing w:after="160" w:before="280"/>
      </w:pPr>
      <w:bookmarkStart w:id="100061" w:name="_Toc100061"/>
      <w:r>
        <w:rPr>
          <w:rFonts w:ascii="Calibri" w:cs="Calibri" w:eastAsia="Calibri" w:hAnsi="Calibri"/>
          <w:b/>
          <w:bCs/>
          <w:color w:val="2D6A4F"/>
          <w:sz w:val="30"/>
          <w:szCs w:val="30"/>
        </w:rPr>
        <w:t xml:space="preserve">4.8 الإعدادات والبيانات الأساسية</w:t>
      </w:r>
      <w:bookmarkEnd w:id="100061"/>
    </w:p>
    <w:p>
      <w:pPr>
        <w:pStyle w:val="Heading3"/>
        <w:keepNext/>
        <w:spacing w:after="120" w:before="200"/>
      </w:pPr>
      <w:bookmarkStart w:id="100062" w:name="_Toc100062"/>
      <w:r>
        <w:rPr>
          <w:rFonts w:ascii="Calibri" w:cs="Calibri" w:eastAsia="Calibri" w:hAnsi="Calibri"/>
          <w:b/>
          <w:bCs/>
          <w:color w:val="40916C"/>
          <w:sz w:val="26"/>
          <w:szCs w:val="26"/>
        </w:rPr>
        <w:t xml:space="preserve">4.8.1 شاشة العملاء</w:t>
      </w:r>
      <w:bookmarkEnd w:id="100062"/>
    </w:p>
    <w:p>
      <w:pPr>
        <w:bidi/>
        <w:spacing w:after="120" w:line="312"/>
        <w:ind w:firstLine="420"/>
        <w:jc w:val="right"/>
      </w:pPr>
      <w:r>
        <w:rPr>
          <w:rFonts w:ascii="Calibri" w:cs="Calibri" w:eastAsia="Calibri" w:hAnsi="Calibri"/>
          <w:b w:val="false"/>
          <w:bCs w:val="false"/>
          <w:color w:val="1A1A2E"/>
          <w:sz w:val="22"/>
          <w:szCs w:val="22"/>
          <w:rtl/>
        </w:rPr>
        <w:t xml:space="preserve">إدارة سجل العملاء.</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البيانات: الاسم، الرقم الضريبي، الحد الائتماني، شروط الدفع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الارتباطات: المشاريع، العقود، الفواتير، التحصيلات، القيود المحاسبية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كشف حساب العملاء متاح من التقارير</w:t>
      </w:r>
    </w:p>
    <w:p>
      <w:pPr>
        <w:pStyle w:val="Heading3"/>
        <w:keepNext/>
        <w:spacing w:after="120" w:before="200"/>
      </w:pPr>
      <w:bookmarkStart w:id="100063" w:name="_Toc100063"/>
      <w:r>
        <w:rPr>
          <w:rFonts w:ascii="Calibri" w:cs="Calibri" w:eastAsia="Calibri" w:hAnsi="Calibri"/>
          <w:b/>
          <w:bCs/>
          <w:color w:val="40916C"/>
          <w:sz w:val="26"/>
          <w:szCs w:val="26"/>
        </w:rPr>
        <w:t xml:space="preserve">4.8.2 شاشة الموردين</w:t>
      </w:r>
      <w:bookmarkEnd w:id="100063"/>
    </w:p>
    <w:p>
      <w:pPr>
        <w:bidi/>
        <w:spacing w:after="120" w:line="312"/>
        <w:ind w:firstLine="420"/>
        <w:jc w:val="right"/>
      </w:pPr>
      <w:r>
        <w:rPr>
          <w:rFonts w:ascii="Calibri" w:cs="Calibri" w:eastAsia="Calibri" w:hAnsi="Calibri"/>
          <w:b w:val="false"/>
          <w:bCs w:val="false"/>
          <w:color w:val="1A1A2E"/>
          <w:sz w:val="22"/>
          <w:szCs w:val="22"/>
          <w:rtl/>
        </w:rPr>
        <w:t xml:space="preserve">إدارة سجل الموردين.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البيانات: الاسم، الرقم الضريبي، الحد الائتماني، شروط الدفع</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الارتباطات: أوامر الشراء، فواتير الموردين، المعدات، المصروفات</w:t>
      </w:r>
    </w:p>
    <w:p>
      <w:pPr>
        <w:pStyle w:val="Heading3"/>
        <w:keepNext/>
        <w:spacing w:after="120" w:before="200"/>
      </w:pPr>
      <w:bookmarkStart w:id="100064" w:name="_Toc100064"/>
      <w:r>
        <w:rPr>
          <w:rFonts w:ascii="Calibri" w:cs="Calibri" w:eastAsia="Calibri" w:hAnsi="Calibri"/>
          <w:b/>
          <w:bCs/>
          <w:color w:val="40916C"/>
          <w:sz w:val="26"/>
          <w:szCs w:val="26"/>
        </w:rPr>
        <w:t xml:space="preserve">4.8.3 شاشة المخزون</w:t>
      </w:r>
      <w:bookmarkEnd w:id="100064"/>
    </w:p>
    <w:p>
      <w:pPr>
        <w:bidi/>
        <w:spacing w:after="120" w:line="312"/>
        <w:ind w:firstLine="420"/>
        <w:jc w:val="right"/>
      </w:pPr>
      <w:r>
        <w:rPr>
          <w:rFonts w:ascii="Calibri" w:cs="Calibri" w:eastAsia="Calibri" w:hAnsi="Calibri"/>
          <w:b w:val="false"/>
          <w:bCs w:val="false"/>
          <w:color w:val="1A1A2E"/>
          <w:sz w:val="22"/>
          <w:szCs w:val="22"/>
          <w:rtl/>
        </w:rPr>
        <w:t xml:space="preserve">إدارة المواد والأصناف.</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نوع الصنف: منتج / خدمة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سعر الشراء والبيع، الكمية، الحد الأدنى</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ربط بالمستودع</w:t>
      </w:r>
    </w:p>
    <w:p>
      <w:pPr>
        <w:pStyle w:val="Heading3"/>
        <w:keepNext/>
        <w:spacing w:after="120" w:before="200"/>
      </w:pPr>
      <w:bookmarkStart w:id="100065" w:name="_Toc100065"/>
      <w:r>
        <w:rPr>
          <w:rFonts w:ascii="Calibri" w:cs="Calibri" w:eastAsia="Calibri" w:hAnsi="Calibri"/>
          <w:b/>
          <w:bCs/>
          <w:color w:val="40916C"/>
          <w:sz w:val="26"/>
          <w:szCs w:val="26"/>
        </w:rPr>
        <w:t xml:space="preserve">4.8.4 شاشة الإعدادات</w:t>
      </w:r>
      <w:bookmarkEnd w:id="100065"/>
    </w:p>
    <w:p>
      <w:pPr>
        <w:bidi/>
        <w:spacing w:after="120" w:line="312"/>
        <w:ind w:firstLine="420"/>
        <w:jc w:val="right"/>
      </w:pPr>
      <w:r>
        <w:rPr>
          <w:rFonts w:ascii="Calibri" w:cs="Calibri" w:eastAsia="Calibri" w:hAnsi="Calibri"/>
          <w:b w:val="false"/>
          <w:bCs w:val="false"/>
          <w:color w:val="1A1A2E"/>
          <w:sz w:val="22"/>
          <w:szCs w:val="22"/>
          <w:rtl/>
        </w:rPr>
        <w:t xml:space="preserve">إعدادات النظام الأساسية.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بيانات الشركة: الاسم، الشعار، الرقم الضريبي، بيانات البنك</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نسبة ضريبة القيمة المضافة (15%)</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العملة الأساسية (SAR)</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شروط الفوترة الافتراضية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صور رأس وتذييل الفواتير</w:t>
      </w:r>
    </w:p>
    <w:p>
      <w:r>
        <w:br w:type="page"/>
      </w:r>
    </w:p>
    <w:p>
      <w:pPr>
        <w:pStyle w:val="Heading1"/>
        <w:keepNext/>
        <w:spacing w:after="200" w:before="360"/>
      </w:pPr>
      <w:bookmarkStart w:id="100066" w:name="_Toc100066"/>
      <w:r>
        <w:rPr>
          <w:rFonts w:ascii="Calibri" w:cs="Calibri" w:eastAsia="Calibri" w:hAnsi="Calibri"/>
          <w:b/>
          <w:bCs/>
          <w:color w:val="1B4332"/>
          <w:sz w:val="36"/>
          <w:szCs w:val="36"/>
        </w:rPr>
        <w:t xml:space="preserve">الفصل الخامس: تكامل الشاشات وترابطها</w:t>
      </w:r>
      <w:bookmarkEnd w:id="100066"/>
    </w:p>
    <w:p>
      <w:pPr>
        <w:pStyle w:val="Heading2"/>
        <w:keepNext/>
        <w:spacing w:after="160" w:before="280"/>
      </w:pPr>
      <w:bookmarkStart w:id="100067" w:name="_Toc100067"/>
      <w:r>
        <w:rPr>
          <w:rFonts w:ascii="Calibri" w:cs="Calibri" w:eastAsia="Calibri" w:hAnsi="Calibri"/>
          <w:b/>
          <w:bCs/>
          <w:color w:val="2D6A4F"/>
          <w:sz w:val="30"/>
          <w:szCs w:val="30"/>
        </w:rPr>
        <w:t xml:space="preserve">5.1 سير العمل الإنشائي (Construction Flow)</w:t>
      </w:r>
      <w:bookmarkEnd w:id="100067"/>
    </w:p>
    <w:p>
      <w:pPr>
        <w:bidi/>
        <w:spacing w:after="120" w:line="312"/>
        <w:ind w:firstLine="420"/>
        <w:jc w:val="right"/>
      </w:pPr>
      <w:r>
        <w:rPr>
          <w:rFonts w:ascii="Calibri" w:cs="Calibri" w:eastAsia="Calibri" w:hAnsi="Calibri"/>
          <w:b w:val="false"/>
          <w:bCs w:val="false"/>
          <w:color w:val="1A1A2E"/>
          <w:sz w:val="22"/>
          <w:szCs w:val="22"/>
          <w:rtl/>
        </w:rPr>
        <w:t xml:space="preserve">المسار الإلزامي لعمليات المشاريع الإنشائية - لا يمكن تجاوز أي خطوة:</w:t>
      </w:r>
    </w:p>
    <w:p>
      <w:pPr>
        <w:bidi/>
        <w:spacing w:after="120" w:line="312"/>
        <w:jc w:val="right"/>
      </w:pPr>
      <w:r>
        <w:rPr>
          <w:rFonts w:ascii="Calibri" w:cs="Calibri" w:eastAsia="Calibri" w:hAnsi="Calibri"/>
          <w:b/>
          <w:bCs/>
          <w:color w:val="1B4332"/>
          <w:sz w:val="22"/>
          <w:szCs w:val="22"/>
          <w:rtl/>
        </w:rPr>
        <w:t xml:space="preserve">عميل ← مشروع ← عقد ← جدول كميات ← ساعات عمل ← مصروفات ← مقاولون فرعيون ← مشتريات (طلب ← أمر ← استلام ← فاتورة) ← مستخلص ← فاتورة عميل ← تحصيل ← قيد محاسبي</w:t>
      </w:r>
    </w:p>
    <w:p>
      <w:pPr>
        <w:spacing w:after="100"/>
      </w:pP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8"/>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الخطوة</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العملية</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المخرجات</w:t>
            </w:r>
          </w:p>
        </w:tc>
        <w:tc>
          <w:tcPr>
            <w:tcW w:type="dxa" w:w="37"/>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الأثر المحاسبي</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عميل</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عميل جديد في النظام</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مشروع</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مشروع مرتبط بالعميل</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عقد</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بقيمة وشروط وضمانات</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جدول كميات</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بنود الأعمال والكميات والأسعار</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مصروفات</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مصروفات مشروعية</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مصروف | دائن: نقدي/موردين</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مستخلص</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مستخلص بنسبة الإنجاز</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عملاء | دائن: إيرادات + ضريبة</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إصدار فاتورة</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مبيعات مع ZATCA QR</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عملاء | دائن: إيرادات + ضريبة</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 مبلغ من العميل</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نقدي/بنك | دائن: عملاء</w:t>
            </w:r>
          </w:p>
        </w:tc>
      </w:tr>
    </w:tbl>
    <w:p>
      <w:pPr>
        <w:spacing w:after="200"/>
      </w:pPr>
    </w:p>
    <w:p>
      <w:pPr>
        <w:pStyle w:val="Heading2"/>
        <w:keepNext/>
        <w:spacing w:after="160" w:before="280"/>
      </w:pPr>
      <w:bookmarkStart w:id="100068" w:name="_Toc100068"/>
      <w:r>
        <w:rPr>
          <w:rFonts w:ascii="Calibri" w:cs="Calibri" w:eastAsia="Calibri" w:hAnsi="Calibri"/>
          <w:b/>
          <w:bCs/>
          <w:color w:val="2D6A4F"/>
          <w:sz w:val="30"/>
          <w:szCs w:val="30"/>
        </w:rPr>
        <w:t xml:space="preserve">5.2 سير عمل التأجير (Rental Flow)</w:t>
      </w:r>
      <w:bookmarkEnd w:id="100068"/>
    </w:p>
    <w:p>
      <w:pPr>
        <w:bidi/>
        <w:spacing w:after="120" w:line="312"/>
        <w:ind w:firstLine="420"/>
        <w:jc w:val="right"/>
      </w:pPr>
      <w:r>
        <w:rPr>
          <w:rFonts w:ascii="Calibri" w:cs="Calibri" w:eastAsia="Calibri" w:hAnsi="Calibri"/>
          <w:b w:val="false"/>
          <w:bCs w:val="false"/>
          <w:color w:val="1A1A2E"/>
          <w:sz w:val="22"/>
          <w:szCs w:val="22"/>
          <w:rtl/>
        </w:rPr>
        <w:t xml:space="preserve">المسار الإلزامي لعمليات تأجير المعدات:</w:t>
      </w:r>
    </w:p>
    <w:p>
      <w:pPr>
        <w:bidi/>
        <w:spacing w:after="120" w:line="312"/>
        <w:jc w:val="right"/>
      </w:pPr>
      <w:r>
        <w:rPr>
          <w:rFonts w:ascii="Calibri" w:cs="Calibri" w:eastAsia="Calibri" w:hAnsi="Calibri"/>
          <w:b/>
          <w:bCs/>
          <w:color w:val="2D6A4F"/>
          <w:sz w:val="22"/>
          <w:szCs w:val="22"/>
          <w:rtl/>
        </w:rPr>
        <w:t xml:space="preserve">عميل ← عقد تأجير ← أمر توصيل ← سجل ساعات ← فاتورة تأجير ← تحصيل ← قيد محاسبي</w:t>
      </w:r>
    </w:p>
    <w:p>
      <w:pPr>
        <w:spacing w:after="100"/>
      </w:pP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8"/>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الخطوة</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العملية</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المخرجات</w:t>
            </w:r>
          </w:p>
        </w:tc>
        <w:tc>
          <w:tcPr>
            <w:tcW w:type="dxa" w:w="37"/>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الأثر المحاسبي</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إنشاء عقد تأجير</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مع نوع التسعير والشروط</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توصيل</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توصيل المعدة للموقع</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ساعات</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ساعات التشغيل الشهرية</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اعتماد الساعات</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ساعات معتمدة قابلة للفوترة</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تأجير</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بالساعات × المعدل</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عملاء | دائن: إيرادات تأجير + ضريبة</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 مبلغ من العميل</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نقدي/بنك | دائن: عملاء</w:t>
            </w:r>
          </w:p>
        </w:tc>
      </w:tr>
    </w:tbl>
    <w:p>
      <w:pPr>
        <w:spacing w:after="200"/>
      </w:pPr>
    </w:p>
    <w:p>
      <w:pPr>
        <w:pStyle w:val="Heading2"/>
        <w:keepNext/>
        <w:spacing w:after="160" w:before="280"/>
      </w:pPr>
      <w:bookmarkStart w:id="100069" w:name="_Toc100069"/>
      <w:r>
        <w:rPr>
          <w:rFonts w:ascii="Calibri" w:cs="Calibri" w:eastAsia="Calibri" w:hAnsi="Calibri"/>
          <w:b/>
          <w:bCs/>
          <w:color w:val="2D6A4F"/>
          <w:sz w:val="30"/>
          <w:szCs w:val="30"/>
        </w:rPr>
        <w:t xml:space="preserve">5.3 سير عمل المشتريات (Purchase Flow)</w:t>
      </w:r>
      <w:bookmarkEnd w:id="100069"/>
    </w:p>
    <w:p>
      <w:pPr>
        <w:bidi/>
        <w:spacing w:after="120" w:line="312"/>
        <w:ind w:firstLine="420"/>
        <w:jc w:val="right"/>
      </w:pPr>
      <w:r>
        <w:rPr>
          <w:rFonts w:ascii="Calibri" w:cs="Calibri" w:eastAsia="Calibri" w:hAnsi="Calibri"/>
          <w:b w:val="false"/>
          <w:bCs w:val="false"/>
          <w:color w:val="1A1A2E"/>
          <w:sz w:val="22"/>
          <w:szCs w:val="22"/>
          <w:rtl/>
        </w:rPr>
        <w:t xml:space="preserve">المسار الإلزامي لعمليات الشراء والتوريد:</w:t>
      </w:r>
    </w:p>
    <w:p>
      <w:pPr>
        <w:bidi/>
        <w:spacing w:after="120" w:line="312"/>
        <w:jc w:val="right"/>
      </w:pPr>
      <w:r>
        <w:rPr>
          <w:rFonts w:ascii="Calibri" w:cs="Calibri" w:eastAsia="Calibri" w:hAnsi="Calibri"/>
          <w:b/>
          <w:bCs/>
          <w:color w:val="2B6CB0"/>
          <w:sz w:val="22"/>
          <w:szCs w:val="22"/>
          <w:rtl/>
        </w:rPr>
        <w:t xml:space="preserve">طلب شراء ← أمر شراء ← استلام بضائع ← فاتورة مورد ← دفع ← قيد محاسبي</w:t>
      </w:r>
    </w:p>
    <w:p>
      <w:pPr>
        <w:spacing w:after="100"/>
      </w:pP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8"/>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الخطوة</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العملية</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المخرجات</w:t>
            </w:r>
          </w:p>
        </w:tc>
        <w:tc>
          <w:tcPr>
            <w:tcW w:type="dxa" w:w="37"/>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الأثر المحاسبي</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طلب شراء</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طلب من قسم مع مصدره</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اعتماد الطلب</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طلب معتمد قابل للتحويل</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شراء</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شراء رسمي للمورد</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 (التزام محتمل)</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استلام بضائع</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بضاعة مستلمة في المخزون/المشروع</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مورد</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مع ضريبة مدخلات</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تكاليف + ضريبة | دائن: موردين</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مورد</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للمورد</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موردين | دائن: نقدي/بنك</w:t>
            </w:r>
          </w:p>
        </w:tc>
      </w:tr>
    </w:tbl>
    <w:p>
      <w:pPr>
        <w:spacing w:after="200"/>
      </w:pPr>
    </w:p>
    <w:p>
      <w:pPr>
        <w:pStyle w:val="Heading2"/>
        <w:keepNext/>
        <w:spacing w:after="160" w:before="280"/>
      </w:pPr>
      <w:bookmarkStart w:id="100070" w:name="_Toc100070"/>
      <w:r>
        <w:rPr>
          <w:rFonts w:ascii="Calibri" w:cs="Calibri" w:eastAsia="Calibri" w:hAnsi="Calibri"/>
          <w:b/>
          <w:bCs/>
          <w:color w:val="2D6A4F"/>
          <w:sz w:val="30"/>
          <w:szCs w:val="30"/>
        </w:rPr>
        <w:t xml:space="preserve">5.4 سير عمل الرواتب (Payroll Flow)</w:t>
      </w:r>
      <w:bookmarkEnd w:id="100070"/>
    </w:p>
    <w:p>
      <w:pPr>
        <w:bidi/>
        <w:spacing w:after="120" w:line="312"/>
        <w:ind w:firstLine="420"/>
        <w:jc w:val="right"/>
      </w:pPr>
      <w:r>
        <w:rPr>
          <w:rFonts w:ascii="Calibri" w:cs="Calibri" w:eastAsia="Calibri" w:hAnsi="Calibri"/>
          <w:b w:val="false"/>
          <w:bCs w:val="false"/>
          <w:color w:val="1A1A2E"/>
          <w:sz w:val="22"/>
          <w:szCs w:val="22"/>
          <w:rtl/>
        </w:rPr>
        <w:t xml:space="preserve">مسار معالجة الرواتب الشهرية:</w:t>
      </w:r>
    </w:p>
    <w:p>
      <w:pPr>
        <w:bidi/>
        <w:spacing w:after="120" w:line="312"/>
        <w:jc w:val="right"/>
      </w:pPr>
      <w:r>
        <w:rPr>
          <w:rFonts w:ascii="Calibri" w:cs="Calibri" w:eastAsia="Calibri" w:hAnsi="Calibri"/>
          <w:b/>
          <w:bCs/>
          <w:color w:val="B7791F"/>
          <w:sz w:val="22"/>
          <w:szCs w:val="22"/>
          <w:rtl/>
        </w:rPr>
        <w:t xml:space="preserve">بيانات الموظف ← حضور ← حساب راتب ← مسير رواتب ← دفع راتب ← قيد محاسبي</w:t>
      </w:r>
    </w:p>
    <w:p>
      <w:pPr>
        <w:spacing w:after="100"/>
      </w:pP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8"/>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الخطوة</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العملية</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المخرجات</w:t>
            </w:r>
          </w:p>
        </w:tc>
        <w:tc>
          <w:tcPr>
            <w:tcW w:type="dxa" w:w="37"/>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الأثر المحاسبي</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بيانات الموظف</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راتب أساسي + بدلات</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تسجيل الحضور</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ساعات العمل والغياب</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الراتب</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راتب شامل مع الخصومات</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 (مسودة)</w:t>
            </w:r>
          </w:p>
        </w:tc>
      </w:tr>
      <w:tr>
        <w:trPr>
          <w:cantSplit/>
          <w:tblHeader w:val="false"/>
        </w:trPr>
        <w:tc>
          <w:tcPr>
            <w:tcW w:type="dxa" w:w="8"/>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مسير الرواتب</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مسير شامل لجميع الموظفين</w:t>
            </w:r>
          </w:p>
        </w:tc>
        <w:tc>
          <w:tcPr>
            <w:tcW w:type="dxa" w:w="37"/>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لا أثر مباشر (مسودة)</w:t>
            </w:r>
          </w:p>
        </w:tc>
      </w:tr>
      <w:tr>
        <w:trPr>
          <w:cantSplit/>
          <w:tblHeader w:val="false"/>
        </w:trPr>
        <w:tc>
          <w:tcPr>
            <w:tcW w:type="dxa" w:w="8"/>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5</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اعتماد ودفع</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الرواتب عبر البنك</w:t>
            </w:r>
          </w:p>
        </w:tc>
        <w:tc>
          <w:tcPr>
            <w:tcW w:type="dxa" w:w="37"/>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مدين: 8110+8210 | دائن: 3310+3830+بنك</w:t>
            </w:r>
          </w:p>
        </w:tc>
      </w:tr>
    </w:tbl>
    <w:p>
      <w:pPr>
        <w:spacing w:after="200"/>
      </w:pPr>
    </w:p>
    <w:p>
      <w:pPr>
        <w:pStyle w:val="Heading2"/>
        <w:keepNext/>
        <w:spacing w:after="160" w:before="280"/>
      </w:pPr>
      <w:bookmarkStart w:id="100071" w:name="_Toc100071"/>
      <w:r>
        <w:rPr>
          <w:rFonts w:ascii="Calibri" w:cs="Calibri" w:eastAsia="Calibri" w:hAnsi="Calibri"/>
          <w:b/>
          <w:bCs/>
          <w:color w:val="2D6A4F"/>
          <w:sz w:val="30"/>
          <w:szCs w:val="30"/>
        </w:rPr>
        <w:t xml:space="preserve">5.5 توجيه التكاليف التلقائي</w:t>
      </w:r>
      <w:bookmarkEnd w:id="100071"/>
    </w:p>
    <w:p>
      <w:pPr>
        <w:bidi/>
        <w:spacing w:after="120" w:line="312"/>
        <w:ind w:firstLine="420"/>
        <w:jc w:val="right"/>
      </w:pPr>
      <w:r>
        <w:rPr>
          <w:rFonts w:ascii="Calibri" w:cs="Calibri" w:eastAsia="Calibri" w:hAnsi="Calibri"/>
          <w:b w:val="false"/>
          <w:bCs w:val="false"/>
          <w:color w:val="1A1A2E"/>
          <w:sz w:val="22"/>
          <w:szCs w:val="22"/>
          <w:rtl/>
        </w:rPr>
        <w:t xml:space="preserve">يقوم النظام تلقائياً بتوجيه التكاليف إلى المركز المناسب:</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الشرط</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التوجيه</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نوع النشاط</w:t>
            </w:r>
          </w:p>
        </w:tc>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المركز</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مرتبط بمشروع إنشائي</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تكلفة مشروع</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EXECUTION</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مركز المشاريع الإنشائية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مرتبط بمعدة مؤجرة</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تكلفة تأجير</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RENTAL</w:t>
            </w:r>
          </w:p>
        </w:tc>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مركز تأجير المعدات</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غير مرتبط بأي منهما</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تكلفة تشغيلية</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GENERAL</w:t>
            </w:r>
          </w:p>
        </w:tc>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المصروفات العامة</w:t>
            </w:r>
          </w:p>
        </w:tc>
      </w:tr>
    </w:tbl>
    <w:p>
      <w:r>
        <w:br w:type="page"/>
      </w:r>
    </w:p>
    <w:p>
      <w:pPr>
        <w:pStyle w:val="Heading1"/>
        <w:keepNext/>
        <w:spacing w:after="200" w:before="360"/>
      </w:pPr>
      <w:bookmarkStart w:id="100072" w:name="_Toc100072"/>
      <w:r>
        <w:rPr>
          <w:rFonts w:ascii="Calibri" w:cs="Calibri" w:eastAsia="Calibri" w:hAnsi="Calibri"/>
          <w:b/>
          <w:bCs/>
          <w:color w:val="1B4332"/>
          <w:sz w:val="36"/>
          <w:szCs w:val="36"/>
        </w:rPr>
        <w:t xml:space="preserve">الفصل السادس: القيود المحاسبية - الأثر التفصيلي لكل عملية</w:t>
      </w:r>
      <w:bookmarkEnd w:id="100072"/>
    </w:p>
    <w:p>
      <w:pPr>
        <w:bidi/>
        <w:spacing w:after="120" w:line="312"/>
        <w:ind w:firstLine="420"/>
        <w:jc w:val="right"/>
      </w:pPr>
      <w:r>
        <w:rPr>
          <w:rFonts w:ascii="Calibri" w:cs="Calibri" w:eastAsia="Calibri" w:hAnsi="Calibri"/>
          <w:b w:val="false"/>
          <w:bCs w:val="false"/>
          <w:color w:val="1A1A2E"/>
          <w:sz w:val="22"/>
          <w:szCs w:val="22"/>
          <w:rtl/>
        </w:rPr>
        <w:t xml:space="preserve">كل عملية مالية في النظام تولّد تلقائياً قيداً محاسبياً وفقاً لنظام القيد المزدوج. فيما يلي تفصيل القيود لكل نوع عملية:</w:t>
      </w:r>
    </w:p>
    <w:p>
      <w:pPr>
        <w:pStyle w:val="Heading2"/>
        <w:keepNext/>
        <w:spacing w:after="160" w:before="280"/>
      </w:pPr>
      <w:bookmarkStart w:id="100073" w:name="_Toc100073"/>
      <w:r>
        <w:rPr>
          <w:rFonts w:ascii="Calibri" w:cs="Calibri" w:eastAsia="Calibri" w:hAnsi="Calibri"/>
          <w:b/>
          <w:bCs/>
          <w:color w:val="2D6A4F"/>
          <w:sz w:val="30"/>
          <w:szCs w:val="30"/>
        </w:rPr>
        <w:t xml:space="preserve">6.1 فاتورة مبيعات</w:t>
      </w:r>
      <w:bookmarkEnd w:id="100073"/>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6110/6210/6340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إيرادات المشاريع/التأجير/الخدمات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مخرجات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r>
    </w:tbl>
    <w:p>
      <w:pPr>
        <w:spacing w:after="200"/>
      </w:pPr>
    </w:p>
    <w:p>
      <w:pPr>
        <w:pStyle w:val="Heading2"/>
        <w:keepNext/>
        <w:spacing w:after="160" w:before="280"/>
      </w:pPr>
      <w:bookmarkStart w:id="100074" w:name="_Toc100074"/>
      <w:r>
        <w:rPr>
          <w:rFonts w:ascii="Calibri" w:cs="Calibri" w:eastAsia="Calibri" w:hAnsi="Calibri"/>
          <w:b/>
          <w:bCs/>
          <w:color w:val="2D6A4F"/>
          <w:sz w:val="30"/>
          <w:szCs w:val="30"/>
        </w:rPr>
        <w:t xml:space="preserve">6.2 فاتورة مورد</w:t>
      </w:r>
      <w:bookmarkEnd w:id="100074"/>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7xxx/8xxx</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حساب التكلفة/المصروف</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الموردين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1410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مدخلات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r>
    </w:tbl>
    <w:p>
      <w:pPr>
        <w:spacing w:after="200"/>
      </w:pPr>
    </w:p>
    <w:p>
      <w:pPr>
        <w:pStyle w:val="Heading2"/>
        <w:keepNext/>
        <w:spacing w:after="160" w:before="280"/>
      </w:pPr>
      <w:bookmarkStart w:id="100075" w:name="_Toc100075"/>
      <w:r>
        <w:rPr>
          <w:rFonts w:ascii="Calibri" w:cs="Calibri" w:eastAsia="Calibri" w:hAnsi="Calibri"/>
          <w:b/>
          <w:bCs/>
          <w:color w:val="2D6A4F"/>
          <w:sz w:val="30"/>
          <w:szCs w:val="30"/>
        </w:rPr>
        <w:t xml:space="preserve">6.3 مستخلص مشروع</w:t>
      </w:r>
      <w:bookmarkEnd w:id="100075"/>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إيرادات المشاريع الإنشائية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مخرجات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r>
    </w:tbl>
    <w:p>
      <w:pPr>
        <w:spacing w:after="200"/>
      </w:pPr>
    </w:p>
    <w:p>
      <w:pPr>
        <w:pStyle w:val="Heading2"/>
        <w:keepNext/>
        <w:spacing w:after="160" w:before="280"/>
      </w:pPr>
      <w:bookmarkStart w:id="100076" w:name="_Toc100076"/>
      <w:r>
        <w:rPr>
          <w:rFonts w:ascii="Calibri" w:cs="Calibri" w:eastAsia="Calibri" w:hAnsi="Calibri"/>
          <w:b/>
          <w:bCs/>
          <w:color w:val="2D6A4F"/>
          <w:sz w:val="30"/>
          <w:szCs w:val="30"/>
        </w:rPr>
        <w:t xml:space="preserve">6.4 فاتورة تأجير</w:t>
      </w:r>
      <w:bookmarkEnd w:id="100076"/>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إيرادات تأجير المعدات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التأجير</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مخرجات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r>
    </w:tbl>
    <w:p>
      <w:pPr>
        <w:spacing w:after="100"/>
      </w:pPr>
    </w:p>
    <w:p>
      <w:pPr>
        <w:bidi/>
        <w:spacing w:after="120" w:line="312"/>
        <w:jc w:val="right"/>
      </w:pPr>
      <w:r>
        <w:rPr>
          <w:rFonts w:ascii="Calibri" w:cs="Calibri" w:eastAsia="Calibri" w:hAnsi="Calibri"/>
          <w:b/>
          <w:bCs/>
          <w:color w:val="1A1A2E"/>
          <w:sz w:val="22"/>
          <w:szCs w:val="22"/>
          <w:rtl/>
        </w:rPr>
        <w:t xml:space="preserve">مع رسوم التوصيل:</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الكلي +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إيرادات تأجير المعدات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التأجير</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6220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إيرادات رسوم التوصيل</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رسوم التوصيل</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مخرجات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r>
    </w:tbl>
    <w:p>
      <w:pPr>
        <w:spacing w:after="200"/>
      </w:pPr>
    </w:p>
    <w:p>
      <w:pPr>
        <w:pStyle w:val="Heading2"/>
        <w:keepNext/>
        <w:spacing w:after="160" w:before="280"/>
      </w:pPr>
      <w:bookmarkStart w:id="100077" w:name="_Toc100077"/>
      <w:r>
        <w:rPr>
          <w:rFonts w:ascii="Calibri" w:cs="Calibri" w:eastAsia="Calibri" w:hAnsi="Calibri"/>
          <w:b/>
          <w:bCs/>
          <w:color w:val="2D6A4F"/>
          <w:sz w:val="30"/>
          <w:szCs w:val="30"/>
        </w:rPr>
        <w:t xml:space="preserve">6.5 تحصيل من عميل</w:t>
      </w:r>
      <w:bookmarkEnd w:id="100077"/>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1110/1120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النقدية/البنك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المحصّل</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المحصّل</w:t>
            </w:r>
          </w:p>
        </w:tc>
      </w:tr>
    </w:tbl>
    <w:p>
      <w:pPr>
        <w:spacing w:after="200"/>
      </w:pPr>
    </w:p>
    <w:p>
      <w:pPr>
        <w:pStyle w:val="Heading2"/>
        <w:keepNext/>
        <w:spacing w:after="160" w:before="280"/>
      </w:pPr>
      <w:bookmarkStart w:id="100078" w:name="_Toc100078"/>
      <w:r>
        <w:rPr>
          <w:rFonts w:ascii="Calibri" w:cs="Calibri" w:eastAsia="Calibri" w:hAnsi="Calibri"/>
          <w:b/>
          <w:bCs/>
          <w:color w:val="2D6A4F"/>
          <w:sz w:val="30"/>
          <w:szCs w:val="30"/>
        </w:rPr>
        <w:t xml:space="preserve">6.6 دفع لمورد</w:t>
      </w:r>
      <w:bookmarkEnd w:id="100078"/>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الموردين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المدفوع</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1110/1120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النقدية/البنك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المدفوع</w:t>
            </w:r>
          </w:p>
        </w:tc>
      </w:tr>
    </w:tbl>
    <w:p>
      <w:pPr>
        <w:spacing w:after="200"/>
      </w:pPr>
    </w:p>
    <w:p>
      <w:pPr>
        <w:pStyle w:val="Heading2"/>
        <w:keepNext/>
        <w:spacing w:after="160" w:before="280"/>
      </w:pPr>
      <w:bookmarkStart w:id="100079" w:name="_Toc100079"/>
      <w:r>
        <w:rPr>
          <w:rFonts w:ascii="Calibri" w:cs="Calibri" w:eastAsia="Calibri" w:hAnsi="Calibri"/>
          <w:b/>
          <w:bCs/>
          <w:color w:val="2D6A4F"/>
          <w:sz w:val="30"/>
          <w:szCs w:val="30"/>
        </w:rPr>
        <w:t xml:space="preserve">6.7 مصروف عام</w:t>
      </w:r>
      <w:bookmarkEnd w:id="100079"/>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7xxx/8xxx</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حساب المصروف (حسب النوع)</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1110/1120/1130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النقدية/البنك/الصندوق</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الكلي</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1410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مدخلات (إن وجدت)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r>
    </w:tbl>
    <w:p>
      <w:pPr>
        <w:spacing w:after="100"/>
      </w:pPr>
    </w:p>
    <w:p>
      <w:pPr>
        <w:bidi/>
        <w:spacing w:after="120" w:line="312"/>
        <w:jc w:val="right"/>
      </w:pPr>
      <w:r>
        <w:rPr>
          <w:rFonts w:ascii="Calibri" w:cs="Calibri" w:eastAsia="Calibri" w:hAnsi="Calibri"/>
          <w:b/>
          <w:bCs/>
          <w:color w:val="1A1A2E"/>
          <w:sz w:val="22"/>
          <w:szCs w:val="22"/>
          <w:rtl/>
        </w:rPr>
        <w:t xml:space="preserve">أو إذا كان المصروف آجلاً:</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7xxx/8xxx</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حساب المصروف</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الموردين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1410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مدخلات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r>
    </w:tbl>
    <w:p>
      <w:pPr>
        <w:spacing w:after="200"/>
      </w:pPr>
    </w:p>
    <w:p>
      <w:pPr>
        <w:pStyle w:val="Heading2"/>
        <w:keepNext/>
        <w:spacing w:after="160" w:before="280"/>
      </w:pPr>
      <w:bookmarkStart w:id="100080" w:name="_Toc100080"/>
      <w:r>
        <w:rPr>
          <w:rFonts w:ascii="Calibri" w:cs="Calibri" w:eastAsia="Calibri" w:hAnsi="Calibri"/>
          <w:b/>
          <w:bCs/>
          <w:color w:val="2D6A4F"/>
          <w:sz w:val="30"/>
          <w:szCs w:val="30"/>
        </w:rPr>
        <w:t xml:space="preserve">6.8 رواتب وأجور</w:t>
      </w:r>
      <w:bookmarkEnd w:id="100080"/>
    </w:p>
    <w:p>
      <w:pPr>
        <w:bidi/>
        <w:spacing w:after="120" w:line="312"/>
        <w:ind w:firstLine="420"/>
        <w:jc w:val="right"/>
      </w:pPr>
      <w:r>
        <w:rPr>
          <w:rFonts w:ascii="Calibri" w:cs="Calibri" w:eastAsia="Calibri" w:hAnsi="Calibri"/>
          <w:b w:val="false"/>
          <w:bCs w:val="false"/>
          <w:color w:val="1A1A2E"/>
          <w:sz w:val="22"/>
          <w:szCs w:val="22"/>
          <w:rtl/>
        </w:rPr>
        <w:t xml:space="preserve">القيد الكامل عند دفع الرواتب:</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رواتب وأجور</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إجمالي الرواتب</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3310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مستحق الرواتب</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صافي الرواتب</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8210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مصروف التأمينات الاجتماعية</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حصة المنشأة</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3830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مستحق التأمينات الاجتماعية</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إجمالي التأمينات</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1110/1120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النقدية/البنك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صافي المدفوع</w:t>
            </w:r>
          </w:p>
        </w:tc>
      </w:tr>
    </w:tbl>
    <w:p>
      <w:pPr>
        <w:spacing w:after="200"/>
      </w:pPr>
    </w:p>
    <w:p>
      <w:pPr>
        <w:pStyle w:val="Heading2"/>
        <w:keepNext/>
        <w:spacing w:after="160" w:before="280"/>
      </w:pPr>
      <w:bookmarkStart w:id="100081" w:name="_Toc100081"/>
      <w:r>
        <w:rPr>
          <w:rFonts w:ascii="Calibri" w:cs="Calibri" w:eastAsia="Calibri" w:hAnsi="Calibri"/>
          <w:b/>
          <w:bCs/>
          <w:color w:val="2D6A4F"/>
          <w:sz w:val="30"/>
          <w:szCs w:val="30"/>
        </w:rPr>
        <w:t xml:space="preserve">6.9 إهلاك الأصول الثابتة</w:t>
      </w:r>
      <w:bookmarkEnd w:id="100081"/>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8310-8340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مصروف الإهلاك (حسب نوع الأصل)</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الإهلاك</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2210-2240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مجمع الإهلاك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الإهلاك</w:t>
            </w:r>
          </w:p>
        </w:tc>
      </w:tr>
    </w:tbl>
    <w:p>
      <w:pPr>
        <w:spacing w:after="100"/>
      </w:pPr>
    </w:p>
    <w:p>
      <w:pPr>
        <w:bidi/>
        <w:spacing w:after="120" w:line="312"/>
        <w:jc w:val="right"/>
      </w:pPr>
      <w:r>
        <w:rPr>
          <w:rFonts w:ascii="Calibri" w:cs="Calibri" w:eastAsia="Calibri" w:hAnsi="Calibri"/>
          <w:b/>
          <w:bCs/>
          <w:color w:val="1A1A2E"/>
          <w:sz w:val="22"/>
          <w:szCs w:val="22"/>
          <w:rtl/>
        </w:rPr>
        <w:t xml:space="preserve">إهلاك معدات التأجير:</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7250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إهلاك معدات التأجير</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الإهلاك</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2220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مجمع إهلاك معدات التأجير</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الإهلاك</w:t>
            </w:r>
          </w:p>
        </w:tc>
      </w:tr>
    </w:tbl>
    <w:p>
      <w:pPr>
        <w:spacing w:after="200"/>
      </w:pPr>
    </w:p>
    <w:p>
      <w:pPr>
        <w:pStyle w:val="Heading2"/>
        <w:keepNext/>
        <w:spacing w:after="160" w:before="280"/>
      </w:pPr>
      <w:bookmarkStart w:id="100082" w:name="_Toc100082"/>
      <w:r>
        <w:rPr>
          <w:rFonts w:ascii="Calibri" w:cs="Calibri" w:eastAsia="Calibri" w:hAnsi="Calibri"/>
          <w:b/>
          <w:bCs/>
          <w:color w:val="2D6A4F"/>
          <w:sz w:val="30"/>
          <w:szCs w:val="30"/>
        </w:rPr>
        <w:t xml:space="preserve">6.10 سلفة موظف</w:t>
      </w:r>
      <w:bookmarkEnd w:id="100082"/>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1230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سلف الموظفين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السلفة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السلفة</w:t>
            </w:r>
          </w:p>
        </w:tc>
      </w:tr>
    </w:tbl>
    <w:p>
      <w:pPr>
        <w:spacing w:after="100"/>
      </w:pPr>
    </w:p>
    <w:p>
      <w:pPr>
        <w:bidi/>
        <w:spacing w:after="120" w:line="312"/>
        <w:jc w:val="right"/>
      </w:pPr>
      <w:r>
        <w:rPr>
          <w:rFonts w:ascii="Calibri" w:cs="Calibri" w:eastAsia="Calibri" w:hAnsi="Calibri"/>
          <w:b/>
          <w:bCs/>
          <w:color w:val="1A1A2E"/>
          <w:sz w:val="22"/>
          <w:szCs w:val="22"/>
          <w:rtl/>
        </w:rPr>
        <w:t xml:space="preserve">تسوية السلفة: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رواتب وأجور</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التسوية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1230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سلف الموظفين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التسوية</w:t>
            </w:r>
          </w:p>
        </w:tc>
      </w:tr>
    </w:tbl>
    <w:p>
      <w:pPr>
        <w:spacing w:after="200"/>
      </w:pPr>
    </w:p>
    <w:p>
      <w:pPr>
        <w:pStyle w:val="Heading2"/>
        <w:keepNext/>
        <w:spacing w:after="160" w:before="280"/>
      </w:pPr>
      <w:bookmarkStart w:id="100083" w:name="_Toc100083"/>
      <w:r>
        <w:rPr>
          <w:rFonts w:ascii="Calibri" w:cs="Calibri" w:eastAsia="Calibri" w:hAnsi="Calibri"/>
          <w:b/>
          <w:bCs/>
          <w:color w:val="2D6A4F"/>
          <w:sz w:val="30"/>
          <w:szCs w:val="30"/>
        </w:rPr>
        <w:t xml:space="preserve">6.11 إقرار ضريبة القيمة المضافة</w:t>
      </w:r>
      <w:bookmarkEnd w:id="100083"/>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مخرجات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إجمالي المخرجات</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القيمة المضافة - مدخلات</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إجمالي المدخلات</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3130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الضريبة المستحقة</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الفرق</w:t>
            </w:r>
          </w:p>
        </w:tc>
      </w:tr>
    </w:tbl>
    <w:p>
      <w:pPr>
        <w:spacing w:after="100"/>
      </w:pPr>
    </w:p>
    <w:p>
      <w:pPr>
        <w:bidi/>
        <w:spacing w:after="120" w:line="312"/>
        <w:jc w:val="right"/>
      </w:pPr>
      <w:r>
        <w:rPr>
          <w:rFonts w:ascii="Calibri" w:cs="Calibri" w:eastAsia="Calibri" w:hAnsi="Calibri"/>
          <w:b/>
          <w:bCs/>
          <w:color w:val="1A1A2E"/>
          <w:sz w:val="22"/>
          <w:szCs w:val="22"/>
          <w:rtl/>
        </w:rPr>
        <w:t xml:space="preserve">دفع الضريبة المستحقة: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3130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الضريبة المستحقة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البنك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w:t>
            </w:r>
          </w:p>
        </w:tc>
      </w:tr>
    </w:tbl>
    <w:p>
      <w:pPr>
        <w:spacing w:after="200"/>
      </w:pPr>
    </w:p>
    <w:p>
      <w:pPr>
        <w:pStyle w:val="Heading2"/>
        <w:keepNext/>
        <w:spacing w:after="160" w:before="280"/>
      </w:pPr>
      <w:bookmarkStart w:id="100084" w:name="_Toc100084"/>
      <w:r>
        <w:rPr>
          <w:rFonts w:ascii="Calibri" w:cs="Calibri" w:eastAsia="Calibri" w:hAnsi="Calibri"/>
          <w:b/>
          <w:bCs/>
          <w:color w:val="2D6A4F"/>
          <w:sz w:val="30"/>
          <w:szCs w:val="30"/>
        </w:rPr>
        <w:t xml:space="preserve">6.12 دفعة مقدمة من عميل</w:t>
      </w:r>
      <w:bookmarkEnd w:id="100084"/>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1110/1120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النقدية/البنك</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الدفعة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3410/3420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دفعات العملاء المقدمة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الدفعة</w:t>
            </w:r>
          </w:p>
        </w:tc>
      </w:tr>
    </w:tbl>
    <w:p>
      <w:pPr>
        <w:spacing w:after="200"/>
      </w:pPr>
    </w:p>
    <w:p>
      <w:pPr>
        <w:pStyle w:val="Heading2"/>
        <w:keepNext/>
        <w:spacing w:after="160" w:before="280"/>
      </w:pPr>
      <w:bookmarkStart w:id="100085" w:name="_Toc100085"/>
      <w:r>
        <w:rPr>
          <w:rFonts w:ascii="Calibri" w:cs="Calibri" w:eastAsia="Calibri" w:hAnsi="Calibri"/>
          <w:b/>
          <w:bCs/>
          <w:color w:val="2D6A4F"/>
          <w:sz w:val="30"/>
          <w:szCs w:val="30"/>
        </w:rPr>
        <w:t xml:space="preserve">6.13 فاتورة مقاول فرعي</w:t>
      </w:r>
      <w:bookmarkEnd w:id="100085"/>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7130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تكاليف المقاولين الفرعيين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قبل الضريبة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المقاولون الفرعيون</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المبلغ + الضريبة</w:t>
            </w:r>
          </w:p>
        </w:tc>
      </w:tr>
      <w:tr>
        <w:trPr>
          <w:cantSplit/>
          <w:tblHeader w:val="false"/>
        </w:trPr>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3120</w:t>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ضريبة مدخلات</w:t>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15%</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c>
          <w:tcPr>
            <w:tcW w:type="dxa" w:w="25"/>
            <w:shd w:fill="F1F8F4"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
            </w:r>
          </w:p>
        </w:tc>
        <w:tc>
          <w:tcPr>
            <w:tcW w:type="dxa" w:w="1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
            </w:r>
          </w:p>
        </w:tc>
      </w:tr>
    </w:tbl>
    <w:p>
      <w:pPr>
        <w:spacing w:after="200"/>
      </w:pPr>
    </w:p>
    <w:p>
      <w:pPr>
        <w:pStyle w:val="Heading2"/>
        <w:keepNext/>
        <w:spacing w:after="160" w:before="280"/>
      </w:pPr>
      <w:bookmarkStart w:id="100086" w:name="_Toc100086"/>
      <w:r>
        <w:rPr>
          <w:rFonts w:ascii="Calibri" w:cs="Calibri" w:eastAsia="Calibri" w:hAnsi="Calibri"/>
          <w:b/>
          <w:bCs/>
          <w:color w:val="2D6A4F"/>
          <w:sz w:val="30"/>
          <w:szCs w:val="30"/>
        </w:rPr>
        <w:t xml:space="preserve">6.14 محتجزات</w:t>
      </w:r>
      <w:bookmarkEnd w:id="100086"/>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1220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المحتجزات - 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المحتجزات</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العملاء</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المحتجزات</w:t>
            </w:r>
          </w:p>
        </w:tc>
      </w:tr>
    </w:tbl>
    <w:p>
      <w:pPr>
        <w:spacing w:after="200"/>
      </w:pPr>
    </w:p>
    <w:p>
      <w:pPr>
        <w:pStyle w:val="Heading2"/>
        <w:keepNext/>
        <w:spacing w:after="160" w:before="280"/>
      </w:pPr>
      <w:bookmarkStart w:id="100087" w:name="_Toc100087"/>
      <w:r>
        <w:rPr>
          <w:rFonts w:ascii="Calibri" w:cs="Calibri" w:eastAsia="Calibri" w:hAnsi="Calibri"/>
          <w:b/>
          <w:bCs/>
          <w:color w:val="2D6A4F"/>
          <w:sz w:val="30"/>
          <w:szCs w:val="30"/>
        </w:rPr>
        <w:t xml:space="preserve">6.15 الزكاة</w:t>
      </w:r>
      <w:bookmarkEnd w:id="100087"/>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8510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مصروف الزكاة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الزكاة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3810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مستحق الزكاة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مبلغ الزكاة</w:t>
            </w:r>
          </w:p>
        </w:tc>
      </w:tr>
    </w:tbl>
    <w:p>
      <w:pPr>
        <w:spacing w:after="200"/>
      </w:pPr>
    </w:p>
    <w:p>
      <w:pPr>
        <w:pStyle w:val="Heading2"/>
        <w:keepNext/>
        <w:spacing w:after="160" w:before="280"/>
      </w:pPr>
      <w:bookmarkStart w:id="100088" w:name="_Toc100088"/>
      <w:r>
        <w:rPr>
          <w:rFonts w:ascii="Calibri" w:cs="Calibri" w:eastAsia="Calibri" w:hAnsi="Calibri"/>
          <w:b/>
          <w:bCs/>
          <w:color w:val="2D6A4F"/>
          <w:sz w:val="30"/>
          <w:szCs w:val="30"/>
        </w:rPr>
        <w:t xml:space="preserve">6.16 مخصص نهاية الخدمة</w:t>
      </w:r>
      <w:bookmarkEnd w:id="100088"/>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gridCol w:w="100"/>
        <w:gridCol w:w="100"/>
      </w:tblGrid>
      <w:tr>
        <w:trPr>
          <w:cantSplit/>
          <w:tblHeader/>
        </w:trPr>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مدين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كود الحساب</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اسم الحساب - دائن</w:t>
            </w:r>
          </w:p>
        </w:tc>
        <w:tc>
          <w:tcPr>
            <w:tcW w:type="dxa" w:w="1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مبلغ</w:t>
            </w:r>
          </w:p>
        </w:tc>
      </w:tr>
      <w:tr>
        <w:trPr>
          <w:cantSplit/>
          <w:tblHeader w:val="false"/>
        </w:trPr>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رواتب وأجور</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المخصص</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3710</w:t>
            </w:r>
          </w:p>
        </w:tc>
        <w:tc>
          <w:tcPr>
            <w:tcW w:type="dxa" w:w="25"/>
            <w:shd w:fill="FFFFFF" w:val="clear"/>
            <w:tcMar>
              <w:top w:type="dxa" w:w="60"/>
              <w:left w:type="dxa" w:w="100"/>
              <w:bottom w:type="dxa" w:w="60"/>
              <w:right w:type="dxa" w:w="100"/>
            </w:tcMar>
          </w:tcPr>
          <w:p>
            <w:pPr>
              <w:bidi/>
              <w:jc w:val="right"/>
            </w:pPr>
            <w:r>
              <w:rPr>
                <w:rFonts w:ascii="Calibri" w:cs="Calibri" w:eastAsia="Calibri" w:hAnsi="Calibri"/>
                <w:b w:val="false"/>
                <w:bCs w:val="false"/>
                <w:color w:val="1A1A2E"/>
                <w:sz w:val="20"/>
                <w:szCs w:val="20"/>
                <w:rtl/>
              </w:rPr>
              <w:t xml:space="preserve">مخصص نهاية الخدمة</w:t>
            </w:r>
          </w:p>
        </w:tc>
        <w:tc>
          <w:tcPr>
            <w:tcW w:type="dxa" w:w="1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قسط المخصص</w:t>
            </w:r>
          </w:p>
        </w:tc>
      </w:tr>
    </w:tbl>
    <w:p>
      <w:r>
        <w:br w:type="page"/>
      </w:r>
    </w:p>
    <w:p>
      <w:pPr>
        <w:pStyle w:val="Heading1"/>
        <w:keepNext/>
        <w:spacing w:after="200" w:before="360"/>
      </w:pPr>
      <w:bookmarkStart w:id="100089" w:name="_Toc100089"/>
      <w:r>
        <w:rPr>
          <w:rFonts w:ascii="Calibri" w:cs="Calibri" w:eastAsia="Calibri" w:hAnsi="Calibri"/>
          <w:b/>
          <w:bCs/>
          <w:color w:val="1B4332"/>
          <w:sz w:val="36"/>
          <w:szCs w:val="36"/>
        </w:rPr>
        <w:t xml:space="preserve">الفصل السابع: محرك القيود التلقائية</w:t>
      </w:r>
      <w:bookmarkEnd w:id="100089"/>
    </w:p>
    <w:p>
      <w:pPr>
        <w:pStyle w:val="Heading2"/>
        <w:keepNext/>
        <w:spacing w:after="160" w:before="280"/>
      </w:pPr>
      <w:bookmarkStart w:id="100090" w:name="_Toc100090"/>
      <w:r>
        <w:rPr>
          <w:rFonts w:ascii="Calibri" w:cs="Calibri" w:eastAsia="Calibri" w:hAnsi="Calibri"/>
          <w:b/>
          <w:bCs/>
          <w:color w:val="2D6A4F"/>
          <w:sz w:val="30"/>
          <w:szCs w:val="30"/>
        </w:rPr>
        <w:t xml:space="preserve">7.1 نظرة عامة</w:t>
      </w:r>
      <w:bookmarkEnd w:id="100090"/>
    </w:p>
    <w:p>
      <w:pPr>
        <w:bidi/>
        <w:spacing w:after="120" w:line="312"/>
        <w:ind w:firstLine="420"/>
        <w:jc w:val="right"/>
      </w:pPr>
      <w:r>
        <w:rPr>
          <w:rFonts w:ascii="Calibri" w:cs="Calibri" w:eastAsia="Calibri" w:hAnsi="Calibri"/>
          <w:b w:val="false"/>
          <w:bCs w:val="false"/>
          <w:color w:val="1A1A2E"/>
          <w:sz w:val="22"/>
          <w:szCs w:val="22"/>
          <w:rtl/>
        </w:rPr>
        <w:t xml:space="preserve">يحتوي محرك المحاسبة على 18 دالة لإنشاء القيود المحاسبية تلقائياً. كل دالة تتلقى بيانات العملية وتُنشئ القيد المحاسبي المناسب مع بنوده (مدين ودائن) وتخزنه في قاعدة البيانات كوحدة واحدة ذرية (Atomic Transaction).</w:t>
      </w:r>
    </w:p>
    <w:p>
      <w:pPr>
        <w:pStyle w:val="Heading2"/>
        <w:keepNext/>
        <w:spacing w:after="160" w:before="280"/>
      </w:pPr>
      <w:bookmarkStart w:id="100091" w:name="_Toc100091"/>
      <w:r>
        <w:rPr>
          <w:rFonts w:ascii="Calibri" w:cs="Calibri" w:eastAsia="Calibri" w:hAnsi="Calibri"/>
          <w:b/>
          <w:bCs/>
          <w:color w:val="2D6A4F"/>
          <w:sz w:val="30"/>
          <w:szCs w:val="30"/>
        </w:rPr>
        <w:t xml:space="preserve">7.2 الدوال التفصيلية</w:t>
      </w:r>
      <w:bookmarkEnd w:id="100091"/>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gridCol w:w="100"/>
      </w:tblGrid>
      <w:tr>
        <w:trPr>
          <w:cantSplit/>
          <w:tblHeader/>
        </w:trPr>
        <w:tc>
          <w:tcPr>
            <w:tcW w:type="dxa" w:w="3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الدالة</w:t>
            </w:r>
          </w:p>
        </w:tc>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المصدر</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المدين</w:t>
            </w:r>
          </w:p>
        </w:tc>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الدائن</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autoEntrySalesInvoice</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مبيعات</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الإيرادات + 3110 ضريبة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autoEntryPurchaseInvoice</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مشتريات</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التكلفة + 3120 ضريبة</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 الموردين</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autoEntryProgressClaim</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مستخلص</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 الإيرادات + 3110 ضريبة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autoEntryExpense</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مصروف</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المصروف + 1410 ضريبة</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النقدية أو الموردين</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autoEntryClientPayment</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 عميل</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النقدية/البنك</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autoEntrySupplierPayment</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مورد</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3210 الموردين</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النقدية/البنك</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autoEntryRentalInvoice</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تأجير</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6210 إيرادات تأجير + ضريبة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autoEntryDeliveryFees</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رسوم توصيل</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1210 العملاء</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6220 إيرادات توصيل + ضريبة</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autoEntrySubcontractorInvoice</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مقاول فرعي</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7130 + ضريبة</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3220 مقاولين فرعيين</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autoEntryEquipmentCost</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تكلفة معدات</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7210-7300 تكلفة</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النقدية أو الموردين</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autoEntrySalary</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راتب</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 + 8210</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3310 + 3830 + النقدية</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autoEntryGOSI</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تأمينات اجتماعية</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8210 مصروف تأمينات</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3830 مستحق التأمينات</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autoEntryDepreciation</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إهلاك أصول</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8310-8340 مصروف إهلاك</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2210-2240 مجمع إهلاك</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autoEntryRentalDepreciation</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إهلاك تأجير</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7250 إهلاك تأجير</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2220 مجمع إهلاك</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autoEntryPettyCash</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صندوق طوارئ</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المصروف</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1130 صندوق طوارئ</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autoEntryEmployeeAdvance</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سلفة موظف</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1230 سلف الموظفين</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1110 النقدية</w:t>
            </w:r>
          </w:p>
        </w:tc>
      </w:tr>
      <w:tr>
        <w:trPr>
          <w:cantSplit/>
          <w:tblHeader w:val="false"/>
        </w:trPr>
        <w:tc>
          <w:tcPr>
            <w:tcW w:type="dxa" w:w="3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autoEntryAdvanceSettlement</w:t>
            </w:r>
          </w:p>
        </w:tc>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تسوية سلفة</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8110 رواتب</w:t>
            </w:r>
          </w:p>
        </w:tc>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1230 سلف الموظفين</w:t>
            </w:r>
          </w:p>
        </w:tc>
      </w:tr>
      <w:tr>
        <w:trPr>
          <w:cantSplit/>
          <w:tblHeader w:val="false"/>
        </w:trPr>
        <w:tc>
          <w:tcPr>
            <w:tcW w:type="dxa" w:w="3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autoEntryContractAdvance</w:t>
            </w:r>
          </w:p>
        </w:tc>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دفعة مقدمة عقد</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النقدية/البنك</w:t>
            </w:r>
          </w:p>
        </w:tc>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3410/3420 دفعات مقدمة</w:t>
            </w:r>
          </w:p>
        </w:tc>
      </w:tr>
    </w:tbl>
    <w:p>
      <w:pPr>
        <w:spacing w:after="200"/>
      </w:pPr>
    </w:p>
    <w:p>
      <w:pPr>
        <w:pStyle w:val="Heading2"/>
        <w:keepNext/>
        <w:spacing w:after="160" w:before="280"/>
      </w:pPr>
      <w:bookmarkStart w:id="100092" w:name="_Toc100092"/>
      <w:r>
        <w:rPr>
          <w:rFonts w:ascii="Calibri" w:cs="Calibri" w:eastAsia="Calibri" w:hAnsi="Calibri"/>
          <w:b/>
          <w:bCs/>
          <w:color w:val="2D6A4F"/>
          <w:sz w:val="30"/>
          <w:szCs w:val="30"/>
        </w:rPr>
        <w:t xml:space="preserve">7.3 آلية العكس (Reversal)</w:t>
      </w:r>
      <w:bookmarkEnd w:id="100092"/>
    </w:p>
    <w:p>
      <w:pPr>
        <w:bidi/>
        <w:spacing w:after="120" w:line="312"/>
        <w:ind w:firstLine="420"/>
        <w:jc w:val="right"/>
      </w:pPr>
      <w:r>
        <w:rPr>
          <w:rFonts w:ascii="Calibri" w:cs="Calibri" w:eastAsia="Calibri" w:hAnsi="Calibri"/>
          <w:b w:val="false"/>
          <w:bCs w:val="false"/>
          <w:color w:val="1A1A2E"/>
          <w:sz w:val="22"/>
          <w:szCs w:val="22"/>
          <w:rtl/>
        </w:rPr>
        <w:t xml:space="preserve">لا يمكن حذف قيد محاسبي مرحّل مباشرة. بدلاً من ذلك، يُنشأ النظام قيداً عكسياً يبدّل المدين والدائن: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التبعيات: هل توجد عمليات لاحقة تعتمد على هذا القيد؟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إنشاء قيد عكسي: تبديل المدين والدائن في جميع البنود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ربط القيد العكسي بالقيد الأصلي عبر reversedEntryId</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تسجيل العملية في سجل المراجعة: REVERSED</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سلسلة العكس: يجب عكس العمليات التابعة قبل العكس الأم</w:t>
      </w:r>
    </w:p>
    <w:p>
      <w:pPr>
        <w:pStyle w:val="Heading2"/>
        <w:keepNext/>
        <w:spacing w:after="160" w:before="280"/>
      </w:pPr>
      <w:bookmarkStart w:id="100093" w:name="_Toc100093"/>
      <w:r>
        <w:rPr>
          <w:rFonts w:ascii="Calibri" w:cs="Calibri" w:eastAsia="Calibri" w:hAnsi="Calibri"/>
          <w:b/>
          <w:bCs/>
          <w:color w:val="2D6A4F"/>
          <w:sz w:val="30"/>
          <w:szCs w:val="30"/>
        </w:rPr>
        <w:t xml:space="preserve">7.4 سجل المراجعة</w:t>
      </w:r>
      <w:bookmarkEnd w:id="100093"/>
    </w:p>
    <w:p>
      <w:pPr>
        <w:bidi/>
        <w:spacing w:after="120" w:line="312"/>
        <w:ind w:firstLine="420"/>
        <w:jc w:val="right"/>
      </w:pPr>
      <w:r>
        <w:rPr>
          <w:rFonts w:ascii="Calibri" w:cs="Calibri" w:eastAsia="Calibri" w:hAnsi="Calibri"/>
          <w:b w:val="false"/>
          <w:bCs w:val="false"/>
          <w:color w:val="1A1A2E"/>
          <w:sz w:val="22"/>
          <w:szCs w:val="22"/>
          <w:rtl/>
        </w:rPr>
        <w:t xml:space="preserve">كل قيد محاسبي يمر بسجل مراجعة كامل: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CREATED: تم إنشاء القيد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POSTED: تم ترحيل القيد (أصبح نهائياً)</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REVERSED: تم عكس القيد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CANCELLED: تم إلغاء القيد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PRINTED: تم طباعة القيد</w:t>
      </w:r>
    </w:p>
    <w:p>
      <w:r>
        <w:br w:type="page"/>
      </w:r>
    </w:p>
    <w:p>
      <w:pPr>
        <w:pStyle w:val="Heading1"/>
        <w:keepNext/>
        <w:spacing w:after="200" w:before="360"/>
      </w:pPr>
      <w:bookmarkStart w:id="100094" w:name="_Toc100094"/>
      <w:r>
        <w:rPr>
          <w:rFonts w:ascii="Calibri" w:cs="Calibri" w:eastAsia="Calibri" w:hAnsi="Calibri"/>
          <w:b/>
          <w:bCs/>
          <w:color w:val="1B4332"/>
          <w:sz w:val="36"/>
          <w:szCs w:val="36"/>
        </w:rPr>
        <w:t xml:space="preserve">الفصل الثامن: التقارير المالية</w:t>
      </w:r>
      <w:bookmarkEnd w:id="100094"/>
    </w:p>
    <w:p>
      <w:pPr>
        <w:pStyle w:val="Heading2"/>
        <w:keepNext/>
        <w:spacing w:after="160" w:before="280"/>
      </w:pPr>
      <w:bookmarkStart w:id="100095" w:name="_Toc100095"/>
      <w:r>
        <w:rPr>
          <w:rFonts w:ascii="Calibri" w:cs="Calibri" w:eastAsia="Calibri" w:hAnsi="Calibri"/>
          <w:b/>
          <w:bCs/>
          <w:color w:val="2D6A4F"/>
          <w:sz w:val="30"/>
          <w:szCs w:val="30"/>
        </w:rPr>
        <w:t xml:space="preserve">8.1 ميزان المراجعة (Trial Balance)</w:t>
      </w:r>
      <w:bookmarkEnd w:id="100095"/>
    </w:p>
    <w:p>
      <w:pPr>
        <w:bidi/>
        <w:spacing w:after="120" w:line="312"/>
        <w:ind w:firstLine="420"/>
        <w:jc w:val="right"/>
      </w:pPr>
      <w:r>
        <w:rPr>
          <w:rFonts w:ascii="Calibri" w:cs="Calibri" w:eastAsia="Calibri" w:hAnsi="Calibri"/>
          <w:b w:val="false"/>
          <w:bCs w:val="false"/>
          <w:color w:val="1A1A2E"/>
          <w:sz w:val="22"/>
          <w:szCs w:val="22"/>
          <w:rtl/>
        </w:rPr>
        <w:t xml:space="preserve">يلخص أرصدة جميع الحسابات في تاريخ محدد. يحسب الرصيد الصافي (مدين/دائن) لكل حساب باستخدام قواعد الرصيد الطبيعي: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الأصول والمصروفات: الرصيد الطبيعي مدين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الالتزامات وحقوق الملكية والإيرادات: الرصيد الطبيعي دائن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المصدر: القيود المحاسبية المرحّلة فقط</w:t>
      </w:r>
    </w:p>
    <w:p>
      <w:pPr>
        <w:pStyle w:val="Heading2"/>
        <w:keepNext/>
        <w:spacing w:after="160" w:before="280"/>
      </w:pPr>
      <w:bookmarkStart w:id="100096" w:name="_Toc100096"/>
      <w:r>
        <w:rPr>
          <w:rFonts w:ascii="Calibri" w:cs="Calibri" w:eastAsia="Calibri" w:hAnsi="Calibri"/>
          <w:b/>
          <w:bCs/>
          <w:color w:val="2D6A4F"/>
          <w:sz w:val="30"/>
          <w:szCs w:val="30"/>
        </w:rPr>
        <w:t xml:space="preserve">8.2 دفتر الأستاذ العام (General Ledger)</w:t>
      </w:r>
      <w:bookmarkEnd w:id="100096"/>
    </w:p>
    <w:p>
      <w:pPr>
        <w:bidi/>
        <w:spacing w:after="120" w:line="312"/>
        <w:ind w:firstLine="420"/>
        <w:jc w:val="right"/>
      </w:pPr>
      <w:r>
        <w:rPr>
          <w:rFonts w:ascii="Calibri" w:cs="Calibri" w:eastAsia="Calibri" w:hAnsi="Calibri"/>
          <w:b w:val="false"/>
          <w:bCs w:val="false"/>
          <w:color w:val="1A1A2E"/>
          <w:sz w:val="22"/>
          <w:szCs w:val="22"/>
          <w:rtl/>
        </w:rPr>
        <w:t xml:space="preserve">يعرض الحركات التفصيلية لكل حساب مع الرصيد الجاري: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تاريخ القيد، رقم القيد، الوصف، المدين، الدائن، الرصيد الجاري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فلترة حسب الحساب والفترة الزمنية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المصدر: القيود المرحّلة</w:t>
      </w:r>
    </w:p>
    <w:p>
      <w:pPr>
        <w:pStyle w:val="Heading2"/>
        <w:keepNext/>
        <w:spacing w:after="160" w:before="280"/>
      </w:pPr>
      <w:bookmarkStart w:id="100097" w:name="_Toc100097"/>
      <w:r>
        <w:rPr>
          <w:rFonts w:ascii="Calibri" w:cs="Calibri" w:eastAsia="Calibri" w:hAnsi="Calibri"/>
          <w:b/>
          <w:bCs/>
          <w:color w:val="2D6A4F"/>
          <w:sz w:val="30"/>
          <w:szCs w:val="30"/>
        </w:rPr>
        <w:t xml:space="preserve">8.3 الميزانية العمومية (Balance Sheet)</w:t>
      </w:r>
      <w:bookmarkEnd w:id="100097"/>
    </w:p>
    <w:p>
      <w:pPr>
        <w:bidi/>
        <w:spacing w:after="120" w:line="312"/>
        <w:ind w:firstLine="420"/>
        <w:jc w:val="right"/>
      </w:pPr>
      <w:r>
        <w:rPr>
          <w:rFonts w:ascii="Calibri" w:cs="Calibri" w:eastAsia="Calibri" w:hAnsi="Calibri"/>
          <w:b w:val="false"/>
          <w:bCs w:val="false"/>
          <w:color w:val="1A1A2E"/>
          <w:sz w:val="22"/>
          <w:szCs w:val="22"/>
          <w:rtl/>
        </w:rPr>
        <w:t xml:space="preserve">تعرض المركز المالي في تاريخ محدد:</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القسم</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المدى</w:t>
            </w:r>
          </w:p>
        </w:tc>
        <w:tc>
          <w:tcPr>
            <w:tcW w:type="dxa" w:w="6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الحسابات الرئيسية</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الأصول المتداولة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1xxx</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نقدية، بنوك، عملاء، محتجزات، سلف، ضريبة مستردة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الأصول الثابتة</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2xxx</w:t>
            </w:r>
          </w:p>
        </w:tc>
        <w:tc>
          <w:tcPr>
            <w:tcW w:type="dxa" w:w="6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معدات إنشائية، معدات تأجير، مركبات، أثاث - مطروحاً منها مجمع الإهلاك</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الالتزامات المتداولة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3xxx</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ضريبة مخرجات، موردين، مقاولين فرعيين، مستحق رواتب، دفعات مقدمة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الالتزامات طويلة الأجل</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3xxx</w:t>
            </w:r>
          </w:p>
        </w:tc>
        <w:tc>
          <w:tcPr>
            <w:tcW w:type="dxa" w:w="6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مخصص نهاية خدمة، مستحق زكاة، مستحق تأمينات</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حقوق الملكية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4xxx</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رأس المال، الأرباح المبقاة</w:t>
            </w:r>
          </w:p>
        </w:tc>
      </w:tr>
    </w:tbl>
    <w:p>
      <w:pPr>
        <w:spacing w:after="200"/>
      </w:pPr>
    </w:p>
    <w:p>
      <w:pPr>
        <w:pStyle w:val="Heading2"/>
        <w:keepNext/>
        <w:spacing w:after="160" w:before="280"/>
      </w:pPr>
      <w:bookmarkStart w:id="100098" w:name="_Toc100098"/>
      <w:r>
        <w:rPr>
          <w:rFonts w:ascii="Calibri" w:cs="Calibri" w:eastAsia="Calibri" w:hAnsi="Calibri"/>
          <w:b/>
          <w:bCs/>
          <w:color w:val="2D6A4F"/>
          <w:sz w:val="30"/>
          <w:szCs w:val="30"/>
        </w:rPr>
        <w:t xml:space="preserve">8.4 قائمة الدخل (Income Statement)</w:t>
      </w:r>
      <w:bookmarkEnd w:id="100098"/>
    </w:p>
    <w:p>
      <w:pPr>
        <w:bidi/>
        <w:spacing w:after="120" w:line="312"/>
        <w:ind w:firstLine="420"/>
        <w:jc w:val="right"/>
      </w:pPr>
      <w:r>
        <w:rPr>
          <w:rFonts w:ascii="Calibri" w:cs="Calibri" w:eastAsia="Calibri" w:hAnsi="Calibri"/>
          <w:b w:val="false"/>
          <w:bCs w:val="false"/>
          <w:color w:val="1A1A2E"/>
          <w:sz w:val="22"/>
          <w:szCs w:val="22"/>
          <w:rtl/>
        </w:rPr>
        <w:t xml:space="preserve">تعرض نتيجة الأعمال لفترة محددة: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القسم</w:t>
            </w:r>
          </w:p>
        </w:tc>
        <w:tc>
          <w:tcPr>
            <w:tcW w:type="dxa" w:w="1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المدى</w:t>
            </w:r>
          </w:p>
        </w:tc>
        <w:tc>
          <w:tcPr>
            <w:tcW w:type="dxa" w:w="6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التفصيل</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المشاريع</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6110</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المشاريع الإنشائية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التأجير</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6210-6230</w:t>
            </w:r>
          </w:p>
        </w:tc>
        <w:tc>
          <w:tcPr>
            <w:tcW w:type="dxa" w:w="6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تأجير المعدات + التوصيل + أخرى</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إيرادات أخرى</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6310/6340</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أرباح بيع أصول + إيرادات خدمات</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تكاليف مباشرة</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7xxx</w:t>
            </w:r>
          </w:p>
        </w:tc>
        <w:tc>
          <w:tcPr>
            <w:tcW w:type="dxa" w:w="6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تكاليف مشاريع، مقاولين فرعيين، تأجير، صيانة، وقود، نقل</w:t>
            </w:r>
          </w:p>
        </w:tc>
      </w:tr>
      <w:tr>
        <w:trPr>
          <w:cantSplit/>
          <w:tblHeader w:val="false"/>
        </w:trPr>
        <w:tc>
          <w:tcPr>
            <w:tcW w:type="dxa" w:w="2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مصروفات إدارية</w:t>
            </w:r>
          </w:p>
        </w:tc>
        <w:tc>
          <w:tcPr>
            <w:tcW w:type="dxa" w:w="1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8xxx</w:t>
            </w:r>
          </w:p>
        </w:tc>
        <w:tc>
          <w:tcPr>
            <w:tcW w:type="dxa" w:w="6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رواتب، إيجارات، مرافق، تأمينات، إهلاك، زكاة</w:t>
            </w:r>
          </w:p>
        </w:tc>
      </w:tr>
      <w:tr>
        <w:trPr>
          <w:cantSplit/>
          <w:tblHeader w:val="false"/>
        </w:trPr>
        <w:tc>
          <w:tcPr>
            <w:tcW w:type="dxa" w:w="2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صافي الربح</w:t>
            </w:r>
          </w:p>
        </w:tc>
        <w:tc>
          <w:tcPr>
            <w:tcW w:type="dxa" w:w="1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w:t>
            </w:r>
          </w:p>
        </w:tc>
        <w:tc>
          <w:tcPr>
            <w:tcW w:type="dxa" w:w="6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الإيرادات - التكاليف والمصروفات</w:t>
            </w:r>
          </w:p>
        </w:tc>
      </w:tr>
    </w:tbl>
    <w:p>
      <w:pPr>
        <w:spacing w:after="200"/>
      </w:pPr>
    </w:p>
    <w:p>
      <w:pPr>
        <w:pStyle w:val="Heading2"/>
        <w:keepNext/>
        <w:spacing w:after="160" w:before="280"/>
      </w:pPr>
      <w:bookmarkStart w:id="100099" w:name="_Toc100099"/>
      <w:r>
        <w:rPr>
          <w:rFonts w:ascii="Calibri" w:cs="Calibri" w:eastAsia="Calibri" w:hAnsi="Calibri"/>
          <w:b/>
          <w:bCs/>
          <w:color w:val="2D6A4F"/>
          <w:sz w:val="30"/>
          <w:szCs w:val="30"/>
        </w:rPr>
        <w:t xml:space="preserve">8.5 كشوف الحسابات</w:t>
      </w:r>
      <w:bookmarkEnd w:id="100099"/>
    </w:p>
    <w:p>
      <w:pPr>
        <w:bidi/>
        <w:spacing w:after="120" w:line="312"/>
        <w:ind w:firstLine="420"/>
        <w:jc w:val="right"/>
      </w:pPr>
      <w:r>
        <w:rPr>
          <w:rFonts w:ascii="Calibri" w:cs="Calibri" w:eastAsia="Calibri" w:hAnsi="Calibri"/>
          <w:b w:val="false"/>
          <w:bCs w:val="false"/>
          <w:color w:val="1A1A2E"/>
          <w:sz w:val="22"/>
          <w:szCs w:val="22"/>
          <w:rtl/>
        </w:rPr>
        <w:t xml:space="preserve">كشوف تفصيلية لكل طرف:</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كشف حساب عميل: الفواتير + التحصيلات + الرصيد الحالي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كشف حساب مورد: الفواتير + المدفوعات + الرصيد الحالي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كشف حساب مشروع: التكاليف + الإيرادات + هامش الربح</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جميع الكشوف مشتقة من القيود المحاسبية المرحّلة</w:t>
      </w:r>
    </w:p>
    <w:p>
      <w:pPr>
        <w:pStyle w:val="Heading2"/>
        <w:keepNext/>
        <w:spacing w:after="160" w:before="280"/>
      </w:pPr>
      <w:bookmarkStart w:id="100100" w:name="_Toc100100"/>
      <w:r>
        <w:rPr>
          <w:rFonts w:ascii="Calibri" w:cs="Calibri" w:eastAsia="Calibri" w:hAnsi="Calibri"/>
          <w:b/>
          <w:bCs/>
          <w:color w:val="2D6A4F"/>
          <w:sz w:val="30"/>
          <w:szCs w:val="30"/>
        </w:rPr>
        <w:t xml:space="preserve">8.6 فحص الاتساق المالي</w:t>
      </w:r>
      <w:bookmarkEnd w:id="100100"/>
    </w:p>
    <w:p>
      <w:pPr>
        <w:bidi/>
        <w:spacing w:after="120" w:line="312"/>
        <w:ind w:firstLine="420"/>
        <w:jc w:val="right"/>
      </w:pPr>
      <w:r>
        <w:rPr>
          <w:rFonts w:ascii="Calibri" w:cs="Calibri" w:eastAsia="Calibri" w:hAnsi="Calibri"/>
          <w:b w:val="false"/>
          <w:bCs w:val="false"/>
          <w:color w:val="1A1A2E"/>
          <w:sz w:val="22"/>
          <w:szCs w:val="22"/>
          <w:rtl/>
        </w:rPr>
        <w:t xml:space="preserve">يتضمن النظام أداة فحص اتساق مالي تقوم بـ 7 فحوص:</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القيود المفقودة على الفواتير</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القيود المفقودة على المصروفات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القيود المفقودة على المدفوعات</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القيود غير المتوازنة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فحذف المراجع المكسورة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إجمالي الأرصدة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فحص التكامل بين العمليات والقيود</w:t>
      </w:r>
    </w:p>
    <w:p>
      <w:r>
        <w:br w:type="page"/>
      </w:r>
    </w:p>
    <w:p>
      <w:pPr>
        <w:pStyle w:val="Heading1"/>
        <w:keepNext/>
        <w:spacing w:after="200" w:before="360"/>
      </w:pPr>
      <w:bookmarkStart w:id="100101" w:name="_Toc100101"/>
      <w:r>
        <w:rPr>
          <w:rFonts w:ascii="Calibri" w:cs="Calibri" w:eastAsia="Calibri" w:hAnsi="Calibri"/>
          <w:b/>
          <w:bCs/>
          <w:color w:val="1B4332"/>
          <w:sz w:val="36"/>
          <w:szCs w:val="36"/>
        </w:rPr>
        <w:t xml:space="preserve">الفصل التاسع: نموذج البيانات</w:t>
      </w:r>
      <w:bookmarkEnd w:id="100101"/>
    </w:p>
    <w:p>
      <w:pPr>
        <w:pStyle w:val="Heading2"/>
        <w:keepNext/>
        <w:spacing w:after="160" w:before="280"/>
      </w:pPr>
      <w:bookmarkStart w:id="100102" w:name="_Toc100102"/>
      <w:r>
        <w:rPr>
          <w:rFonts w:ascii="Calibri" w:cs="Calibri" w:eastAsia="Calibri" w:hAnsi="Calibri"/>
          <w:b/>
          <w:bCs/>
          <w:color w:val="2D6A4F"/>
          <w:sz w:val="30"/>
          <w:szCs w:val="30"/>
        </w:rPr>
        <w:t xml:space="preserve">9.1 نظرة عامة</w:t>
      </w:r>
      <w:bookmarkEnd w:id="100102"/>
    </w:p>
    <w:p>
      <w:pPr>
        <w:bidi/>
        <w:spacing w:after="120" w:line="312"/>
        <w:ind w:firstLine="420"/>
        <w:jc w:val="right"/>
      </w:pPr>
      <w:r>
        <w:rPr>
          <w:rFonts w:ascii="Calibri" w:cs="Calibri" w:eastAsia="Calibri" w:hAnsi="Calibri"/>
          <w:b w:val="false"/>
          <w:bCs w:val="false"/>
          <w:color w:val="1A1A2E"/>
          <w:sz w:val="22"/>
          <w:szCs w:val="22"/>
          <w:rtl/>
        </w:rPr>
        <w:t xml:space="preserve">يحتوي النظام على 37 نموذج بيانات (Models) مترابطة تشكل الهيكل العظمي لقاعدة البيانات. جميع العمليات المالية تستخدم معاملات ذرية (prisma.$transaction) لضمان الاتساق.</w:t>
      </w:r>
    </w:p>
    <w:p>
      <w:pPr>
        <w:pStyle w:val="Heading2"/>
        <w:keepNext/>
        <w:spacing w:after="160" w:before="280"/>
      </w:pPr>
      <w:bookmarkStart w:id="100103" w:name="_Toc100103"/>
      <w:r>
        <w:rPr>
          <w:rFonts w:ascii="Calibri" w:cs="Calibri" w:eastAsia="Calibri" w:hAnsi="Calibri"/>
          <w:b/>
          <w:bCs/>
          <w:color w:val="2D6A4F"/>
          <w:sz w:val="30"/>
          <w:szCs w:val="30"/>
        </w:rPr>
        <w:t xml:space="preserve">9.2 النماذج الأساسية</w:t>
      </w:r>
      <w:bookmarkEnd w:id="100103"/>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النموذج</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الوظيفة</w:t>
            </w:r>
          </w:p>
        </w:tc>
        <w:tc>
          <w:tcPr>
            <w:tcW w:type="dxa" w:w="4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الارتباطات الرئيسية</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CompanySetting</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بيانات الشركة المركزية</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اسم، شعار، رقم ضريبي، بنك، نسبة ضريبة</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Branch</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فروع الشركة</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مشاريع، مستودعات، موظفين، صناديق طوارئ</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Account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دليل الحسابات</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كود، نوع، دور وظيفي، مستوى، أب، نوع نشاط</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القيد المحاسبي</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بنود، مصدر، حالة، نشاط، مشروع، عميل، مورد</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JournalLine</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بند القيد</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مركز تكلفة، مدين، دائن</w:t>
            </w:r>
          </w:p>
        </w:tc>
      </w:tr>
    </w:tbl>
    <w:p>
      <w:pPr>
        <w:spacing w:after="200"/>
      </w:pPr>
    </w:p>
    <w:p>
      <w:pPr>
        <w:pStyle w:val="Heading2"/>
        <w:keepNext/>
        <w:spacing w:after="160" w:before="280"/>
      </w:pPr>
      <w:bookmarkStart w:id="100104" w:name="_Toc100104"/>
      <w:r>
        <w:rPr>
          <w:rFonts w:ascii="Calibri" w:cs="Calibri" w:eastAsia="Calibri" w:hAnsi="Calibri"/>
          <w:b/>
          <w:bCs/>
          <w:color w:val="2D6A4F"/>
          <w:sz w:val="30"/>
          <w:szCs w:val="30"/>
        </w:rPr>
        <w:t xml:space="preserve">9.3 النماذج التشغيلية - المشاريع</w:t>
      </w:r>
      <w:bookmarkEnd w:id="100104"/>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النموذج</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الوظيفة</w:t>
            </w:r>
          </w:p>
        </w:tc>
        <w:tc>
          <w:tcPr>
            <w:tcW w:type="dxa" w:w="4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ارتباط محاسبي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Project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المشروع الإنشائي</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29 علاقة فرعية</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Contract</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المشروع</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مشروع، ضمانات، أوامر تغيير</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BOQItem</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بند جدول الكميات</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مشروع، عقد</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ProgressClaim</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مستخلص مشروع</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ChangeOrder</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تغيير</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Warranty</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ضمان</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w:t>
            </w:r>
          </w:p>
        </w:tc>
      </w:tr>
    </w:tbl>
    <w:p>
      <w:pPr>
        <w:spacing w:after="200"/>
      </w:pPr>
    </w:p>
    <w:p>
      <w:pPr>
        <w:pStyle w:val="Heading2"/>
        <w:keepNext/>
        <w:spacing w:after="160" w:before="280"/>
      </w:pPr>
      <w:bookmarkStart w:id="100105" w:name="_Toc100105"/>
      <w:r>
        <w:rPr>
          <w:rFonts w:ascii="Calibri" w:cs="Calibri" w:eastAsia="Calibri" w:hAnsi="Calibri"/>
          <w:b/>
          <w:bCs/>
          <w:color w:val="2D6A4F"/>
          <w:sz w:val="30"/>
          <w:szCs w:val="30"/>
        </w:rPr>
        <w:t xml:space="preserve">9.4 النماذج التشغيلية - التأجير</w:t>
      </w:r>
      <w:bookmarkEnd w:id="100105"/>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النموذج</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الوظيفة</w:t>
            </w:r>
          </w:p>
        </w:tc>
        <w:tc>
          <w:tcPr>
            <w:tcW w:type="dxa" w:w="4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ارتباط محاسبي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Equipment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المعدة</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الأصل، مصروف الإهلاك، مجمع الإهلاك</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EquipmentRental</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التأجير</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معدة، عميل، فواتير</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Timesheet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ساعات</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تأجير، فاتورة</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EquipmentDeliveryOrder</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توصيل</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تأجير</w:t>
            </w:r>
          </w:p>
        </w:tc>
      </w:tr>
    </w:tbl>
    <w:p>
      <w:pPr>
        <w:spacing w:after="200"/>
      </w:pPr>
    </w:p>
    <w:p>
      <w:pPr>
        <w:pStyle w:val="Heading2"/>
        <w:keepNext/>
        <w:spacing w:after="160" w:before="280"/>
      </w:pPr>
      <w:bookmarkStart w:id="100106" w:name="_Toc100106"/>
      <w:r>
        <w:rPr>
          <w:rFonts w:ascii="Calibri" w:cs="Calibri" w:eastAsia="Calibri" w:hAnsi="Calibri"/>
          <w:b/>
          <w:bCs/>
          <w:color w:val="2D6A4F"/>
          <w:sz w:val="30"/>
          <w:szCs w:val="30"/>
        </w:rPr>
        <w:t xml:space="preserve">9.5 النماذج المالية</w:t>
      </w:r>
      <w:bookmarkEnd w:id="100106"/>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النموذج</w:t>
            </w:r>
          </w:p>
        </w:tc>
        <w:tc>
          <w:tcPr>
            <w:tcW w:type="dxa" w:w="3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الوظيفة</w:t>
            </w:r>
          </w:p>
        </w:tc>
        <w:tc>
          <w:tcPr>
            <w:tcW w:type="dxa" w:w="45"/>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ارتباط محاسبي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SalesInvoice</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مبيعات</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PurchaseInvoice</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مشتريات</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مورد، بنود</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ClientPayment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تحصيل عميل</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SupplierPayment</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مورد</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حساب الدفع الديناميكي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Expense</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مصروف</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Salary</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راتب</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SalaryPayment</w:t>
            </w:r>
          </w:p>
        </w:tc>
        <w:tc>
          <w:tcPr>
            <w:tcW w:type="dxa" w:w="3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دفع راتب</w:t>
            </w:r>
          </w:p>
        </w:tc>
        <w:tc>
          <w:tcPr>
            <w:tcW w:type="dxa" w:w="45"/>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journalEntryId - قيد تلقائي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PayrollRun</w:t>
            </w:r>
          </w:p>
        </w:tc>
        <w:tc>
          <w:tcPr>
            <w:tcW w:type="dxa" w:w="3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مسير رواتب</w:t>
            </w:r>
          </w:p>
        </w:tc>
        <w:tc>
          <w:tcPr>
            <w:tcW w:type="dxa" w:w="45"/>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بنود، مدفوعات</w:t>
            </w:r>
          </w:p>
        </w:tc>
      </w:tr>
    </w:tbl>
    <w:p>
      <w:r>
        <w:br w:type="page"/>
      </w:r>
    </w:p>
    <w:p>
      <w:pPr>
        <w:pStyle w:val="Heading1"/>
        <w:keepNext/>
        <w:spacing w:after="200" w:before="360"/>
      </w:pPr>
      <w:bookmarkStart w:id="100107" w:name="_Toc100107"/>
      <w:r>
        <w:rPr>
          <w:rFonts w:ascii="Calibri" w:cs="Calibri" w:eastAsia="Calibri" w:hAnsi="Calibri"/>
          <w:b/>
          <w:bCs/>
          <w:color w:val="1B4332"/>
          <w:sz w:val="36"/>
          <w:szCs w:val="36"/>
        </w:rPr>
        <w:t xml:space="preserve">الفصل العاشر: الامتثال والامتثال التنظيمي</w:t>
      </w:r>
      <w:bookmarkEnd w:id="100107"/>
    </w:p>
    <w:p>
      <w:pPr>
        <w:pStyle w:val="Heading2"/>
        <w:keepNext/>
        <w:spacing w:after="160" w:before="280"/>
      </w:pPr>
      <w:bookmarkStart w:id="100108" w:name="_Toc100108"/>
      <w:r>
        <w:rPr>
          <w:rFonts w:ascii="Calibri" w:cs="Calibri" w:eastAsia="Calibri" w:hAnsi="Calibri"/>
          <w:b/>
          <w:bCs/>
          <w:color w:val="2D6A4F"/>
          <w:sz w:val="30"/>
          <w:szCs w:val="30"/>
        </w:rPr>
        <w:t xml:space="preserve">10.1 معايير المحاسبة السعودية SOCPA</w:t>
      </w:r>
      <w:bookmarkEnd w:id="100108"/>
    </w:p>
    <w:p>
      <w:pPr>
        <w:bidi/>
        <w:spacing w:after="120" w:line="312"/>
        <w:ind w:firstLine="420"/>
        <w:jc w:val="right"/>
      </w:pPr>
      <w:r>
        <w:rPr>
          <w:rFonts w:ascii="Calibri" w:cs="Calibri" w:eastAsia="Calibri" w:hAnsi="Calibri"/>
          <w:b w:val="false"/>
          <w:bCs w:val="false"/>
          <w:color w:val="1A1A2E"/>
          <w:sz w:val="22"/>
          <w:szCs w:val="22"/>
          <w:rtl/>
        </w:rPr>
        <w:t xml:space="preserve">يتوافق النظام بالكامل مع معايير هيئة المحاسبين القانونيين السعوديين: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دليل الحسابات الموحّد SOCPA (تصنيف 1xxx إلى 8xxx)</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نظام القيد المزدوج الكامل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الميزانية العمومية وقائمة الدخل وفق المعايير السعودية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معالجة ضريبة القيمة المضافة (15%)</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حساب الزكاة الشرعية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مخصص نهاية الخدمة للموظفين</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التأمينات الاجتماعية (GOSI)</w:t>
      </w:r>
    </w:p>
    <w:p>
      <w:pPr>
        <w:pStyle w:val="Heading2"/>
        <w:keepNext/>
        <w:spacing w:after="160" w:before="280"/>
      </w:pPr>
      <w:bookmarkStart w:id="100109" w:name="_Toc100109"/>
      <w:r>
        <w:rPr>
          <w:rFonts w:ascii="Calibri" w:cs="Calibri" w:eastAsia="Calibri" w:hAnsi="Calibri"/>
          <w:b/>
          <w:bCs/>
          <w:color w:val="2D6A4F"/>
          <w:sz w:val="30"/>
          <w:szCs w:val="30"/>
        </w:rPr>
        <w:t xml:space="preserve">10.2 الفوترة الإلكترونية ZATCA</w:t>
      </w:r>
      <w:bookmarkEnd w:id="100109"/>
    </w:p>
    <w:p>
      <w:pPr>
        <w:bidi/>
        <w:spacing w:after="120" w:line="312"/>
        <w:ind w:firstLine="420"/>
        <w:jc w:val="right"/>
      </w:pPr>
      <w:r>
        <w:rPr>
          <w:rFonts w:ascii="Calibri" w:cs="Calibri" w:eastAsia="Calibri" w:hAnsi="Calibri"/>
          <w:b w:val="false"/>
          <w:bCs w:val="false"/>
          <w:color w:val="1A1A2E"/>
          <w:sz w:val="22"/>
          <w:szCs w:val="22"/>
          <w:rtl/>
        </w:rPr>
        <w:t xml:space="preserve">يتوافق النظام مع متطلبات هيئة الزكاة والدخل للفوترة الإلكترونية: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رمز QR بتقنية TLV على كل فاتورة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بيانات QR: اسم البائع، الرقم الضريبي، التاريخ، المبلغ مع الضريبة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المبلغ بالحروف عربياً وإنجليزياً</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رقم الفاتورة التسلسلي</w:t>
      </w:r>
    </w:p>
    <w:p>
      <w:pPr>
        <w:pStyle w:val="Heading2"/>
        <w:keepNext/>
        <w:spacing w:after="160" w:before="280"/>
      </w:pPr>
      <w:bookmarkStart w:id="100110" w:name="_Toc100110"/>
      <w:r>
        <w:rPr>
          <w:rFonts w:ascii="Calibri" w:cs="Calibri" w:eastAsia="Calibri" w:hAnsi="Calibri"/>
          <w:b/>
          <w:bCs/>
          <w:color w:val="2D6A4F"/>
          <w:sz w:val="30"/>
          <w:szCs w:val="30"/>
        </w:rPr>
        <w:t xml:space="preserve">10.3 الإقفال الدوري</w:t>
      </w:r>
      <w:bookmarkEnd w:id="100110"/>
    </w:p>
    <w:p>
      <w:pPr>
        <w:bidi/>
        <w:spacing w:after="120" w:line="312"/>
        <w:ind w:firstLine="420"/>
        <w:jc w:val="right"/>
      </w:pPr>
      <w:r>
        <w:rPr>
          <w:rFonts w:ascii="Calibri" w:cs="Calibri" w:eastAsia="Calibri" w:hAnsi="Calibri"/>
          <w:b w:val="false"/>
          <w:bCs w:val="false"/>
          <w:color w:val="1A1A2E"/>
          <w:sz w:val="22"/>
          <w:szCs w:val="22"/>
          <w:rtl/>
        </w:rPr>
        <w:t xml:space="preserve">يدعم النظام إقفال الفترات المحاسبية: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إقفال شهري وسنوي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حالة الفترة: مفتوحة / مقفلة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منع تسجيل قيود في فترات مقفلة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التسوية البنكية الشهرية</w:t>
      </w:r>
    </w:p>
    <w:p>
      <w:r>
        <w:br w:type="page"/>
      </w:r>
    </w:p>
    <w:p>
      <w:pPr>
        <w:pStyle w:val="Heading1"/>
        <w:keepNext/>
        <w:spacing w:after="200" w:before="360"/>
      </w:pPr>
      <w:bookmarkStart w:id="100111" w:name="_Toc100111"/>
      <w:r>
        <w:rPr>
          <w:rFonts w:ascii="Calibri" w:cs="Calibri" w:eastAsia="Calibri" w:hAnsi="Calibri"/>
          <w:b/>
          <w:bCs/>
          <w:color w:val="1B4332"/>
          <w:sz w:val="36"/>
          <w:szCs w:val="36"/>
        </w:rPr>
        <w:t xml:space="preserve">الفصل الحادي عشر: نظام الطباعة والمخرجات</w:t>
      </w:r>
      <w:bookmarkEnd w:id="100111"/>
    </w:p>
    <w:p>
      <w:pPr>
        <w:pStyle w:val="Heading2"/>
        <w:keepNext/>
        <w:spacing w:after="160" w:before="280"/>
      </w:pPr>
      <w:bookmarkStart w:id="100112" w:name="_Toc100112"/>
      <w:r>
        <w:rPr>
          <w:rFonts w:ascii="Calibri" w:cs="Calibri" w:eastAsia="Calibri" w:hAnsi="Calibri"/>
          <w:b/>
          <w:bCs/>
          <w:color w:val="2D6A4F"/>
          <w:sz w:val="30"/>
          <w:szCs w:val="30"/>
        </w:rPr>
        <w:t xml:space="preserve">11.1 محرك الطباعة الموحّد</w:t>
      </w:r>
      <w:bookmarkEnd w:id="100112"/>
    </w:p>
    <w:p>
      <w:pPr>
        <w:bidi/>
        <w:spacing w:after="120" w:line="312"/>
        <w:ind w:firstLine="420"/>
        <w:jc w:val="right"/>
      </w:pPr>
      <w:r>
        <w:rPr>
          <w:rFonts w:ascii="Calibri" w:cs="Calibri" w:eastAsia="Calibri" w:hAnsi="Calibri"/>
          <w:b w:val="false"/>
          <w:bCs w:val="false"/>
          <w:color w:val="1A1A2E"/>
          <w:sz w:val="22"/>
          <w:szCs w:val="22"/>
          <w:rtl/>
        </w:rPr>
        <w:t xml:space="preserve">يحتوي النظام على محرك طباعة موحّد يدعم 20 قالب طباعة:</w:t>
      </w:r>
    </w:p>
    <w:tbl>
      <w:tblPr>
        <w:tblW w:type="pct" w:w="100%"/>
        <w:tblBorders>
          <w:top w:val="single" w:color="C8E6C9" w:sz="1"/>
          <w:left w:val="single" w:color="C8E6C9" w:sz="1"/>
          <w:bottom w:val="single" w:color="C8E6C9" w:sz="1"/>
          <w:right w:val="single" w:color="C8E6C9" w:sz="1"/>
          <w:insideH w:val="single" w:color="C8E6C9" w:sz="1"/>
          <w:insideV w:val="single" w:color="C8E6C9" w:sz="1"/>
        </w:tblBorders>
      </w:tblPr>
      <w:tblGrid>
        <w:gridCol w:w="100"/>
        <w:gridCol w:w="100"/>
      </w:tblGrid>
      <w:tr>
        <w:trPr>
          <w:cantSplit/>
          <w:tblHeader/>
        </w:trPr>
        <w:tc>
          <w:tcPr>
            <w:tcW w:type="dxa" w:w="2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التصنيف</w:t>
            </w:r>
          </w:p>
        </w:tc>
        <w:tc>
          <w:tcPr>
            <w:tcW w:type="dxa" w:w="80"/>
            <w:shd w:fill="E8F5E9" w:val="clear"/>
            <w:tcMar>
              <w:top w:type="dxa" w:w="60"/>
              <w:left w:type="dxa" w:w="100"/>
              <w:bottom w:type="dxa" w:w="60"/>
              <w:right w:type="dxa" w:w="100"/>
            </w:tcMar>
          </w:tcPr>
          <w:p>
            <w:pPr>
              <w:bidi/>
              <w:jc w:val="center"/>
            </w:pPr>
            <w:r>
              <w:rPr>
                <w:rFonts w:ascii="Calibri" w:cs="Calibri" w:eastAsia="Calibri" w:hAnsi="Calibri"/>
                <w:b/>
                <w:bCs/>
                <w:color w:val="1B4332"/>
                <w:sz w:val="21"/>
                <w:szCs w:val="21"/>
                <w:rtl/>
              </w:rPr>
              <w:t xml:space="preserve">القوالب</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المحاسبة</w:t>
            </w:r>
          </w:p>
        </w:tc>
        <w:tc>
          <w:tcPr>
            <w:tcW w:type="dxa" w:w="8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ميزان المراجعة، الميزانية العمومية، قائمة الدخل، دفتر الأستاذ، قيد محاسبي</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المشتريات</w:t>
            </w:r>
          </w:p>
        </w:tc>
        <w:tc>
          <w:tcPr>
            <w:tcW w:type="dxa" w:w="8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أمر شراء، إذن توصيل</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التشغيل</w:t>
            </w:r>
          </w:p>
        </w:tc>
        <w:tc>
          <w:tcPr>
            <w:tcW w:type="dxa" w:w="8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سجل ساعات</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العقود</w:t>
            </w:r>
          </w:p>
        </w:tc>
        <w:tc>
          <w:tcPr>
            <w:tcW w:type="dxa" w:w="8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عقد مشروع، عقد تأجير</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المالية</w:t>
            </w:r>
          </w:p>
        </w:tc>
        <w:tc>
          <w:tcPr>
            <w:tcW w:type="dxa" w:w="8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إشعار راتب، سند صرف</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الفواتير</w:t>
            </w:r>
          </w:p>
        </w:tc>
        <w:tc>
          <w:tcPr>
            <w:tcW w:type="dxa" w:w="8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فاتورة تأجير، فاتورة مورد، فاتورة خدمية</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المشاريع</w:t>
            </w:r>
          </w:p>
        </w:tc>
        <w:tc>
          <w:tcPr>
            <w:tcW w:type="dxa" w:w="8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مستخلص مشروع</w:t>
            </w:r>
          </w:p>
        </w:tc>
      </w:tr>
      <w:tr>
        <w:trPr>
          <w:cantSplit/>
          <w:tblHeader w:val="false"/>
        </w:trPr>
        <w:tc>
          <w:tcPr>
            <w:tcW w:type="dxa" w:w="2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الضريبة</w:t>
            </w:r>
          </w:p>
        </w:tc>
        <w:tc>
          <w:tcPr>
            <w:tcW w:type="dxa" w:w="80"/>
            <w:shd w:fill="F1F8F4"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إقرار ضريبي</w:t>
            </w:r>
          </w:p>
        </w:tc>
      </w:tr>
      <w:tr>
        <w:trPr>
          <w:cantSplit/>
          <w:tblHeader w:val="false"/>
        </w:trPr>
        <w:tc>
          <w:tcPr>
            <w:tcW w:type="dxa" w:w="2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التقارير</w:t>
            </w:r>
          </w:p>
        </w:tc>
        <w:tc>
          <w:tcPr>
            <w:tcW w:type="dxa" w:w="80"/>
            <w:shd w:fill="FFFFFF" w:val="clear"/>
            <w:tcMar>
              <w:top w:type="dxa" w:w="60"/>
              <w:left w:type="dxa" w:w="100"/>
              <w:bottom w:type="dxa" w:w="60"/>
              <w:right w:type="dxa" w:w="100"/>
            </w:tcMar>
          </w:tcPr>
          <w:p>
            <w:pPr>
              <w:bidi/>
              <w:jc w:val="center"/>
            </w:pPr>
            <w:r>
              <w:rPr>
                <w:rFonts w:ascii="Calibri" w:cs="Calibri" w:eastAsia="Calibri" w:hAnsi="Calibri"/>
                <w:b w:val="false"/>
                <w:bCs w:val="false"/>
                <w:color w:val="1A1A2E"/>
                <w:sz w:val="20"/>
                <w:szCs w:val="20"/>
                <w:rtl/>
              </w:rPr>
              <w:t xml:space="preserve">تقرير مشروع، جدول عام</w:t>
            </w:r>
          </w:p>
        </w:tc>
      </w:tr>
    </w:tbl>
    <w:p>
      <w:pPr>
        <w:spacing w:after="200"/>
      </w:pPr>
    </w:p>
    <w:p>
      <w:pPr>
        <w:pStyle w:val="Heading2"/>
        <w:keepNext/>
        <w:spacing w:after="160" w:before="280"/>
      </w:pPr>
      <w:bookmarkStart w:id="100113" w:name="_Toc100113"/>
      <w:r>
        <w:rPr>
          <w:rFonts w:ascii="Calibri" w:cs="Calibri" w:eastAsia="Calibri" w:hAnsi="Calibri"/>
          <w:b/>
          <w:bCs/>
          <w:color w:val="2D6A4F"/>
          <w:sz w:val="30"/>
          <w:szCs w:val="30"/>
        </w:rPr>
        <w:t xml:space="preserve">11.2 التصدير</w:t>
      </w:r>
      <w:bookmarkEnd w:id="100113"/>
    </w:p>
    <w:p>
      <w:pPr>
        <w:bidi/>
        <w:spacing w:after="120" w:line="312"/>
        <w:ind w:firstLine="420"/>
        <w:jc w:val="right"/>
      </w:pPr>
      <w:r>
        <w:rPr>
          <w:rFonts w:ascii="Calibri" w:cs="Calibri" w:eastAsia="Calibri" w:hAnsi="Calibri"/>
          <w:b w:val="false"/>
          <w:bCs w:val="false"/>
          <w:color w:val="1A1A2E"/>
          <w:sz w:val="22"/>
          <w:szCs w:val="22"/>
          <w:rtl/>
        </w:rPr>
        <w:t xml:space="preserve">يدعم النظام تصدير البيانات بصيغة CSV للتقارير والبيانات التشغيلية.</w:t>
      </w:r>
    </w:p>
    <w:p>
      <w:r>
        <w:br w:type="page"/>
      </w:r>
    </w:p>
    <w:p>
      <w:pPr>
        <w:pStyle w:val="Heading1"/>
        <w:keepNext/>
        <w:spacing w:after="200" w:before="360"/>
      </w:pPr>
      <w:bookmarkStart w:id="100114" w:name="_Toc100114"/>
      <w:r>
        <w:rPr>
          <w:rFonts w:ascii="Calibri" w:cs="Calibri" w:eastAsia="Calibri" w:hAnsi="Calibri"/>
          <w:b/>
          <w:bCs/>
          <w:color w:val="1B4332"/>
          <w:sz w:val="36"/>
          <w:szCs w:val="36"/>
        </w:rPr>
        <w:t xml:space="preserve">الفصل الثاني عشر: الخلاصة</w:t>
      </w:r>
      <w:bookmarkEnd w:id="100114"/>
    </w:p>
    <w:p>
      <w:pPr>
        <w:bidi/>
        <w:spacing w:after="120" w:line="312"/>
        <w:ind w:firstLine="420"/>
        <w:jc w:val="right"/>
      </w:pPr>
      <w:r>
        <w:rPr>
          <w:rFonts w:ascii="Calibri" w:cs="Calibri" w:eastAsia="Calibri" w:hAnsi="Calibri"/>
          <w:b w:val="false"/>
          <w:bCs w:val="false"/>
          <w:color w:val="1A1A2E"/>
          <w:sz w:val="22"/>
          <w:szCs w:val="22"/>
          <w:rtl/>
        </w:rPr>
        <w:t xml:space="preserve">نظام بِنَاء ERP هو نظام متكامل وشامل مصمم خصيصاً لاحتياجات شركات المقاولات الإنشائية وتأجير المعدات في المملكة العربية السعودية. يتميز النظام بالعديد من الخصائص الجوهرية:</w:t>
      </w:r>
    </w:p>
    <w:p>
      <w:pPr>
        <w:spacing w:after="100"/>
      </w:pP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دليل الحسابات هو المحرك: كل حساب جديد يظهر فوراً في جميع الشاشات ذات الصلة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كل شاشة تعرف حساباتها: استعلام ديناميكي حسب الدور الوظيفي</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عرض القيد قبل الحفظ: المستخدم يرى الأثر المحاسبي قبل التأكيد</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القيد هو المصدر الوحيد: جميع التقارير مشتقة من القيود المحاسبية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لا حذف مباشر: نظام عكس القيود يحافظ على سجل المراجعة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معاملات ذرية: كل عملية مالية تُنفذ كوحدة واحدة لا تنفصل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سير عمل إلزامي: لا يمكن تجاوز الخطوات في أي مسار</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توجيه تكاليف تلقائي: التصنيف بين إنشائي/تأجيري/عام تلقائياً</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متوافق مع SOCPA و ZATCA: معايير محاسبية وتنظيمية سعودية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44 شاشة متكاملة: تغطي جميع العمليات التشغيلية والمالية</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+100 نقطة API: بنية تحتية قوية للتوسع والتكامل</w:t>
      </w:r>
    </w:p>
    <w:p>
      <w:pPr>
        <w:bidi/>
        <w:spacing w:after="80" w:line="312"/>
        <w:ind w:left="600"/>
        <w:jc w:val="right"/>
      </w:pPr>
      <w:r>
        <w:rPr>
          <w:rFonts w:ascii="Calibri" w:cs="Calibri" w:eastAsia="Calibri" w:hAnsi="Calibri"/>
          <w:color w:val="2D6A4F"/>
          <w:sz w:val="18"/>
          <w:szCs w:val="18"/>
        </w:rPr>
        <w:t xml:space="preserve">● </w:t>
      </w:r>
      <w:r>
        <w:rPr>
          <w:rFonts w:ascii="Calibri" w:cs="Calibri" w:eastAsia="Calibri" w:hAnsi="Calibri"/>
          <w:color w:val="1A1A2E"/>
          <w:sz w:val="22"/>
          <w:szCs w:val="22"/>
          <w:rtl/>
        </w:rPr>
        <w:t xml:space="preserve">20 قالب طباعة: مخرجات احترافية لجميع العمليات</w:t>
      </w:r>
    </w:p>
    <w:p>
      <w:pPr>
        <w:spacing w:after="200"/>
      </w:pPr>
    </w:p>
    <w:p>
      <w:pPr>
        <w:bidi/>
        <w:spacing w:after="120" w:line="312"/>
        <w:ind w:firstLine="420"/>
        <w:jc w:val="right"/>
      </w:pPr>
      <w:r>
        <w:rPr>
          <w:rFonts w:ascii="Calibri" w:cs="Calibri" w:eastAsia="Calibri" w:hAnsi="Calibri"/>
          <w:b/>
          <w:bCs/>
          <w:color w:val="1B4332"/>
          <w:sz w:val="22"/>
          <w:szCs w:val="22"/>
          <w:rtl/>
        </w:rPr>
        <w:t xml:space="preserve">هذا النظام يمثل حلاً شاملاً يضمن السلامة المالية الكاملة من أول عملية تشغيلية وحتى القوائم المالية النهائية، مع الالتزام الكامل بالمعايير المحاسبية والتنظيمية في المملكة العربية السعودية.</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A5568"/>
        <w:sz w:val="16"/>
        <w:szCs w:val="16"/>
        <w:rtl/>
      </w:rPr>
      <w:t xml:space="preserve">صفحة </w:t>
    </w:r>
    <w:r>
      <w:rPr>
        <w:rFonts w:ascii="Calibri" w:cs="Calibri" w:eastAsia="Calibri" w:hAnsi="Calibri"/>
        <w:color w:val="4A556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libri" w:cs="Calibri" w:eastAsia="Calibri" w:hAnsi="Calibri"/>
        <w:color w:val="4A5568"/>
        <w:sz w:val="16"/>
        <w:szCs w:val="16"/>
        <w:rtl/>
      </w:rPr>
      <w:t xml:space="preserve">بِنَاء ERP - وثيقة النظام الشاملة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color w:val="2E74B5"/>
      <w:sz w:val="32"/>
      <w:szCs w:val="32"/>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2026-06-15T15:39:23.084Z</dcterms:created>
  <dcterms:modified xsi:type="dcterms:W3CDTF">2026-06-15T15:39:23.084Z</dcterms:modified>
</cp:coreProperties>
</file>

<file path=docProps/custom.xml><?xml version="1.0" encoding="utf-8"?>
<Properties xmlns="http://schemas.openxmlformats.org/officeDocument/2006/custom-properties" xmlns:vt="http://schemas.openxmlformats.org/officeDocument/2006/docPropsVTypes"/>
</file>