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115C" w:rsidRDefault="00000000">
      <w:pPr>
        <w:spacing w:before="100" w:beforeAutospacing="1" w:line="360" w:lineRule="auto"/>
        <w:jc w:val="center"/>
        <w:rPr>
          <w:rFonts w:ascii="宋体" w:hAnsi="宋体" w:hint="eastAsia"/>
          <w:sz w:val="44"/>
          <w:szCs w:val="44"/>
        </w:rPr>
      </w:pPr>
      <w:r>
        <w:rPr>
          <w:rFonts w:eastAsia="方正小标宋简体" w:hint="eastAsia"/>
          <w:sz w:val="44"/>
          <w:szCs w:val="20"/>
        </w:rPr>
        <w:t>宁夏高层次人才管理服务系统</w:t>
      </w:r>
    </w:p>
    <w:p w:rsidR="00A1115C" w:rsidRDefault="00000000">
      <w:pPr>
        <w:pStyle w:val="a0"/>
        <w:spacing w:line="579" w:lineRule="exact"/>
        <w:jc w:val="center"/>
        <w:rPr>
          <w:rFonts w:eastAsia="Times New Roman"/>
          <w:sz w:val="44"/>
        </w:rPr>
      </w:pPr>
      <w:r>
        <w:rPr>
          <w:rFonts w:eastAsia="方正小标宋简体" w:hint="eastAsia"/>
          <w:sz w:val="44"/>
        </w:rPr>
        <w:t>网络安全等级保护定级报告</w:t>
      </w:r>
    </w:p>
    <w:p w:rsidR="00A1115C" w:rsidRDefault="00A1115C">
      <w:pPr>
        <w:pStyle w:val="a0"/>
        <w:spacing w:line="579" w:lineRule="exact"/>
        <w:rPr>
          <w:rFonts w:eastAsia="Times New Roman"/>
        </w:rPr>
      </w:pPr>
    </w:p>
    <w:p w:rsidR="00A1115C" w:rsidRDefault="00000000">
      <w:pPr>
        <w:spacing w:line="579" w:lineRule="exact"/>
        <w:ind w:firstLineChars="200" w:firstLine="640"/>
        <w:rPr>
          <w:rFonts w:eastAsia="Times New Roman"/>
          <w:sz w:val="32"/>
        </w:rPr>
      </w:pPr>
      <w:bookmarkStart w:id="0" w:name="_Toc144109776"/>
      <w:bookmarkStart w:id="1" w:name="_Toc118259388"/>
      <w:bookmarkStart w:id="2" w:name="_Toc144639195"/>
      <w:bookmarkEnd w:id="0"/>
      <w:r>
        <w:rPr>
          <w:rFonts w:eastAsia="黑体" w:hint="eastAsia"/>
          <w:sz w:val="32"/>
        </w:rPr>
        <w:t>一、定级对象描述</w:t>
      </w:r>
    </w:p>
    <w:p w:rsidR="00A1115C" w:rsidRDefault="00000000">
      <w:pPr>
        <w:spacing w:line="579" w:lineRule="exact"/>
        <w:ind w:firstLineChars="200" w:firstLine="640"/>
        <w:rPr>
          <w:rFonts w:eastAsia="Times New Roman"/>
          <w:sz w:val="32"/>
        </w:rPr>
      </w:pPr>
      <w:r>
        <w:rPr>
          <w:rFonts w:eastAsia="楷体_GB2312" w:hint="eastAsia"/>
          <w:sz w:val="32"/>
        </w:rPr>
        <w:t>（一）责任主体</w:t>
      </w:r>
    </w:p>
    <w:p w:rsidR="00A1115C" w:rsidRDefault="00000000">
      <w:pPr>
        <w:spacing w:line="579" w:lineRule="exact"/>
        <w:ind w:firstLineChars="200" w:firstLine="560"/>
        <w:rPr>
          <w:rFonts w:eastAsia="Times New Roman"/>
          <w:i/>
          <w:sz w:val="32"/>
        </w:rPr>
      </w:pPr>
      <w:r>
        <w:rPr>
          <w:rFonts w:eastAsia="仿宋_GB2312" w:hint="eastAsia"/>
          <w:sz w:val="28"/>
        </w:rPr>
        <w:t>定级对象于</w:t>
      </w:r>
      <w:r>
        <w:rPr>
          <w:rFonts w:eastAsia="仿宋_GB2312" w:hint="eastAsia"/>
          <w:sz w:val="28"/>
        </w:rPr>
        <w:t>2024</w:t>
      </w:r>
      <w:r>
        <w:rPr>
          <w:rFonts w:eastAsia="仿宋_GB2312" w:hint="eastAsia"/>
          <w:sz w:val="28"/>
        </w:rPr>
        <w:t>年</w:t>
      </w:r>
      <w:r>
        <w:rPr>
          <w:rFonts w:eastAsia="仿宋_GB2312" w:hint="eastAsia"/>
          <w:sz w:val="28"/>
        </w:rPr>
        <w:t>11</w:t>
      </w:r>
      <w:r>
        <w:rPr>
          <w:rFonts w:eastAsia="仿宋_GB2312" w:hint="eastAsia"/>
          <w:sz w:val="28"/>
        </w:rPr>
        <w:t>月由宁夏希望信息产业股份有限公司负责建设，目前由宁夏希望信息产业股份有限公司负责运行维护，宁夏人力资源与社会保障厅信息数据管理中心是该定级对象的安全主管部门，宁夏人力资源与社会保障厅为该定级对象的定级责任单位，承担定级对象的网络安全和数据安全保护责任。</w:t>
      </w:r>
    </w:p>
    <w:p w:rsidR="00A1115C" w:rsidRDefault="00000000">
      <w:pPr>
        <w:spacing w:line="579" w:lineRule="exact"/>
        <w:ind w:firstLineChars="200" w:firstLine="640"/>
        <w:rPr>
          <w:rFonts w:eastAsia="Times New Roman"/>
          <w:sz w:val="32"/>
        </w:rPr>
      </w:pPr>
      <w:r>
        <w:rPr>
          <w:rFonts w:eastAsia="楷体_GB2312" w:hint="eastAsia"/>
          <w:sz w:val="32"/>
        </w:rPr>
        <w:t>（二）定级对象构成</w:t>
      </w:r>
    </w:p>
    <w:p w:rsidR="00A1115C" w:rsidRDefault="00000000">
      <w:pPr>
        <w:pStyle w:val="a0"/>
        <w:ind w:firstLine="420"/>
        <w:rPr>
          <w:sz w:val="28"/>
          <w:szCs w:val="24"/>
        </w:rPr>
      </w:pPr>
      <w:r>
        <w:rPr>
          <w:rFonts w:hint="eastAsia"/>
        </w:rPr>
        <w:t xml:space="preserve"> </w:t>
      </w:r>
      <w:r w:rsidRPr="00BD1749">
        <w:rPr>
          <w:rFonts w:eastAsia="仿宋_GB2312" w:hint="eastAsia"/>
          <w:sz w:val="28"/>
          <w:szCs w:val="24"/>
        </w:rPr>
        <w:t>宁夏高层次人才管理服务系统的基本要素具备计算机硬件、网络及通信、计算机软件、信息用户与规章制度，其中硬件与网络通信统一部署在</w:t>
      </w:r>
      <w:r w:rsidR="00BD1749" w:rsidRPr="00BD1749">
        <w:rPr>
          <w:rFonts w:eastAsia="仿宋_GB2312" w:hint="eastAsia"/>
          <w:sz w:val="28"/>
          <w:szCs w:val="24"/>
        </w:rPr>
        <w:t>移动政务</w:t>
      </w:r>
      <w:proofErr w:type="gramStart"/>
      <w:r w:rsidR="00BD1749" w:rsidRPr="00BD1749">
        <w:rPr>
          <w:rFonts w:eastAsia="仿宋_GB2312" w:hint="eastAsia"/>
          <w:sz w:val="28"/>
          <w:szCs w:val="24"/>
        </w:rPr>
        <w:t>信创云</w:t>
      </w:r>
      <w:proofErr w:type="gramEnd"/>
      <w:r w:rsidR="00BD1749" w:rsidRPr="00BD1749">
        <w:rPr>
          <w:rFonts w:eastAsia="仿宋_GB2312" w:hint="eastAsia"/>
          <w:sz w:val="28"/>
          <w:szCs w:val="24"/>
        </w:rPr>
        <w:t>平台</w:t>
      </w:r>
      <w:r w:rsidRPr="00BD1749">
        <w:rPr>
          <w:rFonts w:eastAsia="仿宋_GB2312" w:hint="eastAsia"/>
          <w:sz w:val="28"/>
          <w:szCs w:val="24"/>
        </w:rPr>
        <w:t>，信息用户主要包含宁夏自治区职称申报人员、用人单位、组织评审单位等部门或群体等。系统网络结构主要分政务外网侧与互联网业务侧访问，均部署在自治区电子政务云平台，如图（系统网络结构图）所示</w:t>
      </w:r>
      <w:r>
        <w:rPr>
          <w:rFonts w:hint="eastAsia"/>
          <w:sz w:val="28"/>
          <w:szCs w:val="24"/>
        </w:rPr>
        <w:t>：</w:t>
      </w:r>
    </w:p>
    <w:p w:rsidR="00A1115C" w:rsidRDefault="00000000">
      <w:pPr>
        <w:pStyle w:val="a0"/>
        <w:ind w:firstLine="420"/>
        <w:jc w:val="center"/>
        <w:rPr>
          <w:sz w:val="28"/>
          <w:szCs w:val="28"/>
        </w:rPr>
      </w:pPr>
      <w:r>
        <w:rPr>
          <w:rFonts w:hint="eastAsia"/>
          <w:noProof/>
          <w:sz w:val="28"/>
          <w:szCs w:val="28"/>
        </w:rPr>
        <w:lastRenderedPageBreak/>
        <w:drawing>
          <wp:inline distT="0" distB="0" distL="114300" distR="114300">
            <wp:extent cx="5265420" cy="3461385"/>
            <wp:effectExtent l="0" t="0" r="7620" b="13335"/>
            <wp:docPr id="1" name="图片 1" descr="524f806891811abb4c59544d9d4e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24f806891811abb4c59544d9d4ea40"/>
                    <pic:cNvPicPr>
                      <a:picLocks noChangeAspect="1"/>
                    </pic:cNvPicPr>
                  </pic:nvPicPr>
                  <pic:blipFill>
                    <a:blip r:embed="rId4"/>
                    <a:stretch>
                      <a:fillRect/>
                    </a:stretch>
                  </pic:blipFill>
                  <pic:spPr>
                    <a:xfrm>
                      <a:off x="0" y="0"/>
                      <a:ext cx="5265420" cy="3461385"/>
                    </a:xfrm>
                    <a:prstGeom prst="rect">
                      <a:avLst/>
                    </a:prstGeom>
                  </pic:spPr>
                </pic:pic>
              </a:graphicData>
            </a:graphic>
          </wp:inline>
        </w:drawing>
      </w:r>
    </w:p>
    <w:p w:rsidR="00A1115C" w:rsidRDefault="00000000">
      <w:pPr>
        <w:pStyle w:val="a4"/>
        <w:ind w:firstLine="420"/>
        <w:jc w:val="center"/>
        <w:rPr>
          <w:rFonts w:eastAsia="宋体"/>
          <w:sz w:val="28"/>
          <w:szCs w:val="28"/>
        </w:rPr>
      </w:pPr>
      <w:r>
        <w:t>图</w:t>
      </w:r>
      <w:r>
        <w:t xml:space="preserve"> </w:t>
      </w:r>
      <w:r>
        <w:fldChar w:fldCharType="begin"/>
      </w:r>
      <w:r>
        <w:instrText xml:space="preserve"> SEQ </w:instrText>
      </w:r>
      <w:r>
        <w:instrText>图</w:instrText>
      </w:r>
      <w:r>
        <w:instrText xml:space="preserve"> \* ARABIC </w:instrText>
      </w:r>
      <w:r>
        <w:fldChar w:fldCharType="separate"/>
      </w:r>
      <w:r w:rsidR="00BD1749">
        <w:rPr>
          <w:noProof/>
        </w:rPr>
        <w:t>1</w:t>
      </w:r>
      <w:r>
        <w:fldChar w:fldCharType="end"/>
      </w:r>
      <w:r>
        <w:rPr>
          <w:rFonts w:hint="eastAsia"/>
        </w:rPr>
        <w:t xml:space="preserve"> </w:t>
      </w:r>
      <w:r>
        <w:rPr>
          <w:rFonts w:hint="eastAsia"/>
        </w:rPr>
        <w:t>系统网络结构图</w:t>
      </w:r>
    </w:p>
    <w:p w:rsidR="00A1115C" w:rsidRPr="00BD1749" w:rsidRDefault="00000000" w:rsidP="00BD1749">
      <w:pPr>
        <w:pStyle w:val="a0"/>
        <w:ind w:firstLine="420"/>
        <w:rPr>
          <w:rFonts w:eastAsia="仿宋_GB2312"/>
          <w:sz w:val="28"/>
          <w:szCs w:val="24"/>
        </w:rPr>
      </w:pPr>
      <w:r w:rsidRPr="00BD1749">
        <w:rPr>
          <w:rFonts w:eastAsia="仿宋_GB2312" w:hint="eastAsia"/>
          <w:sz w:val="28"/>
          <w:szCs w:val="24"/>
        </w:rPr>
        <w:t>系统边界为各网络代理出口节点，其中边界设备利用云平台在互联网</w:t>
      </w:r>
      <w:proofErr w:type="gramStart"/>
      <w:r w:rsidRPr="00BD1749">
        <w:rPr>
          <w:rFonts w:eastAsia="仿宋_GB2312" w:hint="eastAsia"/>
          <w:sz w:val="28"/>
          <w:szCs w:val="24"/>
        </w:rPr>
        <w:t>接入区</w:t>
      </w:r>
      <w:proofErr w:type="gramEnd"/>
      <w:r w:rsidRPr="00BD1749">
        <w:rPr>
          <w:rFonts w:eastAsia="仿宋_GB2312" w:hint="eastAsia"/>
          <w:sz w:val="28"/>
          <w:szCs w:val="24"/>
        </w:rPr>
        <w:t>的边界防火墙等设备，设定安全策略，保证访问和数据流量通过具有安全策略的端口进行通信，且能够对非授权设备私自联到内部网络的行为和对内部用户非授权联到外部网络的行为进行检查或限制。</w:t>
      </w:r>
    </w:p>
    <w:p w:rsidR="00A1115C" w:rsidRDefault="00000000">
      <w:pPr>
        <w:spacing w:line="579" w:lineRule="exact"/>
        <w:ind w:firstLineChars="200" w:firstLine="560"/>
        <w:rPr>
          <w:sz w:val="28"/>
        </w:rPr>
      </w:pPr>
      <w:r w:rsidRPr="00BD1749">
        <w:rPr>
          <w:rFonts w:eastAsia="仿宋_GB2312" w:hint="eastAsia"/>
          <w:sz w:val="28"/>
        </w:rPr>
        <w:t>网络中在安全管理区部署了安全设备与外部网络互联，整个定级对象的网络边界设备区域为安全管理区。宁夏高层次人才服务管理系统外联的其它网络都划分为外部网络部分，而宁夏高层次人才服务管理系统以内的部分包括与交互网络互联的部分都可归为内部网络，网络边界部分和内部网络部分为本次定级对象的范围</w:t>
      </w:r>
      <w:r>
        <w:rPr>
          <w:rFonts w:hint="eastAsia"/>
          <w:sz w:val="28"/>
        </w:rPr>
        <w:t>。</w:t>
      </w:r>
    </w:p>
    <w:p w:rsidR="00A1115C" w:rsidRDefault="00000000">
      <w:pPr>
        <w:spacing w:line="579" w:lineRule="exact"/>
        <w:ind w:firstLineChars="200" w:firstLine="640"/>
        <w:rPr>
          <w:rFonts w:eastAsia="Times New Roman"/>
          <w:sz w:val="32"/>
        </w:rPr>
      </w:pPr>
      <w:r>
        <w:rPr>
          <w:rFonts w:eastAsia="楷体_GB2312" w:hint="eastAsia"/>
          <w:sz w:val="32"/>
        </w:rPr>
        <w:t>（三）承载业务</w:t>
      </w:r>
    </w:p>
    <w:p w:rsidR="00A1115C" w:rsidRDefault="00000000">
      <w:pPr>
        <w:spacing w:line="579" w:lineRule="exact"/>
        <w:ind w:firstLineChars="200" w:firstLine="560"/>
        <w:rPr>
          <w:rFonts w:eastAsia="Times New Roman"/>
          <w:sz w:val="28"/>
          <w:highlight w:val="yellow"/>
        </w:rPr>
      </w:pPr>
      <w:r>
        <w:rPr>
          <w:rFonts w:eastAsia="仿宋_GB2312" w:hint="eastAsia"/>
          <w:sz w:val="28"/>
        </w:rPr>
        <w:t>该定级对象承载着综合办公业务，包括职称评审、高层次人才认定、人才服务、人才项目、人才和载体管理、预算和资金管理、评审</w:t>
      </w:r>
      <w:r>
        <w:rPr>
          <w:rFonts w:eastAsia="仿宋_GB2312" w:hint="eastAsia"/>
          <w:sz w:val="28"/>
        </w:rPr>
        <w:lastRenderedPageBreak/>
        <w:t>专家及评审过程管理、数据分析应用等业务子系统，该业务相对独立，为电子政务外网面向宁夏自治区职称申报人员、用人单位、组织评审单位等部门或群体提供服务。该定级为独立业务系统，与其他系统不存在互联和数据调用情况。</w:t>
      </w:r>
    </w:p>
    <w:p w:rsidR="00A1115C" w:rsidRDefault="00000000">
      <w:pPr>
        <w:spacing w:line="579" w:lineRule="exact"/>
        <w:ind w:firstLineChars="200" w:firstLine="560"/>
        <w:rPr>
          <w:rFonts w:eastAsia="Times New Roman"/>
          <w:sz w:val="28"/>
        </w:rPr>
      </w:pPr>
      <w:r>
        <w:rPr>
          <w:rFonts w:eastAsia="仿宋_GB2312" w:hint="eastAsia"/>
          <w:sz w:val="28"/>
        </w:rPr>
        <w:t>该定级对象包括以下子系统：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7"/>
        <w:gridCol w:w="2125"/>
        <w:gridCol w:w="5324"/>
      </w:tblGrid>
      <w:tr w:rsidR="00A1115C" w:rsidTr="00BD1749">
        <w:tc>
          <w:tcPr>
            <w:tcW w:w="847" w:type="dxa"/>
            <w:tcBorders>
              <w:top w:val="single" w:sz="4" w:space="0" w:color="auto"/>
              <w:left w:val="single" w:sz="4" w:space="0" w:color="auto"/>
              <w:bottom w:val="single" w:sz="4" w:space="0" w:color="auto"/>
              <w:right w:val="single" w:sz="4" w:space="0" w:color="auto"/>
            </w:tcBorders>
            <w:vAlign w:val="center"/>
          </w:tcPr>
          <w:p w:rsidR="00A1115C" w:rsidRPr="00BD1749" w:rsidRDefault="00000000" w:rsidP="00BD1749">
            <w:pPr>
              <w:adjustRightInd w:val="0"/>
              <w:snapToGrid w:val="0"/>
              <w:jc w:val="center"/>
              <w:rPr>
                <w:sz w:val="24"/>
              </w:rPr>
            </w:pPr>
            <w:r w:rsidRPr="00BD1749">
              <w:rPr>
                <w:rFonts w:hint="eastAsia"/>
                <w:sz w:val="24"/>
              </w:rPr>
              <w:t>序号</w:t>
            </w:r>
          </w:p>
        </w:tc>
        <w:tc>
          <w:tcPr>
            <w:tcW w:w="2125" w:type="dxa"/>
            <w:tcBorders>
              <w:top w:val="single" w:sz="4" w:space="0" w:color="auto"/>
              <w:left w:val="single" w:sz="4" w:space="0" w:color="auto"/>
              <w:bottom w:val="single" w:sz="4" w:space="0" w:color="auto"/>
              <w:right w:val="single" w:sz="4" w:space="0" w:color="auto"/>
            </w:tcBorders>
            <w:vAlign w:val="center"/>
          </w:tcPr>
          <w:p w:rsidR="00A1115C" w:rsidRPr="00BD1749" w:rsidRDefault="00000000" w:rsidP="00BD1749">
            <w:pPr>
              <w:adjustRightInd w:val="0"/>
              <w:snapToGrid w:val="0"/>
              <w:jc w:val="center"/>
              <w:rPr>
                <w:sz w:val="24"/>
              </w:rPr>
            </w:pPr>
            <w:r w:rsidRPr="00BD1749">
              <w:rPr>
                <w:rFonts w:hint="eastAsia"/>
                <w:sz w:val="24"/>
              </w:rPr>
              <w:t>子系统名称</w:t>
            </w:r>
          </w:p>
        </w:tc>
        <w:tc>
          <w:tcPr>
            <w:tcW w:w="5324" w:type="dxa"/>
            <w:tcBorders>
              <w:top w:val="single" w:sz="4" w:space="0" w:color="auto"/>
              <w:left w:val="single" w:sz="4" w:space="0" w:color="auto"/>
              <w:bottom w:val="single" w:sz="4" w:space="0" w:color="auto"/>
              <w:right w:val="single" w:sz="4" w:space="0" w:color="auto"/>
            </w:tcBorders>
            <w:vAlign w:val="center"/>
          </w:tcPr>
          <w:p w:rsidR="00A1115C" w:rsidRPr="00BD1749" w:rsidRDefault="00000000" w:rsidP="00BD1749">
            <w:pPr>
              <w:adjustRightInd w:val="0"/>
              <w:snapToGrid w:val="0"/>
              <w:jc w:val="center"/>
              <w:rPr>
                <w:sz w:val="24"/>
              </w:rPr>
            </w:pPr>
            <w:r w:rsidRPr="00BD1749">
              <w:rPr>
                <w:rFonts w:hint="eastAsia"/>
                <w:sz w:val="24"/>
              </w:rPr>
              <w:t>业务功能描述</w:t>
            </w:r>
          </w:p>
        </w:tc>
      </w:tr>
      <w:tr w:rsidR="00A1115C">
        <w:tc>
          <w:tcPr>
            <w:tcW w:w="847"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rFonts w:eastAsia="Times New Roman"/>
                <w:sz w:val="24"/>
              </w:rPr>
            </w:pPr>
            <w:r>
              <w:rPr>
                <w:rFonts w:eastAsia="Times New Roman" w:hint="eastAsia"/>
                <w:sz w:val="24"/>
              </w:rPr>
              <w:t>1</w:t>
            </w:r>
          </w:p>
        </w:tc>
        <w:tc>
          <w:tcPr>
            <w:tcW w:w="2125"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sz w:val="24"/>
              </w:rPr>
            </w:pPr>
            <w:r>
              <w:rPr>
                <w:rFonts w:hint="eastAsia"/>
                <w:sz w:val="24"/>
              </w:rPr>
              <w:t>职称评审子系统</w:t>
            </w:r>
          </w:p>
        </w:tc>
        <w:tc>
          <w:tcPr>
            <w:tcW w:w="5324" w:type="dxa"/>
            <w:tcBorders>
              <w:top w:val="single" w:sz="4" w:space="0" w:color="auto"/>
              <w:left w:val="single" w:sz="4" w:space="0" w:color="auto"/>
              <w:bottom w:val="single" w:sz="4" w:space="0" w:color="auto"/>
              <w:right w:val="single" w:sz="4" w:space="0" w:color="auto"/>
            </w:tcBorders>
            <w:vAlign w:val="center"/>
          </w:tcPr>
          <w:p w:rsidR="00A1115C" w:rsidRPr="00BD1749" w:rsidRDefault="00000000" w:rsidP="00BD1749">
            <w:pPr>
              <w:adjustRightInd w:val="0"/>
              <w:snapToGrid w:val="0"/>
              <w:rPr>
                <w:sz w:val="24"/>
              </w:rPr>
            </w:pPr>
            <w:r w:rsidRPr="00BD1749">
              <w:rPr>
                <w:rFonts w:hint="eastAsia"/>
                <w:sz w:val="24"/>
              </w:rPr>
              <w:t>职称评审子系统将面向全区各类人才、用人单位、组织评审单位、评审专家以及</w:t>
            </w:r>
            <w:proofErr w:type="gramStart"/>
            <w:r w:rsidRPr="00BD1749">
              <w:rPr>
                <w:rFonts w:hint="eastAsia"/>
                <w:sz w:val="24"/>
              </w:rPr>
              <w:t>各级人社</w:t>
            </w:r>
            <w:proofErr w:type="gramEnd"/>
            <w:r w:rsidRPr="00BD1749">
              <w:rPr>
                <w:rFonts w:hint="eastAsia"/>
                <w:sz w:val="24"/>
              </w:rPr>
              <w:t>、监察等部门和群体，提供覆盖组织评审单位、用人单位、职称评审系列、职称评审权限等内容的管理，以及职称评审计划报送、职称评审通知发布、职称申报、单位审核推荐、</w:t>
            </w:r>
            <w:proofErr w:type="gramStart"/>
            <w:r w:rsidRPr="00BD1749">
              <w:rPr>
                <w:rFonts w:hint="eastAsia"/>
                <w:sz w:val="24"/>
              </w:rPr>
              <w:t>人社部门</w:t>
            </w:r>
            <w:proofErr w:type="gramEnd"/>
            <w:r w:rsidRPr="00BD1749">
              <w:rPr>
                <w:rFonts w:hint="eastAsia"/>
                <w:sz w:val="24"/>
              </w:rPr>
              <w:t>或主管部门审核、评委会办公室复审、论文相似度检测、学术成果盲评、评委会组建和管理、面试答辩、评委会评审、评审结果公示与核准备案、发文办证、全程监督、过程资料归档、评审结果撤销等职称评审全流程的各类管理服务。</w:t>
            </w:r>
          </w:p>
        </w:tc>
      </w:tr>
      <w:tr w:rsidR="00A1115C">
        <w:tc>
          <w:tcPr>
            <w:tcW w:w="847"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rFonts w:eastAsia="Times New Roman"/>
                <w:sz w:val="24"/>
              </w:rPr>
            </w:pPr>
            <w:r>
              <w:rPr>
                <w:rFonts w:eastAsia="Times New Roman" w:hint="eastAsia"/>
                <w:sz w:val="24"/>
              </w:rPr>
              <w:t>2</w:t>
            </w:r>
          </w:p>
        </w:tc>
        <w:tc>
          <w:tcPr>
            <w:tcW w:w="2125"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sz w:val="24"/>
              </w:rPr>
            </w:pPr>
            <w:r>
              <w:rPr>
                <w:rFonts w:hint="eastAsia"/>
                <w:sz w:val="24"/>
              </w:rPr>
              <w:t>高层次人才认定子系统</w:t>
            </w:r>
          </w:p>
        </w:tc>
        <w:tc>
          <w:tcPr>
            <w:tcW w:w="5324" w:type="dxa"/>
            <w:tcBorders>
              <w:top w:val="single" w:sz="4" w:space="0" w:color="auto"/>
              <w:left w:val="single" w:sz="4" w:space="0" w:color="auto"/>
              <w:bottom w:val="single" w:sz="4" w:space="0" w:color="auto"/>
              <w:right w:val="single" w:sz="4" w:space="0" w:color="auto"/>
            </w:tcBorders>
            <w:vAlign w:val="center"/>
          </w:tcPr>
          <w:p w:rsidR="00A1115C" w:rsidRPr="00BD1749" w:rsidRDefault="00000000" w:rsidP="00BD1749">
            <w:pPr>
              <w:adjustRightInd w:val="0"/>
              <w:snapToGrid w:val="0"/>
              <w:rPr>
                <w:sz w:val="24"/>
              </w:rPr>
            </w:pPr>
            <w:r w:rsidRPr="00BD1749">
              <w:rPr>
                <w:rFonts w:hint="eastAsia"/>
                <w:sz w:val="24"/>
              </w:rPr>
              <w:t>高层次人才认定子系统面向符合认定要求的高层次人才以及各级人才认定机构提供覆盖申报、受理、汇总、审核、复核、评审专家选取、评审、认定、公示、送达、申报、评审监管、诚信记录和认定资料归档、认定资格撤销等人才认定全流程的各类管理服务。</w:t>
            </w:r>
          </w:p>
        </w:tc>
      </w:tr>
      <w:tr w:rsidR="00A1115C">
        <w:tc>
          <w:tcPr>
            <w:tcW w:w="847"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sz w:val="24"/>
              </w:rPr>
            </w:pPr>
            <w:r>
              <w:rPr>
                <w:rFonts w:hint="eastAsia"/>
                <w:sz w:val="24"/>
              </w:rPr>
              <w:t>3</w:t>
            </w:r>
          </w:p>
        </w:tc>
        <w:tc>
          <w:tcPr>
            <w:tcW w:w="2125"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sz w:val="24"/>
              </w:rPr>
            </w:pPr>
            <w:r>
              <w:rPr>
                <w:rFonts w:hint="eastAsia"/>
                <w:sz w:val="24"/>
              </w:rPr>
              <w:t>人才服务平台</w:t>
            </w:r>
          </w:p>
        </w:tc>
        <w:tc>
          <w:tcPr>
            <w:tcW w:w="5324" w:type="dxa"/>
            <w:tcBorders>
              <w:top w:val="single" w:sz="4" w:space="0" w:color="auto"/>
              <w:left w:val="single" w:sz="4" w:space="0" w:color="auto"/>
              <w:bottom w:val="single" w:sz="4" w:space="0" w:color="auto"/>
              <w:right w:val="single" w:sz="4" w:space="0" w:color="auto"/>
            </w:tcBorders>
            <w:vAlign w:val="center"/>
          </w:tcPr>
          <w:p w:rsidR="00A1115C" w:rsidRPr="00BD1749" w:rsidRDefault="00000000" w:rsidP="00BD1749">
            <w:pPr>
              <w:adjustRightInd w:val="0"/>
              <w:snapToGrid w:val="0"/>
              <w:rPr>
                <w:sz w:val="24"/>
              </w:rPr>
            </w:pPr>
            <w:r w:rsidRPr="00BD1749">
              <w:rPr>
                <w:rFonts w:hint="eastAsia"/>
                <w:sz w:val="24"/>
              </w:rPr>
              <w:t>人才服务平台以自治区政务服务平台为依托，按照高效办成一件事工作开展方式，根据人才服务工作职责职能，按照业务实际需求，与相关部门做好系统对接，共同搭建人才服务平台，实现服务协同联办，数据共享互通。面向各类人才群体分级、分类提供招聘和编制管理、职称评定（认定）、户籍办理、子女入学、配偶就业、医疗保健、健康体检、住房产权转让、养老失业保险、医疗生育保险、科研项目申报、休假疗养、文化旅游、体育场馆、城市公共交通、安家费发放、购房补贴发放等包含但不限于各类人才服务。</w:t>
            </w:r>
          </w:p>
        </w:tc>
      </w:tr>
      <w:tr w:rsidR="00A1115C">
        <w:tc>
          <w:tcPr>
            <w:tcW w:w="847"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sz w:val="24"/>
              </w:rPr>
            </w:pPr>
            <w:r>
              <w:rPr>
                <w:rFonts w:hint="eastAsia"/>
                <w:sz w:val="24"/>
              </w:rPr>
              <w:t>4</w:t>
            </w:r>
          </w:p>
        </w:tc>
        <w:tc>
          <w:tcPr>
            <w:tcW w:w="2125"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sz w:val="24"/>
              </w:rPr>
            </w:pPr>
            <w:r>
              <w:rPr>
                <w:rFonts w:hint="eastAsia"/>
                <w:sz w:val="24"/>
              </w:rPr>
              <w:t>人才工程系统</w:t>
            </w:r>
          </w:p>
        </w:tc>
        <w:tc>
          <w:tcPr>
            <w:tcW w:w="5324" w:type="dxa"/>
            <w:tcBorders>
              <w:top w:val="single" w:sz="4" w:space="0" w:color="auto"/>
              <w:left w:val="single" w:sz="4" w:space="0" w:color="auto"/>
              <w:bottom w:val="single" w:sz="4" w:space="0" w:color="auto"/>
              <w:right w:val="single" w:sz="4" w:space="0" w:color="auto"/>
            </w:tcBorders>
            <w:vAlign w:val="center"/>
          </w:tcPr>
          <w:p w:rsidR="00A1115C" w:rsidRPr="00BD1749" w:rsidRDefault="00000000" w:rsidP="00BD1749">
            <w:pPr>
              <w:adjustRightInd w:val="0"/>
              <w:snapToGrid w:val="0"/>
              <w:rPr>
                <w:sz w:val="24"/>
              </w:rPr>
            </w:pPr>
            <w:r w:rsidRPr="00BD1749">
              <w:rPr>
                <w:rFonts w:hint="eastAsia"/>
                <w:sz w:val="24"/>
              </w:rPr>
              <w:t>人才工程系统提供塞上英才、青年拔尖人才培养、高技能人才等人才工程的通知发布、申报、受理、单位推荐、审核、复核、评审专家选取、评审、组织考察、认定、结果送达、资料归档、考核、资金拨付、诚信记录等申报和评选服务</w:t>
            </w:r>
          </w:p>
        </w:tc>
      </w:tr>
      <w:tr w:rsidR="00A1115C">
        <w:tc>
          <w:tcPr>
            <w:tcW w:w="847"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sz w:val="24"/>
              </w:rPr>
            </w:pPr>
            <w:r>
              <w:rPr>
                <w:rFonts w:hint="eastAsia"/>
                <w:sz w:val="24"/>
              </w:rPr>
              <w:t>5</w:t>
            </w:r>
          </w:p>
        </w:tc>
        <w:tc>
          <w:tcPr>
            <w:tcW w:w="2125"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sz w:val="24"/>
              </w:rPr>
            </w:pPr>
            <w:r>
              <w:rPr>
                <w:rFonts w:hint="eastAsia"/>
                <w:sz w:val="24"/>
              </w:rPr>
              <w:t>人才载体平台</w:t>
            </w:r>
          </w:p>
        </w:tc>
        <w:tc>
          <w:tcPr>
            <w:tcW w:w="5324" w:type="dxa"/>
            <w:tcBorders>
              <w:top w:val="single" w:sz="4" w:space="0" w:color="auto"/>
              <w:left w:val="single" w:sz="4" w:space="0" w:color="auto"/>
              <w:bottom w:val="single" w:sz="4" w:space="0" w:color="auto"/>
              <w:right w:val="single" w:sz="4" w:space="0" w:color="auto"/>
            </w:tcBorders>
            <w:vAlign w:val="center"/>
          </w:tcPr>
          <w:p w:rsidR="00A1115C" w:rsidRPr="00BD1749" w:rsidRDefault="00000000" w:rsidP="00BD1749">
            <w:pPr>
              <w:adjustRightInd w:val="0"/>
              <w:snapToGrid w:val="0"/>
              <w:rPr>
                <w:sz w:val="24"/>
              </w:rPr>
            </w:pPr>
            <w:r w:rsidRPr="00BD1749">
              <w:rPr>
                <w:rFonts w:hint="eastAsia"/>
                <w:sz w:val="24"/>
              </w:rPr>
              <w:t>面向符合认定要求的各类单位和相关认定机构</w:t>
            </w:r>
            <w:proofErr w:type="gramStart"/>
            <w:r w:rsidRPr="00BD1749">
              <w:rPr>
                <w:rFonts w:hint="eastAsia"/>
                <w:sz w:val="24"/>
              </w:rPr>
              <w:t>提</w:t>
            </w:r>
            <w:r w:rsidRPr="00BD1749">
              <w:rPr>
                <w:rFonts w:hint="eastAsia"/>
                <w:sz w:val="24"/>
              </w:rPr>
              <w:lastRenderedPageBreak/>
              <w:t>人才小</w:t>
            </w:r>
            <w:proofErr w:type="gramEnd"/>
            <w:r w:rsidRPr="00BD1749">
              <w:rPr>
                <w:rFonts w:hint="eastAsia"/>
                <w:sz w:val="24"/>
              </w:rPr>
              <w:t>高地、博士后科研流动（工作）站、院士工作站、专家服务基地、高技能人才培养基地等提供覆盖申报、受理、审核、复核、评审专家选取、评审、结果送达、申报和评审资料归档、考核、资金拨付等人才工程评选全流程的各类管理服务</w:t>
            </w:r>
          </w:p>
        </w:tc>
      </w:tr>
      <w:tr w:rsidR="00A1115C">
        <w:tc>
          <w:tcPr>
            <w:tcW w:w="847"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sz w:val="24"/>
              </w:rPr>
            </w:pPr>
            <w:r>
              <w:rPr>
                <w:rFonts w:hint="eastAsia"/>
                <w:sz w:val="24"/>
              </w:rPr>
              <w:lastRenderedPageBreak/>
              <w:t>6</w:t>
            </w:r>
          </w:p>
        </w:tc>
        <w:tc>
          <w:tcPr>
            <w:tcW w:w="2125"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sz w:val="24"/>
              </w:rPr>
            </w:pPr>
            <w:r>
              <w:rPr>
                <w:rFonts w:hint="eastAsia"/>
                <w:sz w:val="24"/>
              </w:rPr>
              <w:t>人才项目子系统</w:t>
            </w:r>
          </w:p>
        </w:tc>
        <w:tc>
          <w:tcPr>
            <w:tcW w:w="5324" w:type="dxa"/>
            <w:tcBorders>
              <w:top w:val="single" w:sz="4" w:space="0" w:color="auto"/>
              <w:left w:val="single" w:sz="4" w:space="0" w:color="auto"/>
              <w:bottom w:val="single" w:sz="4" w:space="0" w:color="auto"/>
              <w:right w:val="single" w:sz="4" w:space="0" w:color="auto"/>
            </w:tcBorders>
            <w:vAlign w:val="center"/>
          </w:tcPr>
          <w:p w:rsidR="00A1115C" w:rsidRPr="00BD1749" w:rsidRDefault="00000000" w:rsidP="00BD1749">
            <w:pPr>
              <w:adjustRightInd w:val="0"/>
              <w:snapToGrid w:val="0"/>
              <w:rPr>
                <w:sz w:val="24"/>
              </w:rPr>
            </w:pPr>
            <w:r w:rsidRPr="00BD1749">
              <w:rPr>
                <w:rFonts w:hint="eastAsia"/>
                <w:sz w:val="24"/>
              </w:rPr>
              <w:t>人才项目子系统面向符合条件的留学回国人员以及</w:t>
            </w:r>
            <w:proofErr w:type="gramStart"/>
            <w:r w:rsidRPr="00BD1749">
              <w:rPr>
                <w:rFonts w:hint="eastAsia"/>
                <w:sz w:val="24"/>
              </w:rPr>
              <w:t>各级人社</w:t>
            </w:r>
            <w:proofErr w:type="gramEnd"/>
            <w:r w:rsidRPr="00BD1749">
              <w:rPr>
                <w:rFonts w:hint="eastAsia"/>
                <w:sz w:val="24"/>
              </w:rPr>
              <w:t>部门，提供覆盖留学回国人员认证、申报、受理、审核、评审、结果送达、项目确认、项目审核与备案、经费发放、结题验收、申报和项目资料归档等全流程的各类管理服务</w:t>
            </w:r>
          </w:p>
        </w:tc>
      </w:tr>
      <w:tr w:rsidR="00A1115C">
        <w:tc>
          <w:tcPr>
            <w:tcW w:w="847"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sz w:val="24"/>
              </w:rPr>
            </w:pPr>
            <w:r>
              <w:rPr>
                <w:rFonts w:hint="eastAsia"/>
                <w:sz w:val="24"/>
              </w:rPr>
              <w:t>7</w:t>
            </w:r>
          </w:p>
        </w:tc>
        <w:tc>
          <w:tcPr>
            <w:tcW w:w="2125"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sz w:val="24"/>
              </w:rPr>
            </w:pPr>
            <w:r>
              <w:rPr>
                <w:rFonts w:hint="eastAsia"/>
                <w:sz w:val="24"/>
              </w:rPr>
              <w:t>人才待遇子系统</w:t>
            </w:r>
          </w:p>
        </w:tc>
        <w:tc>
          <w:tcPr>
            <w:tcW w:w="5324" w:type="dxa"/>
            <w:tcBorders>
              <w:top w:val="single" w:sz="4" w:space="0" w:color="auto"/>
              <w:left w:val="single" w:sz="4" w:space="0" w:color="auto"/>
              <w:bottom w:val="single" w:sz="4" w:space="0" w:color="auto"/>
              <w:right w:val="single" w:sz="4" w:space="0" w:color="auto"/>
            </w:tcBorders>
            <w:vAlign w:val="center"/>
          </w:tcPr>
          <w:p w:rsidR="00A1115C" w:rsidRPr="00BD1749" w:rsidRDefault="00000000" w:rsidP="00BD1749">
            <w:pPr>
              <w:adjustRightInd w:val="0"/>
              <w:snapToGrid w:val="0"/>
              <w:rPr>
                <w:sz w:val="24"/>
              </w:rPr>
            </w:pPr>
            <w:r w:rsidRPr="00BD1749">
              <w:rPr>
                <w:rFonts w:hint="eastAsia"/>
                <w:sz w:val="24"/>
              </w:rPr>
              <w:t>人才待遇子系统基于政务云环境，面向终身享受国务院特贴、符合申领自治区政府特贴、申领自治区政府特贴人员及相关审核部门，系统提供全流程服务。</w:t>
            </w:r>
          </w:p>
        </w:tc>
      </w:tr>
      <w:tr w:rsidR="00A1115C">
        <w:tc>
          <w:tcPr>
            <w:tcW w:w="847"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sz w:val="24"/>
              </w:rPr>
            </w:pPr>
            <w:r>
              <w:rPr>
                <w:rFonts w:hint="eastAsia"/>
                <w:sz w:val="24"/>
              </w:rPr>
              <w:t>8</w:t>
            </w:r>
          </w:p>
        </w:tc>
        <w:tc>
          <w:tcPr>
            <w:tcW w:w="2125"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sz w:val="24"/>
              </w:rPr>
            </w:pPr>
            <w:r>
              <w:rPr>
                <w:rFonts w:hint="eastAsia"/>
                <w:sz w:val="24"/>
              </w:rPr>
              <w:t>预算和资金管理</w:t>
            </w:r>
          </w:p>
        </w:tc>
        <w:tc>
          <w:tcPr>
            <w:tcW w:w="5324" w:type="dxa"/>
            <w:tcBorders>
              <w:top w:val="single" w:sz="4" w:space="0" w:color="auto"/>
              <w:left w:val="single" w:sz="4" w:space="0" w:color="auto"/>
              <w:bottom w:val="single" w:sz="4" w:space="0" w:color="auto"/>
              <w:right w:val="single" w:sz="4" w:space="0" w:color="auto"/>
            </w:tcBorders>
            <w:vAlign w:val="center"/>
          </w:tcPr>
          <w:p w:rsidR="00A1115C" w:rsidRPr="00BD1749" w:rsidRDefault="00000000" w:rsidP="00BD1749">
            <w:pPr>
              <w:adjustRightInd w:val="0"/>
              <w:snapToGrid w:val="0"/>
              <w:rPr>
                <w:sz w:val="24"/>
              </w:rPr>
            </w:pPr>
            <w:r w:rsidRPr="00BD1749">
              <w:rPr>
                <w:rFonts w:hint="eastAsia"/>
                <w:sz w:val="24"/>
              </w:rPr>
              <w:t>预算和资金管理基于政务云环境，支持预算的规划、编制、汇总、审核、调控、结转、核定、考核，以及汇总和明细表导出、相关业务关联、批量处理等功能。</w:t>
            </w:r>
          </w:p>
          <w:p w:rsidR="00A1115C" w:rsidRPr="00BD1749" w:rsidRDefault="00000000" w:rsidP="00BD1749">
            <w:pPr>
              <w:adjustRightInd w:val="0"/>
              <w:snapToGrid w:val="0"/>
              <w:rPr>
                <w:sz w:val="24"/>
              </w:rPr>
            </w:pPr>
            <w:r w:rsidRPr="00BD1749">
              <w:rPr>
                <w:rFonts w:hint="eastAsia"/>
                <w:sz w:val="24"/>
              </w:rPr>
              <w:t>支持资金的收入、支出、分配、退款管理，以及使用情况抽检和稽核、汇总和明细表导出、相关业务关联、批量处理等功能。</w:t>
            </w:r>
          </w:p>
        </w:tc>
      </w:tr>
      <w:tr w:rsidR="00A1115C">
        <w:tc>
          <w:tcPr>
            <w:tcW w:w="847"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sz w:val="24"/>
              </w:rPr>
            </w:pPr>
            <w:r>
              <w:rPr>
                <w:rFonts w:hint="eastAsia"/>
                <w:sz w:val="24"/>
              </w:rPr>
              <w:t>9</w:t>
            </w:r>
          </w:p>
        </w:tc>
        <w:tc>
          <w:tcPr>
            <w:tcW w:w="2125"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sz w:val="24"/>
              </w:rPr>
            </w:pPr>
            <w:r>
              <w:rPr>
                <w:rFonts w:hint="eastAsia"/>
                <w:sz w:val="24"/>
              </w:rPr>
              <w:t>评审专家及评审过程管理子系统</w:t>
            </w:r>
          </w:p>
        </w:tc>
        <w:tc>
          <w:tcPr>
            <w:tcW w:w="5324" w:type="dxa"/>
            <w:tcBorders>
              <w:top w:val="single" w:sz="4" w:space="0" w:color="auto"/>
              <w:left w:val="single" w:sz="4" w:space="0" w:color="auto"/>
              <w:bottom w:val="single" w:sz="4" w:space="0" w:color="auto"/>
              <w:right w:val="single" w:sz="4" w:space="0" w:color="auto"/>
            </w:tcBorders>
            <w:vAlign w:val="center"/>
          </w:tcPr>
          <w:p w:rsidR="00A1115C" w:rsidRPr="00BD1749" w:rsidRDefault="00000000" w:rsidP="00BD1749">
            <w:pPr>
              <w:adjustRightInd w:val="0"/>
              <w:snapToGrid w:val="0"/>
              <w:rPr>
                <w:sz w:val="24"/>
              </w:rPr>
            </w:pPr>
            <w:r w:rsidRPr="00BD1749">
              <w:rPr>
                <w:rFonts w:hint="eastAsia"/>
                <w:sz w:val="24"/>
              </w:rPr>
              <w:t>评审专家及评审过程管理子系统基于政务云环境，包含但不限于查看、导入、新增、编辑、分组、删除、导出、考核、评分以及批量处理等功能。</w:t>
            </w:r>
          </w:p>
        </w:tc>
      </w:tr>
      <w:tr w:rsidR="00A1115C">
        <w:tc>
          <w:tcPr>
            <w:tcW w:w="847"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sz w:val="24"/>
              </w:rPr>
            </w:pPr>
            <w:r>
              <w:rPr>
                <w:rFonts w:hint="eastAsia"/>
                <w:sz w:val="24"/>
              </w:rPr>
              <w:t>10</w:t>
            </w:r>
          </w:p>
        </w:tc>
        <w:tc>
          <w:tcPr>
            <w:tcW w:w="2125"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sz w:val="24"/>
              </w:rPr>
            </w:pPr>
            <w:r>
              <w:rPr>
                <w:rFonts w:hint="eastAsia"/>
                <w:sz w:val="24"/>
              </w:rPr>
              <w:t>人才管理子系统</w:t>
            </w:r>
          </w:p>
        </w:tc>
        <w:tc>
          <w:tcPr>
            <w:tcW w:w="5324" w:type="dxa"/>
            <w:tcBorders>
              <w:top w:val="single" w:sz="4" w:space="0" w:color="auto"/>
              <w:left w:val="single" w:sz="4" w:space="0" w:color="auto"/>
              <w:bottom w:val="single" w:sz="4" w:space="0" w:color="auto"/>
              <w:right w:val="single" w:sz="4" w:space="0" w:color="auto"/>
            </w:tcBorders>
            <w:vAlign w:val="center"/>
          </w:tcPr>
          <w:p w:rsidR="00A1115C" w:rsidRPr="00BD1749" w:rsidRDefault="00000000" w:rsidP="00BD1749">
            <w:pPr>
              <w:adjustRightInd w:val="0"/>
              <w:snapToGrid w:val="0"/>
              <w:rPr>
                <w:sz w:val="24"/>
              </w:rPr>
            </w:pPr>
            <w:r w:rsidRPr="00BD1749">
              <w:rPr>
                <w:rFonts w:hint="eastAsia"/>
                <w:sz w:val="24"/>
              </w:rPr>
              <w:t>人才管理子系统基于政务云环境，通过系统接口、问卷调查、在线表单等多种方式，主动采集人才信息。</w:t>
            </w:r>
          </w:p>
          <w:p w:rsidR="00A1115C" w:rsidRPr="00BD1749" w:rsidRDefault="00000000" w:rsidP="00BD1749">
            <w:pPr>
              <w:adjustRightInd w:val="0"/>
              <w:snapToGrid w:val="0"/>
              <w:rPr>
                <w:sz w:val="24"/>
              </w:rPr>
            </w:pPr>
            <w:r w:rsidRPr="00BD1749">
              <w:rPr>
                <w:rFonts w:hint="eastAsia"/>
                <w:sz w:val="24"/>
              </w:rPr>
              <w:t>基于政务云环境，支持人才信息的动态更新和维护，确保信息的准确性和时效性。严格遵守相关法律法规，对人才信息进行加密存储和访问控制，保护个人隐私。</w:t>
            </w:r>
          </w:p>
          <w:p w:rsidR="00A1115C" w:rsidRPr="00BD1749" w:rsidRDefault="00000000" w:rsidP="00BD1749">
            <w:pPr>
              <w:adjustRightInd w:val="0"/>
              <w:snapToGrid w:val="0"/>
              <w:rPr>
                <w:sz w:val="24"/>
              </w:rPr>
            </w:pPr>
            <w:r w:rsidRPr="00BD1749">
              <w:rPr>
                <w:rFonts w:hint="eastAsia"/>
                <w:sz w:val="24"/>
              </w:rPr>
              <w:t>基于政务云环境，允许项目负责人或管理者根据项目需求，自定义考核目标，包括</w:t>
            </w:r>
            <w:r w:rsidRPr="00BD1749">
              <w:rPr>
                <w:rFonts w:hint="eastAsia"/>
                <w:sz w:val="24"/>
              </w:rPr>
              <w:t>KPI</w:t>
            </w:r>
            <w:r w:rsidRPr="00BD1749">
              <w:rPr>
                <w:rFonts w:hint="eastAsia"/>
                <w:sz w:val="24"/>
              </w:rPr>
              <w:t>、</w:t>
            </w:r>
            <w:r w:rsidRPr="00BD1749">
              <w:rPr>
                <w:rFonts w:hint="eastAsia"/>
                <w:sz w:val="24"/>
              </w:rPr>
              <w:t>OKR</w:t>
            </w:r>
            <w:r w:rsidRPr="00BD1749">
              <w:rPr>
                <w:rFonts w:hint="eastAsia"/>
                <w:sz w:val="24"/>
              </w:rPr>
              <w:t>或其他量化指标。</w:t>
            </w:r>
          </w:p>
          <w:p w:rsidR="00A1115C" w:rsidRPr="00BD1749" w:rsidRDefault="00000000" w:rsidP="00BD1749">
            <w:pPr>
              <w:adjustRightInd w:val="0"/>
              <w:snapToGrid w:val="0"/>
              <w:rPr>
                <w:sz w:val="24"/>
              </w:rPr>
            </w:pPr>
            <w:r w:rsidRPr="00BD1749">
              <w:rPr>
                <w:rFonts w:hint="eastAsia"/>
                <w:sz w:val="24"/>
              </w:rPr>
              <w:t>基于政务云环境，设定考核周期（如季度、半年度、年度）及具体时间节点，包括考核开始、中期检查、结束等。将考核任务分解到具体责任人，明确职责范围和时间要求。</w:t>
            </w:r>
          </w:p>
          <w:p w:rsidR="00A1115C" w:rsidRPr="00BD1749" w:rsidRDefault="00000000" w:rsidP="00BD1749">
            <w:pPr>
              <w:adjustRightInd w:val="0"/>
              <w:snapToGrid w:val="0"/>
              <w:rPr>
                <w:sz w:val="24"/>
              </w:rPr>
            </w:pPr>
            <w:r w:rsidRPr="00BD1749">
              <w:rPr>
                <w:rFonts w:hint="eastAsia"/>
                <w:sz w:val="24"/>
              </w:rPr>
              <w:t>基于政务云环境，制定考核流程，包括自评、互评、上级评审、结果反馈等环节。跟踪考核进度，提醒相关人员按时完成考核任务。</w:t>
            </w:r>
          </w:p>
        </w:tc>
      </w:tr>
      <w:tr w:rsidR="00A1115C">
        <w:tc>
          <w:tcPr>
            <w:tcW w:w="847"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sz w:val="24"/>
              </w:rPr>
            </w:pPr>
            <w:r>
              <w:rPr>
                <w:rFonts w:hint="eastAsia"/>
                <w:sz w:val="24"/>
              </w:rPr>
              <w:t>11</w:t>
            </w:r>
          </w:p>
        </w:tc>
        <w:tc>
          <w:tcPr>
            <w:tcW w:w="2125"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sz w:val="24"/>
              </w:rPr>
            </w:pPr>
            <w:r>
              <w:rPr>
                <w:rFonts w:hint="eastAsia"/>
                <w:sz w:val="24"/>
              </w:rPr>
              <w:t>事项经办管理系</w:t>
            </w:r>
            <w:r>
              <w:rPr>
                <w:rFonts w:hint="eastAsia"/>
                <w:sz w:val="24"/>
              </w:rPr>
              <w:lastRenderedPageBreak/>
              <w:t>统</w:t>
            </w:r>
          </w:p>
        </w:tc>
        <w:tc>
          <w:tcPr>
            <w:tcW w:w="5324" w:type="dxa"/>
            <w:tcBorders>
              <w:top w:val="single" w:sz="4" w:space="0" w:color="auto"/>
              <w:left w:val="single" w:sz="4" w:space="0" w:color="auto"/>
              <w:bottom w:val="single" w:sz="4" w:space="0" w:color="auto"/>
              <w:right w:val="single" w:sz="4" w:space="0" w:color="auto"/>
            </w:tcBorders>
            <w:vAlign w:val="center"/>
          </w:tcPr>
          <w:p w:rsidR="00A1115C" w:rsidRPr="00BD1749" w:rsidRDefault="00000000" w:rsidP="00BD1749">
            <w:pPr>
              <w:adjustRightInd w:val="0"/>
              <w:snapToGrid w:val="0"/>
              <w:rPr>
                <w:sz w:val="24"/>
              </w:rPr>
            </w:pPr>
            <w:r w:rsidRPr="00BD1749">
              <w:rPr>
                <w:rFonts w:hint="eastAsia"/>
                <w:sz w:val="24"/>
              </w:rPr>
              <w:lastRenderedPageBreak/>
              <w:t>事项经办管理系统包含对事项经办信息查询管</w:t>
            </w:r>
            <w:r w:rsidRPr="00BD1749">
              <w:rPr>
                <w:rFonts w:hint="eastAsia"/>
                <w:sz w:val="24"/>
              </w:rPr>
              <w:lastRenderedPageBreak/>
              <w:t>理、进度、结果、项目、预算经费、审核流程、权限配置等功能模块。</w:t>
            </w:r>
          </w:p>
        </w:tc>
      </w:tr>
      <w:tr w:rsidR="00A1115C">
        <w:tc>
          <w:tcPr>
            <w:tcW w:w="847"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sz w:val="24"/>
              </w:rPr>
            </w:pPr>
            <w:r>
              <w:rPr>
                <w:rFonts w:hint="eastAsia"/>
                <w:sz w:val="24"/>
              </w:rPr>
              <w:lastRenderedPageBreak/>
              <w:t>12</w:t>
            </w:r>
          </w:p>
        </w:tc>
        <w:tc>
          <w:tcPr>
            <w:tcW w:w="2125" w:type="dxa"/>
            <w:tcBorders>
              <w:top w:val="single" w:sz="4" w:space="0" w:color="auto"/>
              <w:left w:val="single" w:sz="4" w:space="0" w:color="auto"/>
              <w:bottom w:val="single" w:sz="4" w:space="0" w:color="auto"/>
              <w:right w:val="single" w:sz="4" w:space="0" w:color="auto"/>
            </w:tcBorders>
            <w:vAlign w:val="center"/>
          </w:tcPr>
          <w:p w:rsidR="00A1115C" w:rsidRDefault="00000000">
            <w:pPr>
              <w:adjustRightInd w:val="0"/>
              <w:snapToGrid w:val="0"/>
              <w:jc w:val="center"/>
              <w:rPr>
                <w:sz w:val="24"/>
              </w:rPr>
            </w:pPr>
            <w:r>
              <w:rPr>
                <w:rFonts w:hint="eastAsia"/>
                <w:sz w:val="24"/>
              </w:rPr>
              <w:t>大数据分析应用</w:t>
            </w:r>
          </w:p>
        </w:tc>
        <w:tc>
          <w:tcPr>
            <w:tcW w:w="5324" w:type="dxa"/>
            <w:tcBorders>
              <w:top w:val="single" w:sz="4" w:space="0" w:color="auto"/>
              <w:left w:val="single" w:sz="4" w:space="0" w:color="auto"/>
              <w:bottom w:val="single" w:sz="4" w:space="0" w:color="auto"/>
              <w:right w:val="single" w:sz="4" w:space="0" w:color="auto"/>
            </w:tcBorders>
            <w:vAlign w:val="center"/>
          </w:tcPr>
          <w:p w:rsidR="00A1115C" w:rsidRPr="00BD1749" w:rsidRDefault="00000000" w:rsidP="00BD1749">
            <w:pPr>
              <w:adjustRightInd w:val="0"/>
              <w:snapToGrid w:val="0"/>
              <w:rPr>
                <w:sz w:val="24"/>
              </w:rPr>
            </w:pPr>
            <w:r w:rsidRPr="00BD1749">
              <w:rPr>
                <w:rFonts w:hint="eastAsia"/>
                <w:sz w:val="24"/>
              </w:rPr>
              <w:t>大数据分析应用是基于政务云环境，系统通过服务事项申报办理等工作需求，主动采集与整合人才相关数据，包括设计数据源接入接口、设定采集策略、智能筛选规则等，确保数据及时准确。同时，对数据进行清洗、转换、加工，建立人才主题数据库，并迁移历史数据</w:t>
            </w:r>
            <w:proofErr w:type="gramStart"/>
            <w:r w:rsidRPr="00BD1749">
              <w:rPr>
                <w:rFonts w:hint="eastAsia"/>
                <w:sz w:val="24"/>
              </w:rPr>
              <w:t>至人社一体化</w:t>
            </w:r>
            <w:proofErr w:type="gramEnd"/>
            <w:r w:rsidRPr="00BD1749">
              <w:rPr>
                <w:rFonts w:hint="eastAsia"/>
                <w:sz w:val="24"/>
              </w:rPr>
              <w:t>系统。在数据分析和应用方面，系统支持数据挖掘技术，深入挖掘数据潜在模式、关联性和趋势，具备预测未来人才市场需求和行业发展趋势的能力。通过行为分析与用户画像，系统能智能推荐相关人才政策、活动等，并接入人工智能与大模型技术，实现人才工作的数字化、智能化转型，为管理层提供科学精准的决策支持。</w:t>
            </w:r>
          </w:p>
        </w:tc>
      </w:tr>
    </w:tbl>
    <w:p w:rsidR="00A1115C" w:rsidRDefault="00000000">
      <w:pPr>
        <w:spacing w:line="579" w:lineRule="exact"/>
        <w:ind w:firstLineChars="200" w:firstLine="640"/>
        <w:rPr>
          <w:rFonts w:eastAsia="Times New Roman"/>
          <w:sz w:val="32"/>
        </w:rPr>
      </w:pPr>
      <w:r>
        <w:rPr>
          <w:rFonts w:eastAsia="楷体_GB2312" w:hint="eastAsia"/>
          <w:sz w:val="32"/>
        </w:rPr>
        <w:t>（四）安全责任</w:t>
      </w:r>
    </w:p>
    <w:p w:rsidR="00A1115C" w:rsidRDefault="00000000">
      <w:pPr>
        <w:spacing w:line="579" w:lineRule="exact"/>
        <w:ind w:firstLineChars="200" w:firstLine="560"/>
        <w:rPr>
          <w:rFonts w:eastAsia="Times New Roman"/>
          <w:sz w:val="28"/>
        </w:rPr>
      </w:pPr>
      <w:r>
        <w:rPr>
          <w:rFonts w:eastAsia="仿宋_GB2312" w:hint="eastAsia"/>
          <w:sz w:val="28"/>
        </w:rPr>
        <w:t>按照网络安全法的相关要求，此次备案的宁夏高层次人才服务管理系统的网络安全保护义务由宁夏回族自治区人力资源和社会保障厅履行，日常网络安全工作由我单位信息数据管理中心负责落实，宁夏回族自治区人力资源和社会保障厅单位负责人郭敬泽（身份证号码：</w:t>
      </w:r>
      <w:r>
        <w:rPr>
          <w:rFonts w:eastAsia="仿宋_GB2312" w:hint="eastAsia"/>
          <w:sz w:val="28"/>
        </w:rPr>
        <w:t>XXXXXXXXXXXXXXXXXX</w:t>
      </w:r>
      <w:r>
        <w:rPr>
          <w:rFonts w:eastAsia="仿宋_GB2312" w:hint="eastAsia"/>
          <w:sz w:val="28"/>
        </w:rPr>
        <w:t>）为直接负责的主管人员。</w:t>
      </w:r>
    </w:p>
    <w:p w:rsidR="00A1115C" w:rsidRDefault="00000000">
      <w:pPr>
        <w:spacing w:line="579" w:lineRule="exact"/>
        <w:ind w:firstLineChars="200" w:firstLine="640"/>
        <w:rPr>
          <w:rFonts w:eastAsia="Times New Roman"/>
          <w:sz w:val="32"/>
        </w:rPr>
      </w:pPr>
      <w:r>
        <w:rPr>
          <w:rFonts w:eastAsia="黑体" w:hint="eastAsia"/>
          <w:sz w:val="32"/>
        </w:rPr>
        <w:t>二、安全保护等级确定</w:t>
      </w:r>
    </w:p>
    <w:bookmarkEnd w:id="1"/>
    <w:bookmarkEnd w:id="2"/>
    <w:p w:rsidR="00A1115C" w:rsidRDefault="00000000">
      <w:pPr>
        <w:spacing w:line="579" w:lineRule="exact"/>
        <w:ind w:firstLineChars="200" w:firstLine="640"/>
        <w:rPr>
          <w:rFonts w:eastAsia="Times New Roman"/>
          <w:sz w:val="32"/>
        </w:rPr>
      </w:pPr>
      <w:r>
        <w:rPr>
          <w:rFonts w:eastAsia="楷体_GB2312" w:hint="eastAsia"/>
          <w:sz w:val="32"/>
        </w:rPr>
        <w:t>（一）业务信息安全保护等级的确定</w:t>
      </w:r>
      <w:bookmarkStart w:id="3" w:name="_Toc144639206"/>
    </w:p>
    <w:p w:rsidR="00A1115C" w:rsidRDefault="00000000">
      <w:pPr>
        <w:spacing w:line="579" w:lineRule="exact"/>
        <w:ind w:firstLineChars="200" w:firstLine="560"/>
        <w:rPr>
          <w:rFonts w:eastAsia="Times New Roman"/>
          <w:sz w:val="28"/>
        </w:rPr>
      </w:pPr>
      <w:r>
        <w:rPr>
          <w:rFonts w:eastAsia="Times New Roman" w:hint="eastAsia"/>
          <w:sz w:val="28"/>
        </w:rPr>
        <w:t>1</w:t>
      </w:r>
      <w:r>
        <w:rPr>
          <w:rFonts w:eastAsia="仿宋_GB2312" w:hint="eastAsia"/>
          <w:sz w:val="28"/>
        </w:rPr>
        <w:t>、业务信息</w:t>
      </w:r>
      <w:bookmarkEnd w:id="3"/>
      <w:r>
        <w:rPr>
          <w:rFonts w:eastAsia="仿宋_GB2312" w:hint="eastAsia"/>
          <w:sz w:val="28"/>
        </w:rPr>
        <w:t>描述</w:t>
      </w:r>
    </w:p>
    <w:p w:rsidR="00A1115C" w:rsidRDefault="00000000">
      <w:pPr>
        <w:spacing w:line="360" w:lineRule="auto"/>
        <w:ind w:firstLineChars="200" w:firstLine="560"/>
        <w:rPr>
          <w:rFonts w:ascii="仿宋_GB2312" w:eastAsia="仿宋_GB2312" w:hAnsi="宋体" w:hint="eastAsia"/>
          <w:sz w:val="28"/>
          <w:szCs w:val="28"/>
        </w:rPr>
      </w:pPr>
      <w:r>
        <w:rPr>
          <w:rFonts w:ascii="仿宋_GB2312" w:eastAsia="仿宋_GB2312" w:hAnsi="宋体" w:hint="eastAsia"/>
          <w:sz w:val="28"/>
          <w:szCs w:val="28"/>
        </w:rPr>
        <w:t>系统处理的业务信息包括用于面向自治区高技能人才以及专业技术人员，提供职称评审、高层次人才认定、人才服务、人才项目申报、人才项目经费管理、大数据分析等服务及其他跟职称申报人员、用人单位等业务信息约25万条，每年增长10%。</w:t>
      </w:r>
    </w:p>
    <w:p w:rsidR="00A1115C" w:rsidRDefault="00000000">
      <w:pPr>
        <w:spacing w:line="360" w:lineRule="auto"/>
        <w:rPr>
          <w:rFonts w:ascii="仿宋_GB2312" w:eastAsia="仿宋_GB2312" w:hAnsi="宋体" w:hint="eastAsia"/>
          <w:sz w:val="28"/>
          <w:szCs w:val="28"/>
        </w:rPr>
      </w:pPr>
      <w:r>
        <w:rPr>
          <w:rFonts w:ascii="仿宋_GB2312" w:eastAsia="仿宋_GB2312" w:hAnsi="宋体" w:hint="eastAsia"/>
          <w:sz w:val="28"/>
          <w:szCs w:val="28"/>
        </w:rPr>
        <w:t>高层次人才、职称评审个人信息:如用户姓名、身份证号、联系方式、住址等，约20余万条，每年增长5%。</w:t>
      </w:r>
    </w:p>
    <w:p w:rsidR="00A1115C" w:rsidRDefault="00000000">
      <w:pPr>
        <w:spacing w:line="360" w:lineRule="auto"/>
        <w:rPr>
          <w:rFonts w:ascii="仿宋_GB2312" w:eastAsia="仿宋_GB2312" w:hAnsi="宋体" w:hint="eastAsia"/>
          <w:sz w:val="28"/>
          <w:szCs w:val="28"/>
        </w:rPr>
      </w:pPr>
      <w:r>
        <w:rPr>
          <w:rFonts w:ascii="仿宋_GB2312" w:eastAsia="仿宋_GB2312" w:hAnsi="宋体" w:hint="eastAsia"/>
          <w:sz w:val="28"/>
          <w:szCs w:val="28"/>
        </w:rPr>
        <w:lastRenderedPageBreak/>
        <w:t>用人单位、项目申报等敏感信息:如银行账号、密码、生物识别信息等，约8.6万条，每年增长5%。</w:t>
      </w:r>
    </w:p>
    <w:p w:rsidR="00A1115C" w:rsidRDefault="00000000">
      <w:pPr>
        <w:spacing w:line="360" w:lineRule="auto"/>
        <w:rPr>
          <w:rFonts w:ascii="仿宋_GB2312" w:eastAsia="仿宋_GB2312" w:hAnsi="宋体" w:hint="eastAsia"/>
          <w:sz w:val="28"/>
          <w:szCs w:val="28"/>
        </w:rPr>
      </w:pPr>
      <w:r>
        <w:rPr>
          <w:rFonts w:ascii="仿宋_GB2312" w:eastAsia="仿宋_GB2312" w:hAnsi="宋体" w:hint="eastAsia"/>
          <w:sz w:val="28"/>
          <w:szCs w:val="28"/>
        </w:rPr>
        <w:t>定级对象系统管理信息:如系统日志、操作记录、权限分配等约25万条，每年增长20%。</w:t>
      </w:r>
    </w:p>
    <w:p w:rsidR="00A1115C" w:rsidRDefault="00000000">
      <w:pPr>
        <w:spacing w:line="579" w:lineRule="exact"/>
        <w:ind w:firstLineChars="200" w:firstLine="560"/>
        <w:rPr>
          <w:rFonts w:eastAsia="Times New Roman"/>
          <w:sz w:val="28"/>
        </w:rPr>
      </w:pPr>
      <w:r>
        <w:rPr>
          <w:rFonts w:eastAsia="Times New Roman" w:hint="eastAsia"/>
          <w:sz w:val="28"/>
        </w:rPr>
        <w:t>2</w:t>
      </w:r>
      <w:r>
        <w:rPr>
          <w:rFonts w:eastAsia="仿宋_GB2312" w:hint="eastAsia"/>
          <w:sz w:val="28"/>
        </w:rPr>
        <w:t>、业务信息受到破坏时所侵害客体的确定</w:t>
      </w:r>
    </w:p>
    <w:p w:rsidR="00A1115C" w:rsidRDefault="00000000">
      <w:pPr>
        <w:spacing w:line="360" w:lineRule="auto"/>
        <w:ind w:firstLineChars="200" w:firstLine="560"/>
        <w:rPr>
          <w:rFonts w:ascii="仿宋_GB2312" w:eastAsia="仿宋_GB2312"/>
          <w:sz w:val="28"/>
          <w:szCs w:val="28"/>
        </w:rPr>
      </w:pPr>
      <w:r>
        <w:rPr>
          <w:rFonts w:ascii="仿宋_GB2312" w:eastAsia="仿宋_GB2312" w:hint="eastAsia"/>
          <w:sz w:val="28"/>
          <w:szCs w:val="28"/>
        </w:rPr>
        <w:t>系统信息遭到破坏后，侵害的客体类型属于公民、法人和其他组织的合法权益，以及社会秩序、公共利益。</w:t>
      </w:r>
    </w:p>
    <w:p w:rsidR="00A1115C" w:rsidRDefault="00000000">
      <w:pPr>
        <w:spacing w:line="360" w:lineRule="auto"/>
        <w:ind w:firstLineChars="200" w:firstLine="560"/>
        <w:rPr>
          <w:rFonts w:ascii="仿宋_GB2312" w:eastAsia="仿宋_GB2312"/>
          <w:sz w:val="28"/>
          <w:szCs w:val="28"/>
        </w:rPr>
      </w:pPr>
      <w:r>
        <w:rPr>
          <w:rFonts w:ascii="仿宋_GB2312" w:eastAsia="仿宋_GB2312" w:hint="eastAsia"/>
          <w:sz w:val="28"/>
          <w:szCs w:val="28"/>
        </w:rPr>
        <w:t>侵害的客观方面表现为：一旦该系统的业务信息遭到入侵、修改、增加、删除等不明侵害，会对宁夏回族自治区人力资源和社会保障厅的合法权益造成影响和损害，同时也会对社会秩序、公共利益造成侵害。可以表现为：1）社会秩序、公共利益遭受侵害可发生的后果：若高层次人才、职称评审数据被篡改，导致人才评审、待遇认定等异常，可能引发公众对平台信任危机，扰乱行业经济秩序；</w:t>
      </w:r>
      <w:proofErr w:type="gramStart"/>
      <w:r>
        <w:rPr>
          <w:rFonts w:ascii="仿宋_GB2312" w:eastAsia="仿宋_GB2312" w:hint="eastAsia"/>
          <w:sz w:val="28"/>
          <w:szCs w:val="28"/>
        </w:rPr>
        <w:t>若公民</w:t>
      </w:r>
      <w:proofErr w:type="gramEnd"/>
      <w:r>
        <w:rPr>
          <w:rFonts w:ascii="仿宋_GB2312" w:eastAsia="仿宋_GB2312" w:hint="eastAsia"/>
          <w:sz w:val="28"/>
          <w:szCs w:val="28"/>
        </w:rPr>
        <w:t>身份信息泄露，可能被用于电信诈骗，造成社会群体性财产损失；2）公民、法人和其他组织遭受侵害可发生的后果：若生物特征数据泄露，导致个人身份被冒用，侵犯公民人身安全权，同时影响其正常工作的开展，导致其业务能力下降，造成单位不良影响。</w:t>
      </w:r>
    </w:p>
    <w:p w:rsidR="00A1115C" w:rsidRDefault="00000000">
      <w:pPr>
        <w:spacing w:line="579" w:lineRule="exact"/>
        <w:ind w:firstLineChars="200" w:firstLine="560"/>
        <w:rPr>
          <w:rFonts w:eastAsia="Times New Roman"/>
          <w:sz w:val="28"/>
        </w:rPr>
      </w:pPr>
      <w:r>
        <w:rPr>
          <w:rFonts w:eastAsia="Times New Roman" w:hint="eastAsia"/>
          <w:sz w:val="28"/>
        </w:rPr>
        <w:t>3</w:t>
      </w:r>
      <w:r>
        <w:rPr>
          <w:rFonts w:eastAsia="仿宋_GB2312" w:hint="eastAsia"/>
          <w:sz w:val="28"/>
        </w:rPr>
        <w:t>、业务信息受到破坏时对侵害客体的侵害程度的确定</w:t>
      </w:r>
    </w:p>
    <w:p w:rsidR="00A1115C" w:rsidRDefault="00000000">
      <w:pPr>
        <w:spacing w:line="360" w:lineRule="auto"/>
        <w:ind w:firstLineChars="200" w:firstLine="560"/>
        <w:rPr>
          <w:rFonts w:ascii="宋体" w:hAnsi="宋体" w:hint="eastAsia"/>
          <w:i/>
          <w:color w:val="FF0000"/>
          <w:sz w:val="24"/>
        </w:rPr>
      </w:pPr>
      <w:r>
        <w:rPr>
          <w:rFonts w:ascii="仿宋_GB2312" w:eastAsia="仿宋_GB2312" w:hint="eastAsia"/>
          <w:sz w:val="28"/>
          <w:szCs w:val="28"/>
        </w:rPr>
        <w:t>信息受到破坏后，对社会秩序、公共利益造成的侵害程度表现为严重损害，即会出现较大范围的社会不良影响和较严重程度的公共利益的损害等；对公民、法人和其他组织的合法权益造成侵害的程度表现为特别严重损害，即工作职能受到特别严重影响或丧失行使能力，</w:t>
      </w:r>
      <w:r>
        <w:rPr>
          <w:rFonts w:ascii="仿宋_GB2312" w:eastAsia="仿宋_GB2312" w:hint="eastAsia"/>
          <w:sz w:val="28"/>
          <w:szCs w:val="28"/>
        </w:rPr>
        <w:lastRenderedPageBreak/>
        <w:t>业务能力严重下降或功能无法执行，大范围的不良影响等。</w:t>
      </w:r>
    </w:p>
    <w:p w:rsidR="00A1115C" w:rsidRDefault="00000000">
      <w:pPr>
        <w:spacing w:line="579" w:lineRule="exact"/>
        <w:ind w:firstLineChars="200" w:firstLine="560"/>
        <w:rPr>
          <w:rFonts w:eastAsia="Times New Roman"/>
          <w:sz w:val="28"/>
        </w:rPr>
      </w:pPr>
      <w:r>
        <w:rPr>
          <w:rFonts w:eastAsia="Times New Roman" w:hint="eastAsia"/>
          <w:sz w:val="28"/>
        </w:rPr>
        <w:t>4</w:t>
      </w:r>
      <w:r>
        <w:rPr>
          <w:rFonts w:eastAsia="仿宋_GB2312" w:hint="eastAsia"/>
          <w:sz w:val="28"/>
        </w:rPr>
        <w:t>、业务信息安全保护等级的确定</w:t>
      </w:r>
    </w:p>
    <w:p w:rsidR="00A1115C" w:rsidRDefault="00000000">
      <w:pPr>
        <w:spacing w:line="579" w:lineRule="exact"/>
        <w:ind w:firstLineChars="200" w:firstLine="560"/>
        <w:rPr>
          <w:rFonts w:eastAsia="Times New Roman"/>
          <w:sz w:val="28"/>
        </w:rPr>
      </w:pPr>
      <w:r>
        <w:rPr>
          <w:rFonts w:eastAsia="仿宋_GB2312" w:hint="eastAsia"/>
          <w:sz w:val="28"/>
        </w:rPr>
        <w:t>依据业务信息受到破坏时所侵害的客体以及侵害程度，确定业务信息安全保护等级为第三级。</w:t>
      </w:r>
    </w:p>
    <w:p w:rsidR="00A1115C" w:rsidRDefault="00000000">
      <w:pPr>
        <w:spacing w:line="579" w:lineRule="exact"/>
        <w:ind w:firstLineChars="200" w:firstLine="480"/>
        <w:jc w:val="center"/>
        <w:rPr>
          <w:rFonts w:eastAsia="仿宋_GB2312"/>
          <w:kern w:val="0"/>
          <w:sz w:val="24"/>
        </w:rPr>
      </w:pPr>
      <w:r>
        <w:rPr>
          <w:rFonts w:eastAsia="仿宋_GB2312" w:hint="eastAsia"/>
          <w:kern w:val="0"/>
          <w:sz w:val="24"/>
        </w:rPr>
        <w:t>表</w:t>
      </w:r>
      <w:proofErr w:type="gramStart"/>
      <w:r>
        <w:rPr>
          <w:rFonts w:eastAsia="仿宋_GB2312" w:hint="eastAsia"/>
          <w:kern w:val="0"/>
          <w:sz w:val="24"/>
        </w:rPr>
        <w:t>一</w:t>
      </w:r>
      <w:proofErr w:type="gramEnd"/>
      <w:r>
        <w:rPr>
          <w:rFonts w:eastAsia="仿宋_GB2312" w:hint="eastAsia"/>
          <w:kern w:val="0"/>
          <w:sz w:val="24"/>
        </w:rPr>
        <w:t xml:space="preserve">  </w:t>
      </w:r>
      <w:r>
        <w:rPr>
          <w:rFonts w:eastAsia="仿宋_GB2312" w:hint="eastAsia"/>
          <w:kern w:val="0"/>
          <w:sz w:val="24"/>
        </w:rPr>
        <w:t>业务信息安全保护等级矩阵表</w:t>
      </w:r>
    </w:p>
    <w:tbl>
      <w:tblPr>
        <w:tblW w:w="0" w:type="auto"/>
        <w:shd w:val="clear" w:color="auto" w:fill="FFFFFF"/>
        <w:tblLayout w:type="fixed"/>
        <w:tblCellMar>
          <w:left w:w="0" w:type="dxa"/>
          <w:right w:w="0" w:type="dxa"/>
        </w:tblCellMar>
        <w:tblLook w:val="04A0" w:firstRow="1" w:lastRow="0" w:firstColumn="1" w:lastColumn="0" w:noHBand="0" w:noVBand="1"/>
      </w:tblPr>
      <w:tblGrid>
        <w:gridCol w:w="3804"/>
        <w:gridCol w:w="1480"/>
        <w:gridCol w:w="1672"/>
        <w:gridCol w:w="1672"/>
      </w:tblGrid>
      <w:tr w:rsidR="00A1115C">
        <w:tc>
          <w:tcPr>
            <w:tcW w:w="3804" w:type="dxa"/>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rsidR="00A1115C" w:rsidRDefault="00000000">
            <w:pPr>
              <w:autoSpaceDN w:val="0"/>
              <w:jc w:val="center"/>
              <w:rPr>
                <w:rFonts w:ascii="宋体" w:hAnsi="宋体" w:hint="eastAsia"/>
                <w:sz w:val="24"/>
              </w:rPr>
            </w:pPr>
            <w:r>
              <w:rPr>
                <w:rFonts w:ascii="宋体" w:hAnsi="宋体"/>
                <w:sz w:val="24"/>
              </w:rPr>
              <w:t>业务信息被破坏时所侵害的客体</w:t>
            </w:r>
          </w:p>
        </w:tc>
        <w:tc>
          <w:tcPr>
            <w:tcW w:w="4824" w:type="dxa"/>
            <w:gridSpan w:val="3"/>
            <w:tcBorders>
              <w:top w:val="single" w:sz="8" w:space="0" w:color="000000"/>
              <w:bottom w:val="single" w:sz="8" w:space="0" w:color="000000"/>
              <w:right w:val="single" w:sz="8" w:space="0" w:color="000000"/>
            </w:tcBorders>
            <w:shd w:val="clear" w:color="auto" w:fill="FFFFFF"/>
            <w:tcMar>
              <w:top w:w="0" w:type="dxa"/>
              <w:left w:w="108" w:type="dxa"/>
              <w:bottom w:w="0" w:type="dxa"/>
              <w:right w:w="108" w:type="dxa"/>
            </w:tcMar>
          </w:tcPr>
          <w:p w:rsidR="00A1115C" w:rsidRDefault="00000000">
            <w:pPr>
              <w:autoSpaceDN w:val="0"/>
              <w:jc w:val="center"/>
              <w:rPr>
                <w:rFonts w:ascii="宋体" w:hAnsi="宋体" w:hint="eastAsia"/>
                <w:sz w:val="24"/>
              </w:rPr>
            </w:pPr>
            <w:r>
              <w:rPr>
                <w:rFonts w:ascii="宋体" w:hAnsi="宋体"/>
                <w:sz w:val="24"/>
              </w:rPr>
              <w:t>对相应客体的侵害程度</w:t>
            </w:r>
          </w:p>
        </w:tc>
      </w:tr>
      <w:tr w:rsidR="00A1115C">
        <w:tc>
          <w:tcPr>
            <w:tcW w:w="3804" w:type="dxa"/>
            <w:vMerge/>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rsidR="00A1115C" w:rsidRDefault="00A1115C">
            <w:pPr>
              <w:jc w:val="center"/>
              <w:rPr>
                <w:rFonts w:ascii="宋体" w:hAnsi="宋体" w:hint="eastAsia"/>
                <w:sz w:val="24"/>
              </w:rPr>
            </w:pPr>
          </w:p>
        </w:tc>
        <w:tc>
          <w:tcPr>
            <w:tcW w:w="1480" w:type="dxa"/>
            <w:tcBorders>
              <w:bottom w:val="single" w:sz="8" w:space="0" w:color="000000"/>
              <w:right w:val="single" w:sz="8" w:space="0" w:color="000000"/>
            </w:tcBorders>
            <w:shd w:val="clear" w:color="auto" w:fill="FFFFFF"/>
            <w:tcMar>
              <w:top w:w="0" w:type="dxa"/>
              <w:left w:w="108" w:type="dxa"/>
              <w:bottom w:w="0" w:type="dxa"/>
              <w:right w:w="108" w:type="dxa"/>
            </w:tcMar>
          </w:tcPr>
          <w:p w:rsidR="00A1115C" w:rsidRDefault="00000000">
            <w:pPr>
              <w:autoSpaceDN w:val="0"/>
              <w:jc w:val="center"/>
              <w:rPr>
                <w:rFonts w:ascii="宋体" w:hAnsi="宋体" w:hint="eastAsia"/>
                <w:sz w:val="24"/>
              </w:rPr>
            </w:pPr>
            <w:r>
              <w:rPr>
                <w:rFonts w:ascii="宋体" w:hAnsi="宋体"/>
                <w:sz w:val="24"/>
              </w:rPr>
              <w:t>一般损害</w:t>
            </w:r>
          </w:p>
        </w:tc>
        <w:tc>
          <w:tcPr>
            <w:tcW w:w="1672" w:type="dxa"/>
            <w:tcBorders>
              <w:top w:val="single" w:sz="8" w:space="0" w:color="000000"/>
              <w:bottom w:val="single" w:sz="8" w:space="0" w:color="000000"/>
              <w:right w:val="single" w:sz="8" w:space="0" w:color="000000"/>
            </w:tcBorders>
            <w:shd w:val="clear" w:color="auto" w:fill="FFFFFF"/>
            <w:tcMar>
              <w:top w:w="0" w:type="dxa"/>
              <w:left w:w="108" w:type="dxa"/>
              <w:bottom w:w="0" w:type="dxa"/>
              <w:right w:w="108" w:type="dxa"/>
            </w:tcMar>
          </w:tcPr>
          <w:p w:rsidR="00A1115C" w:rsidRDefault="00000000">
            <w:pPr>
              <w:autoSpaceDN w:val="0"/>
              <w:jc w:val="center"/>
              <w:rPr>
                <w:rFonts w:ascii="宋体" w:hAnsi="宋体" w:hint="eastAsia"/>
                <w:sz w:val="24"/>
              </w:rPr>
            </w:pPr>
            <w:r>
              <w:rPr>
                <w:rFonts w:ascii="宋体" w:hAnsi="宋体"/>
                <w:sz w:val="24"/>
              </w:rPr>
              <w:t>严重损害</w:t>
            </w:r>
          </w:p>
        </w:tc>
        <w:tc>
          <w:tcPr>
            <w:tcW w:w="1672" w:type="dxa"/>
            <w:tcBorders>
              <w:top w:val="single" w:sz="8" w:space="0" w:color="000000"/>
              <w:bottom w:val="single" w:sz="8" w:space="0" w:color="000000"/>
              <w:right w:val="single" w:sz="8" w:space="0" w:color="000000"/>
            </w:tcBorders>
            <w:shd w:val="clear" w:color="auto" w:fill="FFFFFF"/>
            <w:tcMar>
              <w:top w:w="0" w:type="dxa"/>
              <w:left w:w="108" w:type="dxa"/>
              <w:bottom w:w="0" w:type="dxa"/>
              <w:right w:w="108" w:type="dxa"/>
            </w:tcMar>
          </w:tcPr>
          <w:p w:rsidR="00A1115C" w:rsidRDefault="00000000">
            <w:pPr>
              <w:autoSpaceDN w:val="0"/>
              <w:jc w:val="center"/>
              <w:rPr>
                <w:rFonts w:ascii="宋体" w:hAnsi="宋体" w:hint="eastAsia"/>
                <w:sz w:val="24"/>
              </w:rPr>
            </w:pPr>
            <w:r>
              <w:rPr>
                <w:rFonts w:ascii="宋体" w:hAnsi="宋体"/>
                <w:sz w:val="24"/>
              </w:rPr>
              <w:t>特别严重损害</w:t>
            </w:r>
          </w:p>
        </w:tc>
      </w:tr>
      <w:tr w:rsidR="00A1115C" w:rsidTr="00BD1749">
        <w:tc>
          <w:tcPr>
            <w:tcW w:w="3804" w:type="dxa"/>
            <w:tcBorders>
              <w:left w:val="single" w:sz="8" w:space="0" w:color="000000"/>
              <w:bottom w:val="single" w:sz="8" w:space="0" w:color="000000"/>
              <w:right w:val="single" w:sz="8" w:space="0" w:color="000000"/>
            </w:tcBorders>
            <w:shd w:val="clear" w:color="auto" w:fill="FFFFFF"/>
            <w:tcMar>
              <w:top w:w="0" w:type="dxa"/>
              <w:left w:w="108" w:type="dxa"/>
              <w:bottom w:w="0" w:type="dxa"/>
              <w:right w:w="108" w:type="dxa"/>
            </w:tcMar>
          </w:tcPr>
          <w:p w:rsidR="00A1115C" w:rsidRDefault="00000000">
            <w:pPr>
              <w:autoSpaceDN w:val="0"/>
              <w:jc w:val="center"/>
              <w:rPr>
                <w:rFonts w:ascii="宋体" w:hAnsi="宋体" w:hint="eastAsia"/>
                <w:sz w:val="24"/>
              </w:rPr>
            </w:pPr>
            <w:r>
              <w:rPr>
                <w:rFonts w:ascii="宋体" w:hAnsi="宋体"/>
                <w:sz w:val="24"/>
              </w:rPr>
              <w:t>公民、法人和其他组织的合法权益</w:t>
            </w:r>
          </w:p>
        </w:tc>
        <w:tc>
          <w:tcPr>
            <w:tcW w:w="1480" w:type="dxa"/>
            <w:tcBorders>
              <w:bottom w:val="single" w:sz="8" w:space="0" w:color="000000"/>
              <w:right w:val="single" w:sz="8" w:space="0" w:color="000000"/>
            </w:tcBorders>
            <w:shd w:val="clear" w:color="auto" w:fill="FFFFFF"/>
            <w:tcMar>
              <w:top w:w="0" w:type="dxa"/>
              <w:left w:w="108" w:type="dxa"/>
              <w:bottom w:w="0" w:type="dxa"/>
              <w:right w:w="108" w:type="dxa"/>
            </w:tcMar>
          </w:tcPr>
          <w:p w:rsidR="00A1115C" w:rsidRDefault="00000000">
            <w:pPr>
              <w:autoSpaceDN w:val="0"/>
              <w:jc w:val="center"/>
              <w:rPr>
                <w:rFonts w:ascii="宋体" w:hAnsi="宋体" w:hint="eastAsia"/>
                <w:sz w:val="24"/>
              </w:rPr>
            </w:pPr>
            <w:r>
              <w:rPr>
                <w:rFonts w:ascii="宋体" w:hAnsi="宋体"/>
                <w:sz w:val="24"/>
              </w:rPr>
              <w:t>第一级</w:t>
            </w:r>
          </w:p>
        </w:tc>
        <w:tc>
          <w:tcPr>
            <w:tcW w:w="1672" w:type="dxa"/>
            <w:tcBorders>
              <w:bottom w:val="single" w:sz="8" w:space="0" w:color="000000"/>
              <w:right w:val="single" w:sz="8" w:space="0" w:color="000000"/>
            </w:tcBorders>
            <w:shd w:val="clear" w:color="auto" w:fill="FFFFFF"/>
            <w:tcMar>
              <w:top w:w="0" w:type="dxa"/>
              <w:left w:w="108" w:type="dxa"/>
              <w:bottom w:w="0" w:type="dxa"/>
              <w:right w:w="108" w:type="dxa"/>
            </w:tcMar>
          </w:tcPr>
          <w:p w:rsidR="00A1115C" w:rsidRDefault="00000000">
            <w:pPr>
              <w:autoSpaceDN w:val="0"/>
              <w:jc w:val="center"/>
              <w:rPr>
                <w:rFonts w:ascii="宋体" w:hAnsi="宋体" w:hint="eastAsia"/>
                <w:sz w:val="24"/>
              </w:rPr>
            </w:pPr>
            <w:r>
              <w:rPr>
                <w:rFonts w:ascii="宋体" w:hAnsi="宋体"/>
                <w:sz w:val="24"/>
              </w:rPr>
              <w:t>第二级</w:t>
            </w:r>
          </w:p>
        </w:tc>
        <w:tc>
          <w:tcPr>
            <w:tcW w:w="1672" w:type="dxa"/>
            <w:tcBorders>
              <w:bottom w:val="single" w:sz="8" w:space="0" w:color="000000"/>
              <w:right w:val="single" w:sz="8" w:space="0" w:color="000000"/>
            </w:tcBorders>
            <w:shd w:val="clear" w:color="auto" w:fill="A6A6A6" w:themeFill="background1" w:themeFillShade="A6"/>
            <w:tcMar>
              <w:top w:w="0" w:type="dxa"/>
              <w:left w:w="108" w:type="dxa"/>
              <w:bottom w:w="0" w:type="dxa"/>
              <w:right w:w="108" w:type="dxa"/>
            </w:tcMar>
          </w:tcPr>
          <w:p w:rsidR="00A1115C" w:rsidRDefault="00000000">
            <w:pPr>
              <w:autoSpaceDN w:val="0"/>
              <w:jc w:val="center"/>
              <w:rPr>
                <w:rFonts w:ascii="宋体" w:hAnsi="宋体" w:hint="eastAsia"/>
                <w:sz w:val="24"/>
              </w:rPr>
            </w:pPr>
            <w:r>
              <w:rPr>
                <w:rFonts w:ascii="宋体" w:hAnsi="宋体"/>
                <w:sz w:val="24"/>
              </w:rPr>
              <w:t>第二级</w:t>
            </w:r>
          </w:p>
        </w:tc>
      </w:tr>
      <w:tr w:rsidR="00A1115C">
        <w:trPr>
          <w:trHeight w:val="365"/>
        </w:trPr>
        <w:tc>
          <w:tcPr>
            <w:tcW w:w="3804" w:type="dxa"/>
            <w:tcBorders>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rsidR="00A1115C" w:rsidRDefault="00000000">
            <w:pPr>
              <w:autoSpaceDN w:val="0"/>
              <w:jc w:val="center"/>
              <w:rPr>
                <w:rFonts w:ascii="宋体" w:hAnsi="宋体" w:hint="eastAsia"/>
                <w:sz w:val="24"/>
              </w:rPr>
            </w:pPr>
            <w:r>
              <w:rPr>
                <w:rFonts w:ascii="宋体" w:hAnsi="宋体"/>
                <w:sz w:val="24"/>
              </w:rPr>
              <w:t>社会秩序、公共利益</w:t>
            </w:r>
          </w:p>
        </w:tc>
        <w:tc>
          <w:tcPr>
            <w:tcW w:w="1480" w:type="dxa"/>
            <w:tcBorders>
              <w:bottom w:val="single" w:sz="8" w:space="0" w:color="000000"/>
              <w:right w:val="single" w:sz="8" w:space="0" w:color="000000"/>
            </w:tcBorders>
            <w:shd w:val="clear" w:color="auto" w:fill="FFFFFF"/>
            <w:tcMar>
              <w:top w:w="0" w:type="dxa"/>
              <w:left w:w="108" w:type="dxa"/>
              <w:bottom w:w="0" w:type="dxa"/>
              <w:right w:w="108" w:type="dxa"/>
            </w:tcMar>
          </w:tcPr>
          <w:p w:rsidR="00A1115C" w:rsidRDefault="00000000">
            <w:pPr>
              <w:autoSpaceDN w:val="0"/>
              <w:jc w:val="center"/>
              <w:rPr>
                <w:rFonts w:ascii="宋体" w:hAnsi="宋体" w:hint="eastAsia"/>
                <w:sz w:val="24"/>
              </w:rPr>
            </w:pPr>
            <w:r>
              <w:rPr>
                <w:rFonts w:ascii="宋体" w:hAnsi="宋体"/>
                <w:sz w:val="24"/>
              </w:rPr>
              <w:t>第二级</w:t>
            </w:r>
          </w:p>
        </w:tc>
        <w:tc>
          <w:tcPr>
            <w:tcW w:w="1672" w:type="dxa"/>
            <w:tcBorders>
              <w:bottom w:val="single" w:sz="8" w:space="0" w:color="000000"/>
              <w:right w:val="single" w:sz="8" w:space="0" w:color="000000"/>
            </w:tcBorders>
            <w:shd w:val="clear" w:color="auto" w:fill="A4A4A4"/>
            <w:tcMar>
              <w:top w:w="0" w:type="dxa"/>
              <w:left w:w="108" w:type="dxa"/>
              <w:bottom w:w="0" w:type="dxa"/>
              <w:right w:w="108" w:type="dxa"/>
            </w:tcMar>
          </w:tcPr>
          <w:p w:rsidR="00A1115C" w:rsidRDefault="00000000">
            <w:pPr>
              <w:autoSpaceDN w:val="0"/>
              <w:jc w:val="center"/>
              <w:rPr>
                <w:rFonts w:ascii="宋体" w:hAnsi="宋体" w:hint="eastAsia"/>
                <w:sz w:val="24"/>
              </w:rPr>
            </w:pPr>
            <w:r>
              <w:rPr>
                <w:rFonts w:ascii="宋体" w:hAnsi="宋体"/>
                <w:sz w:val="24"/>
              </w:rPr>
              <w:t>第三级</w:t>
            </w:r>
          </w:p>
        </w:tc>
        <w:tc>
          <w:tcPr>
            <w:tcW w:w="1672" w:type="dxa"/>
            <w:tcBorders>
              <w:bottom w:val="single" w:sz="8" w:space="0" w:color="000000"/>
              <w:right w:val="single" w:sz="8" w:space="0" w:color="000000"/>
            </w:tcBorders>
            <w:shd w:val="clear" w:color="auto" w:fill="FFFFFF"/>
            <w:tcMar>
              <w:top w:w="0" w:type="dxa"/>
              <w:left w:w="108" w:type="dxa"/>
              <w:bottom w:w="0" w:type="dxa"/>
              <w:right w:w="108" w:type="dxa"/>
            </w:tcMar>
          </w:tcPr>
          <w:p w:rsidR="00A1115C" w:rsidRDefault="00000000">
            <w:pPr>
              <w:autoSpaceDN w:val="0"/>
              <w:jc w:val="center"/>
              <w:rPr>
                <w:rFonts w:ascii="宋体" w:hAnsi="宋体" w:hint="eastAsia"/>
                <w:sz w:val="24"/>
              </w:rPr>
            </w:pPr>
            <w:r>
              <w:rPr>
                <w:rFonts w:ascii="宋体" w:hAnsi="宋体"/>
                <w:sz w:val="24"/>
              </w:rPr>
              <w:t>第四级</w:t>
            </w:r>
          </w:p>
        </w:tc>
      </w:tr>
      <w:tr w:rsidR="00A1115C">
        <w:trPr>
          <w:trHeight w:val="365"/>
        </w:trPr>
        <w:tc>
          <w:tcPr>
            <w:tcW w:w="3804" w:type="dxa"/>
            <w:tcBorders>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rsidR="00A1115C" w:rsidRDefault="00000000">
            <w:pPr>
              <w:autoSpaceDN w:val="0"/>
              <w:jc w:val="center"/>
              <w:rPr>
                <w:rFonts w:ascii="宋体" w:hAnsi="宋体" w:hint="eastAsia"/>
                <w:sz w:val="24"/>
              </w:rPr>
            </w:pPr>
            <w:r>
              <w:rPr>
                <w:rFonts w:ascii="宋体" w:hAnsi="宋体"/>
                <w:sz w:val="24"/>
              </w:rPr>
              <w:t>国家安全</w:t>
            </w:r>
          </w:p>
        </w:tc>
        <w:tc>
          <w:tcPr>
            <w:tcW w:w="1480" w:type="dxa"/>
            <w:tcBorders>
              <w:bottom w:val="single" w:sz="8" w:space="0" w:color="000000"/>
              <w:right w:val="single" w:sz="8" w:space="0" w:color="000000"/>
            </w:tcBorders>
            <w:shd w:val="clear" w:color="auto" w:fill="FFFFFF"/>
            <w:tcMar>
              <w:top w:w="0" w:type="dxa"/>
              <w:left w:w="108" w:type="dxa"/>
              <w:bottom w:w="0" w:type="dxa"/>
              <w:right w:w="108" w:type="dxa"/>
            </w:tcMar>
          </w:tcPr>
          <w:p w:rsidR="00A1115C" w:rsidRDefault="00000000">
            <w:pPr>
              <w:autoSpaceDN w:val="0"/>
              <w:jc w:val="center"/>
              <w:rPr>
                <w:rFonts w:ascii="宋体" w:hAnsi="宋体" w:hint="eastAsia"/>
                <w:sz w:val="24"/>
              </w:rPr>
            </w:pPr>
            <w:r>
              <w:rPr>
                <w:rFonts w:ascii="宋体" w:hAnsi="宋体"/>
                <w:sz w:val="24"/>
              </w:rPr>
              <w:t>第三级</w:t>
            </w:r>
          </w:p>
        </w:tc>
        <w:tc>
          <w:tcPr>
            <w:tcW w:w="1672" w:type="dxa"/>
            <w:tcBorders>
              <w:bottom w:val="single" w:sz="8" w:space="0" w:color="000000"/>
              <w:right w:val="single" w:sz="8" w:space="0" w:color="000000"/>
            </w:tcBorders>
            <w:shd w:val="clear" w:color="auto" w:fill="FFFFFF"/>
            <w:tcMar>
              <w:top w:w="0" w:type="dxa"/>
              <w:left w:w="108" w:type="dxa"/>
              <w:bottom w:w="0" w:type="dxa"/>
              <w:right w:w="108" w:type="dxa"/>
            </w:tcMar>
          </w:tcPr>
          <w:p w:rsidR="00A1115C" w:rsidRDefault="00000000">
            <w:pPr>
              <w:autoSpaceDN w:val="0"/>
              <w:jc w:val="center"/>
              <w:rPr>
                <w:rFonts w:ascii="宋体" w:hAnsi="宋体" w:hint="eastAsia"/>
                <w:sz w:val="24"/>
              </w:rPr>
            </w:pPr>
            <w:r>
              <w:rPr>
                <w:rFonts w:ascii="宋体" w:hAnsi="宋体"/>
                <w:sz w:val="24"/>
              </w:rPr>
              <w:t>第四级</w:t>
            </w:r>
          </w:p>
        </w:tc>
        <w:tc>
          <w:tcPr>
            <w:tcW w:w="1672" w:type="dxa"/>
            <w:tcBorders>
              <w:bottom w:val="single" w:sz="8" w:space="0" w:color="000000"/>
              <w:right w:val="single" w:sz="8" w:space="0" w:color="000000"/>
            </w:tcBorders>
            <w:shd w:val="clear" w:color="auto" w:fill="FFFFFF"/>
            <w:tcMar>
              <w:top w:w="0" w:type="dxa"/>
              <w:left w:w="108" w:type="dxa"/>
              <w:bottom w:w="0" w:type="dxa"/>
              <w:right w:w="108" w:type="dxa"/>
            </w:tcMar>
          </w:tcPr>
          <w:p w:rsidR="00A1115C" w:rsidRDefault="00000000">
            <w:pPr>
              <w:autoSpaceDN w:val="0"/>
              <w:jc w:val="center"/>
              <w:rPr>
                <w:rFonts w:ascii="宋体" w:hAnsi="宋体" w:hint="eastAsia"/>
                <w:sz w:val="24"/>
              </w:rPr>
            </w:pPr>
            <w:r>
              <w:rPr>
                <w:rFonts w:ascii="宋体" w:hAnsi="宋体"/>
                <w:sz w:val="24"/>
              </w:rPr>
              <w:t>第五级</w:t>
            </w:r>
          </w:p>
        </w:tc>
      </w:tr>
    </w:tbl>
    <w:p w:rsidR="00A1115C" w:rsidRDefault="00A1115C">
      <w:pPr>
        <w:pStyle w:val="a5"/>
        <w:rPr>
          <w:kern w:val="0"/>
        </w:rPr>
      </w:pPr>
    </w:p>
    <w:p w:rsidR="00A1115C" w:rsidRDefault="00000000">
      <w:pPr>
        <w:spacing w:line="579" w:lineRule="exact"/>
        <w:ind w:firstLineChars="200" w:firstLine="640"/>
        <w:rPr>
          <w:rFonts w:eastAsia="Times New Roman"/>
          <w:sz w:val="32"/>
        </w:rPr>
      </w:pPr>
      <w:r>
        <w:rPr>
          <w:rFonts w:eastAsia="楷体_GB2312" w:hint="eastAsia"/>
          <w:sz w:val="32"/>
        </w:rPr>
        <w:t>（二）系统服务安全保护等级的确定</w:t>
      </w:r>
    </w:p>
    <w:p w:rsidR="00A1115C" w:rsidRDefault="00000000">
      <w:pPr>
        <w:spacing w:line="579" w:lineRule="exact"/>
        <w:ind w:firstLineChars="200" w:firstLine="560"/>
        <w:rPr>
          <w:rFonts w:eastAsia="Times New Roman"/>
          <w:sz w:val="28"/>
        </w:rPr>
      </w:pPr>
      <w:r>
        <w:rPr>
          <w:rFonts w:eastAsia="Times New Roman" w:hint="eastAsia"/>
          <w:sz w:val="28"/>
        </w:rPr>
        <w:t>1</w:t>
      </w:r>
      <w:r>
        <w:rPr>
          <w:rFonts w:eastAsia="仿宋_GB2312" w:hint="eastAsia"/>
          <w:sz w:val="28"/>
        </w:rPr>
        <w:t>、系统服务描述</w:t>
      </w:r>
    </w:p>
    <w:p w:rsidR="00A1115C" w:rsidRDefault="00000000">
      <w:pPr>
        <w:spacing w:line="360" w:lineRule="auto"/>
        <w:ind w:firstLineChars="200" w:firstLine="560"/>
        <w:rPr>
          <w:rFonts w:ascii="仿宋_GB2312" w:eastAsia="仿宋_GB2312"/>
          <w:sz w:val="28"/>
          <w:szCs w:val="28"/>
        </w:rPr>
      </w:pPr>
      <w:r>
        <w:rPr>
          <w:rFonts w:ascii="仿宋_GB2312" w:eastAsia="仿宋_GB2312" w:hint="eastAsia"/>
          <w:sz w:val="28"/>
          <w:szCs w:val="28"/>
        </w:rPr>
        <w:t>宁夏高层次人才服务管理系统主要包括提供职称评审、高层次人才认定、人才服务、人才项目申报、人才项目经费管理、大数据分析等功能。通过电子政务外网面向宁夏自治区职称申报人员、用人单位、组织评审单位等部门或群体提供服务，使用范围约25万人，系统连续运行时间工作日8:00-18:00,允许连续故障时间2小时。</w:t>
      </w:r>
    </w:p>
    <w:p w:rsidR="00A1115C" w:rsidRDefault="00000000">
      <w:pPr>
        <w:spacing w:line="579" w:lineRule="exact"/>
        <w:ind w:firstLineChars="200" w:firstLine="560"/>
        <w:rPr>
          <w:rFonts w:eastAsia="Times New Roman"/>
          <w:sz w:val="28"/>
        </w:rPr>
      </w:pPr>
      <w:r>
        <w:rPr>
          <w:rFonts w:eastAsia="Times New Roman" w:hint="eastAsia"/>
          <w:sz w:val="28"/>
        </w:rPr>
        <w:t>2</w:t>
      </w:r>
      <w:r>
        <w:rPr>
          <w:rFonts w:eastAsia="仿宋_GB2312" w:hint="eastAsia"/>
          <w:sz w:val="28"/>
        </w:rPr>
        <w:t>、系统服务受到破坏时所侵害客体的确定</w:t>
      </w:r>
    </w:p>
    <w:p w:rsidR="00A1115C" w:rsidRDefault="00000000">
      <w:pPr>
        <w:spacing w:line="360" w:lineRule="auto"/>
        <w:ind w:firstLineChars="200" w:firstLine="560"/>
        <w:rPr>
          <w:rFonts w:ascii="仿宋_GB2312" w:eastAsia="仿宋_GB2312"/>
          <w:sz w:val="28"/>
          <w:szCs w:val="28"/>
        </w:rPr>
      </w:pPr>
      <w:r>
        <w:rPr>
          <w:rFonts w:ascii="仿宋_GB2312" w:eastAsia="仿宋_GB2312" w:hint="eastAsia"/>
          <w:sz w:val="28"/>
          <w:szCs w:val="28"/>
        </w:rPr>
        <w:t>系统服务受到破坏后，侵害的客体类型属于公民、法人和其他组织的合法权益，以及社会秩序、公共利益。</w:t>
      </w:r>
    </w:p>
    <w:p w:rsidR="00A1115C" w:rsidRDefault="00000000">
      <w:pPr>
        <w:spacing w:line="360" w:lineRule="auto"/>
        <w:ind w:firstLineChars="200" w:firstLine="560"/>
        <w:rPr>
          <w:rFonts w:ascii="仿宋_GB2312" w:eastAsia="仿宋_GB2312"/>
          <w:sz w:val="28"/>
          <w:szCs w:val="28"/>
        </w:rPr>
      </w:pPr>
      <w:r>
        <w:rPr>
          <w:rFonts w:ascii="仿宋_GB2312" w:eastAsia="仿宋_GB2312" w:hint="eastAsia"/>
          <w:sz w:val="28"/>
          <w:szCs w:val="28"/>
        </w:rPr>
        <w:t>客观方面表现得侵害结果为：一旦系统被攻击破坏导致系统服务中断，不能及时、有效地提供服务，会对宁夏回族自治区人力资源和社会保障厅的合法权益造成影响和损害，同时也对社会秩序、公共利益造成侵害。可以表现为：1）社会秩序、公共利益遭受侵害可发生</w:t>
      </w:r>
      <w:r>
        <w:rPr>
          <w:rFonts w:ascii="仿宋_GB2312" w:eastAsia="仿宋_GB2312" w:hint="eastAsia"/>
          <w:sz w:val="28"/>
          <w:szCs w:val="28"/>
        </w:rPr>
        <w:lastRenderedPageBreak/>
        <w:t>的后果：若系统服务中断超过2小时，导致数万用户无法办理业务，影响社会公共服务连续性；若职称评审子系统遭攻击瘫痪，导致职称申报人员无法完成职称申报，引发公共服务中断；2）公民、法人和其他组织遭受侵害可发生的后果：若高层次人才认定服务中断，导致自治区高技能人才无法完成人才服务办理，影响其正常工作的开展，导致其业务能力下降，造成单位不良影响。</w:t>
      </w:r>
    </w:p>
    <w:p w:rsidR="00A1115C" w:rsidRDefault="00000000">
      <w:pPr>
        <w:spacing w:line="579" w:lineRule="exact"/>
        <w:ind w:firstLineChars="200" w:firstLine="560"/>
        <w:rPr>
          <w:rFonts w:eastAsia="Times New Roman"/>
          <w:sz w:val="28"/>
        </w:rPr>
      </w:pPr>
      <w:r>
        <w:rPr>
          <w:rFonts w:eastAsia="Times New Roman" w:hint="eastAsia"/>
          <w:sz w:val="28"/>
        </w:rPr>
        <w:t>3</w:t>
      </w:r>
      <w:r>
        <w:rPr>
          <w:rFonts w:eastAsia="仿宋_GB2312" w:hint="eastAsia"/>
          <w:sz w:val="28"/>
        </w:rPr>
        <w:t>、系统服务受到破坏时对侵害客体的侵害程度的确定</w:t>
      </w:r>
    </w:p>
    <w:p w:rsidR="00A1115C" w:rsidRDefault="00000000">
      <w:pPr>
        <w:spacing w:line="360" w:lineRule="auto"/>
        <w:ind w:firstLineChars="200" w:firstLine="560"/>
        <w:rPr>
          <w:rFonts w:ascii="仿宋_GB2312" w:eastAsia="仿宋_GB2312"/>
          <w:sz w:val="28"/>
          <w:szCs w:val="28"/>
        </w:rPr>
      </w:pPr>
      <w:r>
        <w:rPr>
          <w:rFonts w:ascii="仿宋_GB2312" w:eastAsia="仿宋_GB2312" w:hint="eastAsia"/>
          <w:sz w:val="28"/>
          <w:szCs w:val="28"/>
        </w:rPr>
        <w:t>系统服务受到破坏后，对社会秩序、公共利益造成的侵害程度表现为严重损害，即会出现较大范围的社会不良影响和较严重程度的公共利益的损害等；对公民、法人和其他组织的合法权益造成侵害的程度表现为特别严重损害，即工作职能受到特别严重影响或丧失行使能力，业务能力严重下降或功能无法执行，大范围的不良影响等。</w:t>
      </w:r>
    </w:p>
    <w:p w:rsidR="00A1115C" w:rsidRDefault="00000000">
      <w:pPr>
        <w:spacing w:line="579" w:lineRule="exact"/>
        <w:ind w:firstLineChars="200" w:firstLine="560"/>
        <w:rPr>
          <w:rFonts w:eastAsia="Times New Roman"/>
          <w:sz w:val="28"/>
        </w:rPr>
      </w:pPr>
      <w:r>
        <w:rPr>
          <w:rFonts w:eastAsia="Times New Roman" w:hint="eastAsia"/>
          <w:sz w:val="28"/>
        </w:rPr>
        <w:t>4</w:t>
      </w:r>
      <w:r>
        <w:rPr>
          <w:rFonts w:eastAsia="仿宋_GB2312" w:hint="eastAsia"/>
          <w:sz w:val="28"/>
        </w:rPr>
        <w:t>、系统服务安全保护等级的确定</w:t>
      </w:r>
    </w:p>
    <w:p w:rsidR="00A1115C" w:rsidRDefault="00000000">
      <w:pPr>
        <w:spacing w:line="579" w:lineRule="exact"/>
        <w:ind w:firstLineChars="200" w:firstLine="560"/>
        <w:rPr>
          <w:rFonts w:eastAsia="Times New Roman"/>
          <w:sz w:val="28"/>
        </w:rPr>
      </w:pPr>
      <w:r>
        <w:rPr>
          <w:rFonts w:eastAsia="仿宋_GB2312" w:hint="eastAsia"/>
          <w:sz w:val="28"/>
        </w:rPr>
        <w:t>依据系统服务受到破坏时所侵害的客体以及侵害程度确定系统服务安全保护等级为第三级。</w:t>
      </w:r>
    </w:p>
    <w:p w:rsidR="00A1115C" w:rsidRDefault="00000000">
      <w:pPr>
        <w:widowControl/>
        <w:jc w:val="center"/>
        <w:rPr>
          <w:rFonts w:eastAsia="Times New Roman"/>
          <w:kern w:val="0"/>
          <w:sz w:val="24"/>
        </w:rPr>
      </w:pPr>
      <w:r>
        <w:rPr>
          <w:rFonts w:eastAsia="仿宋_GB2312" w:hint="eastAsia"/>
          <w:kern w:val="0"/>
          <w:sz w:val="24"/>
        </w:rPr>
        <w:t>表二</w:t>
      </w:r>
      <w:r>
        <w:rPr>
          <w:rFonts w:eastAsia="仿宋_GB2312" w:hint="eastAsia"/>
          <w:kern w:val="0"/>
          <w:sz w:val="24"/>
        </w:rPr>
        <w:t xml:space="preserve"> </w:t>
      </w:r>
      <w:r>
        <w:rPr>
          <w:rFonts w:eastAsia="仿宋_GB2312" w:hint="eastAsia"/>
          <w:kern w:val="0"/>
          <w:sz w:val="24"/>
        </w:rPr>
        <w:t>系统服务安全保护等级矩阵表</w:t>
      </w:r>
    </w:p>
    <w:tbl>
      <w:tblPr>
        <w:tblW w:w="0" w:type="auto"/>
        <w:shd w:val="clear" w:color="auto" w:fill="FFFFFF"/>
        <w:tblLayout w:type="fixed"/>
        <w:tblCellMar>
          <w:left w:w="0" w:type="dxa"/>
          <w:right w:w="0" w:type="dxa"/>
        </w:tblCellMar>
        <w:tblLook w:val="04A0" w:firstRow="1" w:lastRow="0" w:firstColumn="1" w:lastColumn="0" w:noHBand="0" w:noVBand="1"/>
      </w:tblPr>
      <w:tblGrid>
        <w:gridCol w:w="4077"/>
        <w:gridCol w:w="1418"/>
        <w:gridCol w:w="1370"/>
        <w:gridCol w:w="1657"/>
      </w:tblGrid>
      <w:tr w:rsidR="00A1115C">
        <w:tc>
          <w:tcPr>
            <w:tcW w:w="4077" w:type="dxa"/>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rsidR="00A1115C" w:rsidRPr="00713815" w:rsidRDefault="00000000">
            <w:pPr>
              <w:autoSpaceDN w:val="0"/>
              <w:jc w:val="center"/>
              <w:rPr>
                <w:rFonts w:ascii="宋体" w:hAnsi="宋体" w:hint="eastAsia"/>
                <w:sz w:val="24"/>
              </w:rPr>
            </w:pPr>
            <w:r w:rsidRPr="00713815">
              <w:rPr>
                <w:rFonts w:ascii="宋体" w:hAnsi="宋体" w:hint="eastAsia"/>
                <w:sz w:val="24"/>
              </w:rPr>
              <w:t>系统服务安全被破坏时所侵害的客体</w:t>
            </w:r>
          </w:p>
        </w:tc>
        <w:tc>
          <w:tcPr>
            <w:tcW w:w="4445" w:type="dxa"/>
            <w:gridSpan w:val="3"/>
            <w:tcBorders>
              <w:top w:val="single" w:sz="8" w:space="0" w:color="000000"/>
              <w:bottom w:val="single" w:sz="8" w:space="0" w:color="000000"/>
              <w:right w:val="single" w:sz="8" w:space="0" w:color="000000"/>
            </w:tcBorders>
            <w:shd w:val="clear" w:color="auto" w:fill="FFFFFF"/>
            <w:tcMar>
              <w:top w:w="0" w:type="dxa"/>
              <w:left w:w="108" w:type="dxa"/>
              <w:bottom w:w="0" w:type="dxa"/>
              <w:right w:w="108" w:type="dxa"/>
            </w:tcMar>
          </w:tcPr>
          <w:p w:rsidR="00A1115C" w:rsidRPr="00713815" w:rsidRDefault="00000000">
            <w:pPr>
              <w:autoSpaceDN w:val="0"/>
              <w:jc w:val="center"/>
              <w:rPr>
                <w:rFonts w:ascii="宋体" w:hAnsi="宋体" w:hint="eastAsia"/>
                <w:sz w:val="24"/>
              </w:rPr>
            </w:pPr>
            <w:r w:rsidRPr="00713815">
              <w:rPr>
                <w:rFonts w:ascii="宋体" w:hAnsi="宋体" w:hint="eastAsia"/>
                <w:sz w:val="24"/>
              </w:rPr>
              <w:t>对相应客体的侵害程度</w:t>
            </w:r>
          </w:p>
        </w:tc>
      </w:tr>
      <w:tr w:rsidR="00A1115C">
        <w:tc>
          <w:tcPr>
            <w:tcW w:w="4077" w:type="dxa"/>
            <w:vMerge/>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rsidR="00A1115C" w:rsidRPr="00713815" w:rsidRDefault="00A1115C" w:rsidP="00713815">
            <w:pPr>
              <w:autoSpaceDN w:val="0"/>
              <w:jc w:val="center"/>
              <w:rPr>
                <w:rFonts w:ascii="宋体" w:hAnsi="宋体" w:hint="eastAsia"/>
                <w:sz w:val="24"/>
              </w:rPr>
            </w:pPr>
          </w:p>
        </w:tc>
        <w:tc>
          <w:tcPr>
            <w:tcW w:w="1418" w:type="dxa"/>
            <w:tcBorders>
              <w:bottom w:val="single" w:sz="8" w:space="0" w:color="000000"/>
              <w:right w:val="single" w:sz="8" w:space="0" w:color="000000"/>
            </w:tcBorders>
            <w:shd w:val="clear" w:color="auto" w:fill="FFFFFF"/>
            <w:tcMar>
              <w:top w:w="0" w:type="dxa"/>
              <w:left w:w="108" w:type="dxa"/>
              <w:bottom w:w="0" w:type="dxa"/>
              <w:right w:w="108" w:type="dxa"/>
            </w:tcMar>
          </w:tcPr>
          <w:p w:rsidR="00A1115C" w:rsidRPr="00713815" w:rsidRDefault="00000000" w:rsidP="00713815">
            <w:pPr>
              <w:shd w:val="solid" w:color="FFFFFF" w:fill="auto"/>
              <w:autoSpaceDN w:val="0"/>
              <w:jc w:val="center"/>
              <w:rPr>
                <w:rFonts w:ascii="宋体" w:hAnsi="宋体" w:hint="eastAsia"/>
                <w:sz w:val="24"/>
              </w:rPr>
            </w:pPr>
            <w:r w:rsidRPr="00713815">
              <w:rPr>
                <w:rFonts w:ascii="宋体" w:hAnsi="宋体" w:hint="eastAsia"/>
                <w:sz w:val="24"/>
              </w:rPr>
              <w:t>一般损害</w:t>
            </w:r>
          </w:p>
        </w:tc>
        <w:tc>
          <w:tcPr>
            <w:tcW w:w="1370" w:type="dxa"/>
            <w:tcBorders>
              <w:top w:val="single" w:sz="8" w:space="0" w:color="000000"/>
              <w:bottom w:val="single" w:sz="8" w:space="0" w:color="000000"/>
              <w:right w:val="single" w:sz="8" w:space="0" w:color="000000"/>
            </w:tcBorders>
            <w:shd w:val="clear" w:color="auto" w:fill="FFFFFF"/>
            <w:tcMar>
              <w:top w:w="0" w:type="dxa"/>
              <w:left w:w="108" w:type="dxa"/>
              <w:bottom w:w="0" w:type="dxa"/>
              <w:right w:w="108" w:type="dxa"/>
            </w:tcMar>
          </w:tcPr>
          <w:p w:rsidR="00A1115C" w:rsidRPr="00713815" w:rsidRDefault="00000000" w:rsidP="00713815">
            <w:pPr>
              <w:autoSpaceDN w:val="0"/>
              <w:jc w:val="center"/>
              <w:rPr>
                <w:rFonts w:ascii="宋体" w:hAnsi="宋体" w:hint="eastAsia"/>
                <w:sz w:val="24"/>
              </w:rPr>
            </w:pPr>
            <w:r w:rsidRPr="00713815">
              <w:rPr>
                <w:rFonts w:ascii="宋体" w:hAnsi="宋体" w:hint="eastAsia"/>
                <w:sz w:val="24"/>
              </w:rPr>
              <w:t>严重损害</w:t>
            </w:r>
          </w:p>
        </w:tc>
        <w:tc>
          <w:tcPr>
            <w:tcW w:w="1657" w:type="dxa"/>
            <w:tcBorders>
              <w:top w:val="single" w:sz="8" w:space="0" w:color="000000"/>
              <w:bottom w:val="single" w:sz="8" w:space="0" w:color="000000"/>
              <w:right w:val="single" w:sz="8" w:space="0" w:color="000000"/>
            </w:tcBorders>
            <w:shd w:val="clear" w:color="auto" w:fill="FFFFFF"/>
            <w:tcMar>
              <w:top w:w="0" w:type="dxa"/>
              <w:left w:w="108" w:type="dxa"/>
              <w:bottom w:w="0" w:type="dxa"/>
              <w:right w:w="108" w:type="dxa"/>
            </w:tcMar>
          </w:tcPr>
          <w:p w:rsidR="00A1115C" w:rsidRPr="00713815" w:rsidRDefault="00000000" w:rsidP="00713815">
            <w:pPr>
              <w:autoSpaceDN w:val="0"/>
              <w:jc w:val="center"/>
              <w:rPr>
                <w:rFonts w:ascii="宋体" w:hAnsi="宋体" w:hint="eastAsia"/>
                <w:sz w:val="24"/>
              </w:rPr>
            </w:pPr>
            <w:r w:rsidRPr="00713815">
              <w:rPr>
                <w:rFonts w:ascii="宋体" w:hAnsi="宋体" w:hint="eastAsia"/>
                <w:sz w:val="24"/>
              </w:rPr>
              <w:t>特别严重损害</w:t>
            </w:r>
          </w:p>
        </w:tc>
      </w:tr>
      <w:tr w:rsidR="00A1115C" w:rsidTr="00BD1749">
        <w:trPr>
          <w:trHeight w:val="132"/>
        </w:trPr>
        <w:tc>
          <w:tcPr>
            <w:tcW w:w="4077" w:type="dxa"/>
            <w:tcBorders>
              <w:left w:val="single" w:sz="8" w:space="0" w:color="000000"/>
              <w:bottom w:val="single" w:sz="8" w:space="0" w:color="000000"/>
              <w:right w:val="single" w:sz="8" w:space="0" w:color="000000"/>
            </w:tcBorders>
            <w:shd w:val="clear" w:color="auto" w:fill="FFFFFF"/>
            <w:tcMar>
              <w:top w:w="0" w:type="dxa"/>
              <w:left w:w="108" w:type="dxa"/>
              <w:bottom w:w="0" w:type="dxa"/>
              <w:right w:w="108" w:type="dxa"/>
            </w:tcMar>
          </w:tcPr>
          <w:p w:rsidR="00A1115C" w:rsidRPr="00713815" w:rsidRDefault="00000000">
            <w:pPr>
              <w:autoSpaceDN w:val="0"/>
              <w:jc w:val="center"/>
              <w:rPr>
                <w:rFonts w:ascii="宋体" w:hAnsi="宋体" w:hint="eastAsia"/>
                <w:sz w:val="24"/>
              </w:rPr>
            </w:pPr>
            <w:r w:rsidRPr="00713815">
              <w:rPr>
                <w:rFonts w:ascii="宋体" w:hAnsi="宋体" w:hint="eastAsia"/>
                <w:sz w:val="24"/>
              </w:rPr>
              <w:t>公民、法人和其他组织的合法权益</w:t>
            </w:r>
          </w:p>
        </w:tc>
        <w:tc>
          <w:tcPr>
            <w:tcW w:w="1418" w:type="dxa"/>
            <w:tcBorders>
              <w:bottom w:val="single" w:sz="8" w:space="0" w:color="000000"/>
              <w:right w:val="single" w:sz="8" w:space="0" w:color="000000"/>
            </w:tcBorders>
            <w:shd w:val="clear" w:color="auto" w:fill="auto"/>
            <w:tcMar>
              <w:top w:w="0" w:type="dxa"/>
              <w:left w:w="108" w:type="dxa"/>
              <w:bottom w:w="0" w:type="dxa"/>
              <w:right w:w="108" w:type="dxa"/>
            </w:tcMar>
          </w:tcPr>
          <w:p w:rsidR="00A1115C" w:rsidRPr="00713815" w:rsidRDefault="00000000">
            <w:pPr>
              <w:autoSpaceDN w:val="0"/>
              <w:jc w:val="center"/>
              <w:rPr>
                <w:rFonts w:ascii="宋体" w:hAnsi="宋体" w:hint="eastAsia"/>
                <w:sz w:val="24"/>
              </w:rPr>
            </w:pPr>
            <w:r w:rsidRPr="00713815">
              <w:rPr>
                <w:rFonts w:ascii="宋体" w:hAnsi="宋体" w:hint="eastAsia"/>
                <w:sz w:val="24"/>
              </w:rPr>
              <w:t>第一级</w:t>
            </w:r>
          </w:p>
        </w:tc>
        <w:tc>
          <w:tcPr>
            <w:tcW w:w="1370" w:type="dxa"/>
            <w:tcBorders>
              <w:bottom w:val="single" w:sz="8" w:space="0" w:color="000000"/>
              <w:right w:val="single" w:sz="8" w:space="0" w:color="000000"/>
            </w:tcBorders>
            <w:shd w:val="clear" w:color="auto" w:fill="auto"/>
            <w:tcMar>
              <w:top w:w="0" w:type="dxa"/>
              <w:left w:w="108" w:type="dxa"/>
              <w:bottom w:w="0" w:type="dxa"/>
              <w:right w:w="108" w:type="dxa"/>
            </w:tcMar>
          </w:tcPr>
          <w:p w:rsidR="00A1115C" w:rsidRPr="00713815" w:rsidRDefault="00000000">
            <w:pPr>
              <w:autoSpaceDN w:val="0"/>
              <w:jc w:val="center"/>
              <w:rPr>
                <w:rFonts w:ascii="宋体" w:hAnsi="宋体" w:hint="eastAsia"/>
                <w:sz w:val="24"/>
              </w:rPr>
            </w:pPr>
            <w:r w:rsidRPr="00713815">
              <w:rPr>
                <w:rFonts w:ascii="宋体" w:hAnsi="宋体" w:hint="eastAsia"/>
                <w:sz w:val="24"/>
              </w:rPr>
              <w:t>第二级</w:t>
            </w:r>
          </w:p>
        </w:tc>
        <w:tc>
          <w:tcPr>
            <w:tcW w:w="1657" w:type="dxa"/>
            <w:tcBorders>
              <w:bottom w:val="single" w:sz="8" w:space="0" w:color="000000"/>
              <w:right w:val="single" w:sz="8" w:space="0" w:color="000000"/>
            </w:tcBorders>
            <w:shd w:val="clear" w:color="auto" w:fill="A6A6A6" w:themeFill="background1" w:themeFillShade="A6"/>
            <w:tcMar>
              <w:top w:w="0" w:type="dxa"/>
              <w:left w:w="108" w:type="dxa"/>
              <w:bottom w:w="0" w:type="dxa"/>
              <w:right w:w="108" w:type="dxa"/>
            </w:tcMar>
          </w:tcPr>
          <w:p w:rsidR="00A1115C" w:rsidRPr="00713815" w:rsidRDefault="00000000">
            <w:pPr>
              <w:autoSpaceDN w:val="0"/>
              <w:jc w:val="center"/>
              <w:rPr>
                <w:rFonts w:ascii="宋体" w:hAnsi="宋体" w:hint="eastAsia"/>
                <w:sz w:val="24"/>
              </w:rPr>
            </w:pPr>
            <w:r w:rsidRPr="00713815">
              <w:rPr>
                <w:rFonts w:ascii="宋体" w:hAnsi="宋体" w:hint="eastAsia"/>
                <w:sz w:val="24"/>
              </w:rPr>
              <w:t>第二级</w:t>
            </w:r>
          </w:p>
        </w:tc>
      </w:tr>
      <w:tr w:rsidR="00A1115C" w:rsidTr="00BD1749">
        <w:trPr>
          <w:trHeight w:val="365"/>
        </w:trPr>
        <w:tc>
          <w:tcPr>
            <w:tcW w:w="4077" w:type="dxa"/>
            <w:tcBorders>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rsidR="00A1115C" w:rsidRPr="00713815" w:rsidRDefault="00000000">
            <w:pPr>
              <w:autoSpaceDN w:val="0"/>
              <w:jc w:val="center"/>
              <w:rPr>
                <w:rFonts w:ascii="宋体" w:hAnsi="宋体" w:hint="eastAsia"/>
                <w:sz w:val="24"/>
              </w:rPr>
            </w:pPr>
            <w:r w:rsidRPr="00713815">
              <w:rPr>
                <w:rFonts w:ascii="宋体" w:hAnsi="宋体" w:hint="eastAsia"/>
                <w:sz w:val="24"/>
              </w:rPr>
              <w:t>社会秩序、公共利益</w:t>
            </w:r>
          </w:p>
        </w:tc>
        <w:tc>
          <w:tcPr>
            <w:tcW w:w="1418" w:type="dxa"/>
            <w:tcBorders>
              <w:bottom w:val="single" w:sz="8" w:space="0" w:color="000000"/>
              <w:right w:val="single" w:sz="8" w:space="0" w:color="000000"/>
            </w:tcBorders>
            <w:shd w:val="clear" w:color="auto" w:fill="auto"/>
            <w:tcMar>
              <w:top w:w="0" w:type="dxa"/>
              <w:left w:w="108" w:type="dxa"/>
              <w:bottom w:w="0" w:type="dxa"/>
              <w:right w:w="108" w:type="dxa"/>
            </w:tcMar>
          </w:tcPr>
          <w:p w:rsidR="00A1115C" w:rsidRPr="00713815" w:rsidRDefault="00000000">
            <w:pPr>
              <w:autoSpaceDN w:val="0"/>
              <w:jc w:val="center"/>
              <w:rPr>
                <w:rFonts w:ascii="宋体" w:hAnsi="宋体" w:hint="eastAsia"/>
                <w:sz w:val="24"/>
              </w:rPr>
            </w:pPr>
            <w:r w:rsidRPr="00713815">
              <w:rPr>
                <w:rFonts w:ascii="宋体" w:hAnsi="宋体" w:hint="eastAsia"/>
                <w:sz w:val="24"/>
              </w:rPr>
              <w:t>第二级</w:t>
            </w:r>
          </w:p>
        </w:tc>
        <w:tc>
          <w:tcPr>
            <w:tcW w:w="1370" w:type="dxa"/>
            <w:tcBorders>
              <w:bottom w:val="single" w:sz="8" w:space="0" w:color="000000"/>
              <w:right w:val="single" w:sz="8" w:space="0" w:color="000000"/>
            </w:tcBorders>
            <w:shd w:val="clear" w:color="auto" w:fill="A6A6A6" w:themeFill="background1" w:themeFillShade="A6"/>
            <w:tcMar>
              <w:top w:w="0" w:type="dxa"/>
              <w:left w:w="108" w:type="dxa"/>
              <w:bottom w:w="0" w:type="dxa"/>
              <w:right w:w="108" w:type="dxa"/>
            </w:tcMar>
          </w:tcPr>
          <w:p w:rsidR="00A1115C" w:rsidRPr="00713815" w:rsidRDefault="00000000">
            <w:pPr>
              <w:autoSpaceDN w:val="0"/>
              <w:jc w:val="center"/>
              <w:rPr>
                <w:rFonts w:ascii="宋体" w:hAnsi="宋体" w:hint="eastAsia"/>
                <w:sz w:val="24"/>
              </w:rPr>
            </w:pPr>
            <w:r w:rsidRPr="00713815">
              <w:rPr>
                <w:rFonts w:ascii="宋体" w:hAnsi="宋体" w:hint="eastAsia"/>
                <w:sz w:val="24"/>
              </w:rPr>
              <w:t>第三级</w:t>
            </w:r>
          </w:p>
        </w:tc>
        <w:tc>
          <w:tcPr>
            <w:tcW w:w="1657" w:type="dxa"/>
            <w:tcBorders>
              <w:bottom w:val="single" w:sz="8" w:space="0" w:color="000000"/>
              <w:right w:val="single" w:sz="8" w:space="0" w:color="000000"/>
            </w:tcBorders>
            <w:shd w:val="clear" w:color="auto" w:fill="auto"/>
            <w:tcMar>
              <w:top w:w="0" w:type="dxa"/>
              <w:left w:w="108" w:type="dxa"/>
              <w:bottom w:w="0" w:type="dxa"/>
              <w:right w:w="108" w:type="dxa"/>
            </w:tcMar>
          </w:tcPr>
          <w:p w:rsidR="00A1115C" w:rsidRPr="00713815" w:rsidRDefault="00000000">
            <w:pPr>
              <w:autoSpaceDN w:val="0"/>
              <w:jc w:val="center"/>
              <w:rPr>
                <w:rFonts w:ascii="宋体" w:hAnsi="宋体" w:hint="eastAsia"/>
                <w:sz w:val="24"/>
              </w:rPr>
            </w:pPr>
            <w:r w:rsidRPr="00713815">
              <w:rPr>
                <w:rFonts w:ascii="宋体" w:hAnsi="宋体" w:hint="eastAsia"/>
                <w:sz w:val="24"/>
              </w:rPr>
              <w:t>第四级</w:t>
            </w:r>
          </w:p>
        </w:tc>
      </w:tr>
      <w:tr w:rsidR="00A1115C">
        <w:trPr>
          <w:trHeight w:val="365"/>
        </w:trPr>
        <w:tc>
          <w:tcPr>
            <w:tcW w:w="4077" w:type="dxa"/>
            <w:tcBorders>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rsidR="00A1115C" w:rsidRPr="00713815" w:rsidRDefault="00000000">
            <w:pPr>
              <w:autoSpaceDN w:val="0"/>
              <w:jc w:val="center"/>
              <w:rPr>
                <w:rFonts w:ascii="宋体" w:hAnsi="宋体" w:hint="eastAsia"/>
                <w:sz w:val="24"/>
              </w:rPr>
            </w:pPr>
            <w:r w:rsidRPr="00713815">
              <w:rPr>
                <w:rFonts w:ascii="宋体" w:hAnsi="宋体" w:hint="eastAsia"/>
                <w:sz w:val="24"/>
              </w:rPr>
              <w:t>国家安全或地区安全、国计民生</w:t>
            </w:r>
          </w:p>
        </w:tc>
        <w:tc>
          <w:tcPr>
            <w:tcW w:w="1418" w:type="dxa"/>
            <w:tcBorders>
              <w:bottom w:val="single" w:sz="8" w:space="0" w:color="000000"/>
              <w:right w:val="single" w:sz="8" w:space="0" w:color="000000"/>
            </w:tcBorders>
            <w:shd w:val="clear" w:color="auto" w:fill="auto"/>
            <w:tcMar>
              <w:top w:w="0" w:type="dxa"/>
              <w:left w:w="108" w:type="dxa"/>
              <w:bottom w:w="0" w:type="dxa"/>
              <w:right w:w="108" w:type="dxa"/>
            </w:tcMar>
          </w:tcPr>
          <w:p w:rsidR="00A1115C" w:rsidRPr="00713815" w:rsidRDefault="00000000">
            <w:pPr>
              <w:autoSpaceDN w:val="0"/>
              <w:jc w:val="center"/>
              <w:rPr>
                <w:rFonts w:ascii="宋体" w:hAnsi="宋体" w:hint="eastAsia"/>
                <w:sz w:val="24"/>
              </w:rPr>
            </w:pPr>
            <w:r w:rsidRPr="00713815">
              <w:rPr>
                <w:rFonts w:ascii="宋体" w:hAnsi="宋体" w:hint="eastAsia"/>
                <w:sz w:val="24"/>
              </w:rPr>
              <w:t>第四级</w:t>
            </w:r>
          </w:p>
        </w:tc>
        <w:tc>
          <w:tcPr>
            <w:tcW w:w="1370" w:type="dxa"/>
            <w:tcBorders>
              <w:bottom w:val="single" w:sz="8" w:space="0" w:color="000000"/>
              <w:right w:val="single" w:sz="8" w:space="0" w:color="000000"/>
            </w:tcBorders>
            <w:shd w:val="clear" w:color="auto" w:fill="auto"/>
            <w:tcMar>
              <w:top w:w="0" w:type="dxa"/>
              <w:left w:w="108" w:type="dxa"/>
              <w:bottom w:w="0" w:type="dxa"/>
              <w:right w:w="108" w:type="dxa"/>
            </w:tcMar>
          </w:tcPr>
          <w:p w:rsidR="00A1115C" w:rsidRPr="00713815" w:rsidRDefault="00000000">
            <w:pPr>
              <w:autoSpaceDN w:val="0"/>
              <w:jc w:val="center"/>
              <w:rPr>
                <w:rFonts w:ascii="宋体" w:hAnsi="宋体" w:hint="eastAsia"/>
                <w:sz w:val="24"/>
              </w:rPr>
            </w:pPr>
            <w:r w:rsidRPr="00713815">
              <w:rPr>
                <w:rFonts w:ascii="宋体" w:hAnsi="宋体" w:hint="eastAsia"/>
                <w:sz w:val="24"/>
              </w:rPr>
              <w:t>第五级</w:t>
            </w:r>
          </w:p>
        </w:tc>
        <w:tc>
          <w:tcPr>
            <w:tcW w:w="1657" w:type="dxa"/>
            <w:tcBorders>
              <w:bottom w:val="single" w:sz="8" w:space="0" w:color="000000"/>
              <w:right w:val="single" w:sz="8" w:space="0" w:color="000000"/>
            </w:tcBorders>
            <w:shd w:val="clear" w:color="auto" w:fill="auto"/>
            <w:tcMar>
              <w:top w:w="0" w:type="dxa"/>
              <w:left w:w="108" w:type="dxa"/>
              <w:bottom w:w="0" w:type="dxa"/>
              <w:right w:w="108" w:type="dxa"/>
            </w:tcMar>
          </w:tcPr>
          <w:p w:rsidR="00A1115C" w:rsidRPr="00713815" w:rsidRDefault="00000000">
            <w:pPr>
              <w:autoSpaceDN w:val="0"/>
              <w:jc w:val="center"/>
              <w:rPr>
                <w:rFonts w:ascii="宋体" w:hAnsi="宋体" w:hint="eastAsia"/>
                <w:sz w:val="24"/>
              </w:rPr>
            </w:pPr>
            <w:r w:rsidRPr="00713815">
              <w:rPr>
                <w:rFonts w:ascii="宋体" w:hAnsi="宋体" w:hint="eastAsia"/>
                <w:sz w:val="24"/>
              </w:rPr>
              <w:t>第五级</w:t>
            </w:r>
          </w:p>
        </w:tc>
      </w:tr>
    </w:tbl>
    <w:p w:rsidR="00A1115C" w:rsidRDefault="00A1115C">
      <w:pPr>
        <w:pStyle w:val="a5"/>
        <w:rPr>
          <w:kern w:val="0"/>
        </w:rPr>
      </w:pPr>
    </w:p>
    <w:p w:rsidR="00A1115C" w:rsidRDefault="00000000">
      <w:pPr>
        <w:spacing w:line="579" w:lineRule="exact"/>
        <w:ind w:firstLineChars="200" w:firstLine="640"/>
        <w:rPr>
          <w:rFonts w:eastAsia="Times New Roman"/>
          <w:sz w:val="32"/>
        </w:rPr>
      </w:pPr>
      <w:r>
        <w:rPr>
          <w:rFonts w:eastAsia="楷体_GB2312" w:hint="eastAsia"/>
          <w:sz w:val="32"/>
        </w:rPr>
        <w:t>（三）安全保护等级的确定</w:t>
      </w:r>
    </w:p>
    <w:p w:rsidR="00A1115C" w:rsidRDefault="00000000">
      <w:pPr>
        <w:spacing w:line="579" w:lineRule="exact"/>
        <w:ind w:firstLineChars="200" w:firstLine="560"/>
        <w:rPr>
          <w:rFonts w:eastAsia="Times New Roman"/>
          <w:sz w:val="28"/>
        </w:rPr>
      </w:pPr>
      <w:r>
        <w:rPr>
          <w:rFonts w:eastAsia="仿宋_GB2312" w:hint="eastAsia"/>
          <w:sz w:val="28"/>
        </w:rPr>
        <w:t>定级对象的安全保护等级由业务信息安全保护等级和系统服务安全保护等级较高者决定，最终确定宁夏高层次人才服务管理系统的网络安全保护等级为第三级。</w:t>
      </w:r>
    </w:p>
    <w:tbl>
      <w:tblPr>
        <w:tblpPr w:leftFromText="180" w:rightFromText="180" w:vertAnchor="text" w:horzAnchor="margin" w:tblpXSpec="center" w:tblpY="318"/>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2"/>
        <w:gridCol w:w="1665"/>
        <w:gridCol w:w="2694"/>
        <w:gridCol w:w="2693"/>
      </w:tblGrid>
      <w:tr w:rsidR="00A1115C">
        <w:trPr>
          <w:trHeight w:val="600"/>
        </w:trPr>
        <w:tc>
          <w:tcPr>
            <w:tcW w:w="1732" w:type="dxa"/>
            <w:tcBorders>
              <w:top w:val="single" w:sz="4" w:space="0" w:color="auto"/>
              <w:left w:val="single" w:sz="4" w:space="0" w:color="auto"/>
              <w:bottom w:val="single" w:sz="4" w:space="0" w:color="auto"/>
              <w:right w:val="single" w:sz="4" w:space="0" w:color="auto"/>
            </w:tcBorders>
            <w:shd w:val="clear" w:color="auto" w:fill="F3F3F3"/>
            <w:vAlign w:val="center"/>
          </w:tcPr>
          <w:p w:rsidR="00A1115C" w:rsidRDefault="00000000">
            <w:pPr>
              <w:widowControl/>
              <w:tabs>
                <w:tab w:val="left" w:pos="60"/>
              </w:tabs>
              <w:snapToGrid w:val="0"/>
              <w:jc w:val="center"/>
              <w:rPr>
                <w:rFonts w:eastAsia="Times New Roman"/>
                <w:sz w:val="24"/>
              </w:rPr>
            </w:pPr>
            <w:r>
              <w:rPr>
                <w:rFonts w:eastAsia="仿宋_GB2312" w:hint="eastAsia"/>
                <w:sz w:val="24"/>
              </w:rPr>
              <w:lastRenderedPageBreak/>
              <w:t>定级对象名称</w:t>
            </w:r>
          </w:p>
        </w:tc>
        <w:tc>
          <w:tcPr>
            <w:tcW w:w="1665" w:type="dxa"/>
            <w:tcBorders>
              <w:top w:val="single" w:sz="4" w:space="0" w:color="auto"/>
              <w:left w:val="single" w:sz="4" w:space="0" w:color="auto"/>
              <w:bottom w:val="single" w:sz="4" w:space="0" w:color="auto"/>
              <w:right w:val="single" w:sz="4" w:space="0" w:color="auto"/>
            </w:tcBorders>
            <w:shd w:val="clear" w:color="auto" w:fill="F3F3F3"/>
            <w:vAlign w:val="center"/>
          </w:tcPr>
          <w:p w:rsidR="00A1115C" w:rsidRDefault="00000000">
            <w:pPr>
              <w:widowControl/>
              <w:tabs>
                <w:tab w:val="left" w:pos="60"/>
              </w:tabs>
              <w:snapToGrid w:val="0"/>
              <w:jc w:val="center"/>
              <w:rPr>
                <w:rFonts w:eastAsia="Times New Roman"/>
                <w:sz w:val="24"/>
              </w:rPr>
            </w:pPr>
            <w:r>
              <w:rPr>
                <w:rFonts w:eastAsia="仿宋_GB2312" w:hint="eastAsia"/>
                <w:sz w:val="24"/>
              </w:rPr>
              <w:t>安全保护等级</w:t>
            </w:r>
          </w:p>
        </w:tc>
        <w:tc>
          <w:tcPr>
            <w:tcW w:w="2694" w:type="dxa"/>
            <w:tcBorders>
              <w:top w:val="single" w:sz="4" w:space="0" w:color="auto"/>
              <w:left w:val="single" w:sz="4" w:space="0" w:color="auto"/>
              <w:bottom w:val="single" w:sz="4" w:space="0" w:color="auto"/>
              <w:right w:val="single" w:sz="4" w:space="0" w:color="auto"/>
            </w:tcBorders>
            <w:shd w:val="clear" w:color="auto" w:fill="F3F3F3"/>
            <w:vAlign w:val="center"/>
          </w:tcPr>
          <w:p w:rsidR="00A1115C" w:rsidRDefault="00000000">
            <w:pPr>
              <w:widowControl/>
              <w:tabs>
                <w:tab w:val="left" w:pos="60"/>
              </w:tabs>
              <w:snapToGrid w:val="0"/>
              <w:jc w:val="center"/>
              <w:rPr>
                <w:rFonts w:eastAsia="Times New Roman"/>
                <w:sz w:val="24"/>
              </w:rPr>
            </w:pPr>
            <w:r>
              <w:rPr>
                <w:rFonts w:eastAsia="仿宋_GB2312" w:hint="eastAsia"/>
                <w:sz w:val="24"/>
              </w:rPr>
              <w:t>业务信息安全保护等级</w:t>
            </w:r>
          </w:p>
        </w:tc>
        <w:tc>
          <w:tcPr>
            <w:tcW w:w="2693" w:type="dxa"/>
            <w:tcBorders>
              <w:top w:val="single" w:sz="4" w:space="0" w:color="auto"/>
              <w:left w:val="single" w:sz="4" w:space="0" w:color="auto"/>
              <w:bottom w:val="single" w:sz="4" w:space="0" w:color="auto"/>
              <w:right w:val="single" w:sz="4" w:space="0" w:color="auto"/>
            </w:tcBorders>
            <w:shd w:val="clear" w:color="auto" w:fill="F3F3F3"/>
            <w:vAlign w:val="center"/>
          </w:tcPr>
          <w:p w:rsidR="00A1115C" w:rsidRDefault="00000000">
            <w:pPr>
              <w:widowControl/>
              <w:tabs>
                <w:tab w:val="left" w:pos="60"/>
              </w:tabs>
              <w:snapToGrid w:val="0"/>
              <w:jc w:val="center"/>
              <w:rPr>
                <w:rFonts w:eastAsia="Times New Roman"/>
                <w:sz w:val="24"/>
              </w:rPr>
            </w:pPr>
            <w:r>
              <w:rPr>
                <w:rFonts w:eastAsia="仿宋_GB2312" w:hint="eastAsia"/>
                <w:sz w:val="24"/>
              </w:rPr>
              <w:t>系统服务安全保护等级</w:t>
            </w:r>
          </w:p>
        </w:tc>
      </w:tr>
      <w:tr w:rsidR="00A1115C">
        <w:trPr>
          <w:trHeight w:val="600"/>
        </w:trPr>
        <w:tc>
          <w:tcPr>
            <w:tcW w:w="1732" w:type="dxa"/>
            <w:tcBorders>
              <w:top w:val="single" w:sz="4" w:space="0" w:color="auto"/>
              <w:left w:val="single" w:sz="4" w:space="0" w:color="auto"/>
              <w:bottom w:val="single" w:sz="4" w:space="0" w:color="auto"/>
              <w:right w:val="single" w:sz="4" w:space="0" w:color="auto"/>
            </w:tcBorders>
            <w:vAlign w:val="center"/>
          </w:tcPr>
          <w:p w:rsidR="00A1115C" w:rsidRDefault="00000000">
            <w:pPr>
              <w:widowControl/>
              <w:tabs>
                <w:tab w:val="left" w:pos="60"/>
              </w:tabs>
              <w:snapToGrid w:val="0"/>
              <w:spacing w:line="360" w:lineRule="auto"/>
              <w:jc w:val="center"/>
              <w:rPr>
                <w:rFonts w:eastAsia="Times New Roman"/>
                <w:sz w:val="24"/>
              </w:rPr>
            </w:pPr>
            <w:proofErr w:type="spellStart"/>
            <w:r>
              <w:rPr>
                <w:rFonts w:eastAsia="Times New Roman" w:hint="eastAsia"/>
                <w:sz w:val="24"/>
              </w:rPr>
              <w:t>宁夏高层次人才服务管理系统</w:t>
            </w:r>
            <w:proofErr w:type="spellEnd"/>
          </w:p>
        </w:tc>
        <w:tc>
          <w:tcPr>
            <w:tcW w:w="1665" w:type="dxa"/>
            <w:tcBorders>
              <w:top w:val="single" w:sz="4" w:space="0" w:color="auto"/>
              <w:left w:val="single" w:sz="4" w:space="0" w:color="auto"/>
              <w:bottom w:val="single" w:sz="4" w:space="0" w:color="auto"/>
              <w:right w:val="single" w:sz="4" w:space="0" w:color="auto"/>
            </w:tcBorders>
            <w:vAlign w:val="center"/>
          </w:tcPr>
          <w:p w:rsidR="00A1115C" w:rsidRDefault="00000000">
            <w:pPr>
              <w:spacing w:line="360" w:lineRule="auto"/>
              <w:jc w:val="center"/>
              <w:rPr>
                <w:rFonts w:eastAsia="Times New Roman"/>
                <w:sz w:val="24"/>
              </w:rPr>
            </w:pPr>
            <w:r>
              <w:rPr>
                <w:rFonts w:eastAsia="仿宋_GB2312" w:hint="eastAsia"/>
                <w:sz w:val="24"/>
              </w:rPr>
              <w:t>第三级</w:t>
            </w:r>
          </w:p>
        </w:tc>
        <w:tc>
          <w:tcPr>
            <w:tcW w:w="2694" w:type="dxa"/>
            <w:tcBorders>
              <w:top w:val="single" w:sz="4" w:space="0" w:color="auto"/>
              <w:left w:val="single" w:sz="4" w:space="0" w:color="auto"/>
              <w:bottom w:val="single" w:sz="4" w:space="0" w:color="auto"/>
              <w:right w:val="single" w:sz="4" w:space="0" w:color="auto"/>
            </w:tcBorders>
            <w:vAlign w:val="center"/>
          </w:tcPr>
          <w:p w:rsidR="00A1115C" w:rsidRDefault="00000000">
            <w:pPr>
              <w:spacing w:line="360" w:lineRule="auto"/>
              <w:jc w:val="center"/>
              <w:rPr>
                <w:rFonts w:eastAsia="Times New Roman"/>
                <w:sz w:val="24"/>
              </w:rPr>
            </w:pPr>
            <w:r>
              <w:rPr>
                <w:rFonts w:eastAsia="仿宋_GB2312" w:hint="eastAsia"/>
                <w:sz w:val="24"/>
              </w:rPr>
              <w:t>第三级</w:t>
            </w:r>
          </w:p>
        </w:tc>
        <w:tc>
          <w:tcPr>
            <w:tcW w:w="2693" w:type="dxa"/>
            <w:tcBorders>
              <w:top w:val="single" w:sz="4" w:space="0" w:color="auto"/>
              <w:left w:val="single" w:sz="4" w:space="0" w:color="auto"/>
              <w:bottom w:val="single" w:sz="4" w:space="0" w:color="auto"/>
              <w:right w:val="single" w:sz="4" w:space="0" w:color="auto"/>
            </w:tcBorders>
            <w:vAlign w:val="center"/>
          </w:tcPr>
          <w:p w:rsidR="00A1115C" w:rsidRDefault="00000000">
            <w:pPr>
              <w:spacing w:line="360" w:lineRule="auto"/>
              <w:jc w:val="center"/>
              <w:rPr>
                <w:rFonts w:eastAsia="Times New Roman"/>
                <w:sz w:val="24"/>
              </w:rPr>
            </w:pPr>
            <w:r>
              <w:rPr>
                <w:rFonts w:eastAsia="仿宋_GB2312" w:hint="eastAsia"/>
                <w:sz w:val="24"/>
              </w:rPr>
              <w:t>第三级</w:t>
            </w:r>
          </w:p>
        </w:tc>
      </w:tr>
    </w:tbl>
    <w:p w:rsidR="00A1115C" w:rsidRDefault="00A1115C">
      <w:pPr>
        <w:rPr>
          <w:rFonts w:eastAsia="Times New Roman"/>
        </w:rPr>
      </w:pPr>
    </w:p>
    <w:p w:rsidR="00A1115C" w:rsidRDefault="00A1115C">
      <w:pPr>
        <w:jc w:val="right"/>
        <w:rPr>
          <w:rFonts w:eastAsia="Times New Roman"/>
          <w:sz w:val="28"/>
        </w:rPr>
      </w:pPr>
    </w:p>
    <w:p w:rsidR="00A1115C" w:rsidRDefault="00A1115C">
      <w:pPr>
        <w:jc w:val="right"/>
        <w:rPr>
          <w:rFonts w:eastAsia="Times New Roman"/>
          <w:sz w:val="28"/>
        </w:rPr>
      </w:pPr>
    </w:p>
    <w:p w:rsidR="00A1115C" w:rsidRDefault="00000000">
      <w:pPr>
        <w:wordWrap w:val="0"/>
        <w:jc w:val="right"/>
        <w:rPr>
          <w:rFonts w:eastAsia="Times New Roman"/>
          <w:sz w:val="24"/>
        </w:rPr>
      </w:pPr>
      <w:r>
        <w:rPr>
          <w:rFonts w:eastAsia="仿宋_GB2312" w:hint="eastAsia"/>
          <w:sz w:val="28"/>
        </w:rPr>
        <w:t>单位（盖章）</w:t>
      </w:r>
      <w:r>
        <w:rPr>
          <w:rFonts w:eastAsia="仿宋_GB2312" w:hint="eastAsia"/>
          <w:sz w:val="28"/>
        </w:rPr>
        <w:t xml:space="preserve">          </w:t>
      </w:r>
    </w:p>
    <w:p w:rsidR="00A1115C" w:rsidRDefault="00000000">
      <w:pPr>
        <w:wordWrap w:val="0"/>
        <w:ind w:right="630"/>
        <w:jc w:val="right"/>
        <w:rPr>
          <w:rFonts w:eastAsia="Times New Roman"/>
        </w:rPr>
      </w:pPr>
      <w:r>
        <w:rPr>
          <w:rFonts w:eastAsia="仿宋_GB2312" w:hint="eastAsia"/>
          <w:sz w:val="28"/>
        </w:rPr>
        <w:t>年</w:t>
      </w:r>
      <w:r>
        <w:rPr>
          <w:rFonts w:eastAsia="仿宋_GB2312" w:hint="eastAsia"/>
          <w:sz w:val="28"/>
        </w:rPr>
        <w:t xml:space="preserve">  </w:t>
      </w:r>
      <w:r>
        <w:rPr>
          <w:rFonts w:eastAsia="仿宋_GB2312" w:hint="eastAsia"/>
          <w:sz w:val="28"/>
        </w:rPr>
        <w:t>月</w:t>
      </w:r>
      <w:r>
        <w:rPr>
          <w:rFonts w:eastAsia="仿宋_GB2312" w:hint="eastAsia"/>
          <w:sz w:val="28"/>
        </w:rPr>
        <w:t xml:space="preserve">  </w:t>
      </w:r>
      <w:r>
        <w:rPr>
          <w:rFonts w:eastAsia="仿宋_GB2312" w:hint="eastAsia"/>
          <w:sz w:val="28"/>
        </w:rPr>
        <w:t>日</w:t>
      </w:r>
      <w:r>
        <w:rPr>
          <w:rFonts w:eastAsia="仿宋_GB2312" w:hint="eastAsia"/>
          <w:sz w:val="28"/>
        </w:rPr>
        <w:t xml:space="preserve">       </w:t>
      </w:r>
    </w:p>
    <w:p w:rsidR="00A1115C" w:rsidRDefault="00A1115C"/>
    <w:sectPr w:rsidR="00A1115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E65970B-9D68-4BEA-BAA1-EBC8A9B418F8}"/>
  </w:font>
  <w:font w:name="宋体">
    <w:altName w:val="SimSun"/>
    <w:panose1 w:val="02010600030101010101"/>
    <w:charset w:val="86"/>
    <w:family w:val="auto"/>
    <w:pitch w:val="variable"/>
    <w:sig w:usb0="00000203" w:usb1="288F0000" w:usb2="00000016" w:usb3="00000000" w:csb0="00040001" w:csb1="00000000"/>
    <w:embedRegular r:id="rId2" w:subsetted="1" w:fontKey="{FCB0AA19-39C8-43AA-B686-CB8A4E1E0F61}"/>
  </w:font>
  <w:font w:name="Times New Roman">
    <w:panose1 w:val="02020603050405020304"/>
    <w:charset w:val="00"/>
    <w:family w:val="roman"/>
    <w:pitch w:val="variable"/>
    <w:sig w:usb0="E0002EFF" w:usb1="C000785B" w:usb2="00000009" w:usb3="00000000" w:csb0="000001FF" w:csb1="00000000"/>
    <w:embedRegular r:id="rId3" w:fontKey="{67FEBFFF-B771-450D-906D-2A2F850D87E5}"/>
    <w:embedItalic r:id="rId4" w:fontKey="{8D88934E-8AC2-4CBB-98AA-91F2DB30454C}"/>
  </w:font>
  <w:font w:name="Arial">
    <w:panose1 w:val="020B0604020202020204"/>
    <w:charset w:val="00"/>
    <w:family w:val="swiss"/>
    <w:pitch w:val="variable"/>
    <w:sig w:usb0="E0002EFF" w:usb1="C000785B" w:usb2="00000009" w:usb3="00000000" w:csb0="000001FF" w:csb1="00000000"/>
    <w:embedRegular r:id="rId5" w:fontKey="{2098B7B8-1708-4DD1-9C44-B6093304DF3C}"/>
  </w:font>
  <w:font w:name="黑体">
    <w:altName w:val="SimHei"/>
    <w:panose1 w:val="02010609060101010101"/>
    <w:charset w:val="86"/>
    <w:family w:val="modern"/>
    <w:pitch w:val="fixed"/>
    <w:sig w:usb0="800002BF" w:usb1="38CF7CFA" w:usb2="00000016" w:usb3="00000000" w:csb0="00040001" w:csb1="00000000"/>
    <w:embedRegular r:id="rId6" w:subsetted="1" w:fontKey="{08F8ADCD-F4E8-4394-A259-346F7BBC094D}"/>
  </w:font>
  <w:font w:name="方正小标宋简体">
    <w:altName w:val="微软雅黑"/>
    <w:charset w:val="86"/>
    <w:family w:val="auto"/>
    <w:pitch w:val="default"/>
    <w:sig w:usb0="00000001" w:usb1="08000000" w:usb2="00000000" w:usb3="00000000" w:csb0="00040000" w:csb1="00000000"/>
    <w:embedRegular r:id="rId7" w:subsetted="1" w:fontKey="{1DDA9AF1-2C2D-4841-A8C0-DA825C6B1E5F}"/>
  </w:font>
  <w:font w:name="楷体_GB2312">
    <w:altName w:val="楷体"/>
    <w:charset w:val="86"/>
    <w:family w:val="auto"/>
    <w:pitch w:val="default"/>
    <w:sig w:usb0="00000000" w:usb1="00000000" w:usb2="00000000" w:usb3="00000000" w:csb0="00040000" w:csb1="00000000"/>
    <w:embedRegular r:id="rId8" w:fontKey="{80F31384-5578-468E-89D0-39EB88A21A04}"/>
  </w:font>
  <w:font w:name="仿宋_GB2312">
    <w:altName w:val="仿宋"/>
    <w:panose1 w:val="02010609030101010101"/>
    <w:charset w:val="86"/>
    <w:family w:val="modern"/>
    <w:pitch w:val="fixed"/>
    <w:sig w:usb0="00000001" w:usb1="080E0000" w:usb2="00000010" w:usb3="00000000" w:csb0="00040000" w:csb1="00000000"/>
    <w:embedRegular r:id="rId9" w:subsetted="1" w:fontKey="{89422612-762F-4AEE-A31D-1B738EA592AF}"/>
  </w:font>
  <w:font w:name="Calibri Light">
    <w:panose1 w:val="020F0302020204030204"/>
    <w:charset w:val="00"/>
    <w:family w:val="swiss"/>
    <w:pitch w:val="variable"/>
    <w:sig w:usb0="E4002EFF" w:usb1="C200247B" w:usb2="00000009" w:usb3="00000000" w:csb0="000001FF" w:csb1="00000000"/>
    <w:embedRegular r:id="rId10" w:fontKey="{CB7E21E8-50F3-4117-B3FC-D2522F685F8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EB229E3"/>
    <w:rsid w:val="000126EB"/>
    <w:rsid w:val="00097381"/>
    <w:rsid w:val="00636457"/>
    <w:rsid w:val="00713815"/>
    <w:rsid w:val="0074459F"/>
    <w:rsid w:val="008856C9"/>
    <w:rsid w:val="0091006C"/>
    <w:rsid w:val="00937D49"/>
    <w:rsid w:val="00A1115C"/>
    <w:rsid w:val="00B272AA"/>
    <w:rsid w:val="00BD1749"/>
    <w:rsid w:val="00E123F8"/>
    <w:rsid w:val="02424350"/>
    <w:rsid w:val="1CE12F6A"/>
    <w:rsid w:val="4B09298A"/>
    <w:rsid w:val="5EB229E3"/>
    <w:rsid w:val="74BF4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73DBF2"/>
  <w15:docId w15:val="{BF0587F4-CB49-4872-B055-5EE9A6F49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footer" w:qFormat="1"/>
    <w:lsdException w:name="caption" w:semiHidden="1" w:unhideWhenUsed="1" w:qFormat="1"/>
    <w:lsdException w:name="Title" w:qFormat="1"/>
    <w:lsdException w:name="Default Paragraph Font" w:uiPriority="1" w:unhideWhenUsed="1" w:qFormat="1"/>
    <w:lsdException w:name="Body Text" w:uiPriority="99" w:unhideWhenUsed="1"/>
    <w:lsdException w:name="Body Text Indent" w:uiPriority="99" w:qFormat="1"/>
    <w:lsdException w:name="Subtitle" w:qFormat="1"/>
    <w:lsdException w:name="Body Text First Indent" w:qFormat="1"/>
    <w:lsdException w:name="Body Text First Indent 2"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imes New Roman" w:eastAsia="宋体" w:hAnsi="Times New Roman" w:cs="Times New Roman"/>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99"/>
    <w:unhideWhenUsed/>
    <w:rPr>
      <w:szCs w:val="20"/>
    </w:rPr>
  </w:style>
  <w:style w:type="paragraph" w:styleId="a4">
    <w:name w:val="caption"/>
    <w:basedOn w:val="a"/>
    <w:next w:val="a"/>
    <w:semiHidden/>
    <w:unhideWhenUsed/>
    <w:qFormat/>
    <w:rPr>
      <w:rFonts w:ascii="Arial" w:eastAsia="黑体" w:hAnsi="Arial"/>
      <w:sz w:val="20"/>
    </w:rPr>
  </w:style>
  <w:style w:type="paragraph" w:styleId="a5">
    <w:name w:val="annotation text"/>
    <w:basedOn w:val="a"/>
    <w:qFormat/>
    <w:pPr>
      <w:jc w:val="left"/>
    </w:pPr>
  </w:style>
  <w:style w:type="paragraph" w:styleId="a6">
    <w:name w:val="Body Text Indent"/>
    <w:basedOn w:val="a"/>
    <w:uiPriority w:val="99"/>
    <w:qFormat/>
    <w:pPr>
      <w:adjustRightInd w:val="0"/>
      <w:snapToGrid w:val="0"/>
      <w:spacing w:after="120" w:line="360" w:lineRule="auto"/>
      <w:ind w:leftChars="200" w:left="420"/>
    </w:pPr>
    <w:rPr>
      <w:sz w:val="24"/>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pPr>
      <w:tabs>
        <w:tab w:val="center" w:pos="4153"/>
        <w:tab w:val="right" w:pos="8306"/>
      </w:tabs>
      <w:snapToGrid w:val="0"/>
      <w:jc w:val="center"/>
    </w:pPr>
    <w:rPr>
      <w:sz w:val="18"/>
      <w:szCs w:val="18"/>
    </w:rPr>
  </w:style>
  <w:style w:type="paragraph" w:styleId="ab">
    <w:name w:val="Body Text First Indent"/>
    <w:basedOn w:val="a0"/>
    <w:qFormat/>
    <w:pPr>
      <w:ind w:firstLineChars="100" w:firstLine="420"/>
    </w:pPr>
  </w:style>
  <w:style w:type="paragraph" w:styleId="2">
    <w:name w:val="Body Text First Indent 2"/>
    <w:basedOn w:val="a6"/>
    <w:uiPriority w:val="99"/>
    <w:qFormat/>
    <w:pPr>
      <w:ind w:firstLineChars="200" w:firstLine="420"/>
    </w:pPr>
  </w:style>
  <w:style w:type="table" w:styleId="ac">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页眉 字符"/>
    <w:basedOn w:val="a1"/>
    <w:link w:val="a9"/>
    <w:qFormat/>
    <w:rPr>
      <w:rFonts w:ascii="Times New Roman" w:eastAsia="宋体" w:hAnsi="Times New Roman" w:cs="Times New Roman"/>
      <w:kern w:val="2"/>
      <w:sz w:val="18"/>
      <w:szCs w:val="18"/>
    </w:rPr>
  </w:style>
  <w:style w:type="character" w:customStyle="1" w:styleId="a8">
    <w:name w:val="页脚 字符"/>
    <w:basedOn w:val="a1"/>
    <w:link w:val="a7"/>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754</Words>
  <Characters>4302</Characters>
  <Application>Microsoft Office Word</Application>
  <DocSecurity>0</DocSecurity>
  <Lines>35</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YML</dc:creator>
  <cp:lastModifiedBy>祥 包</cp:lastModifiedBy>
  <cp:revision>13</cp:revision>
  <dcterms:created xsi:type="dcterms:W3CDTF">2025-03-06T09:18:00Z</dcterms:created>
  <dcterms:modified xsi:type="dcterms:W3CDTF">2025-04-08T14:10:00Z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C2DF84A5D5384507966719EB1A8A9555_13</vt:lpwstr>
  </property>
  <property fmtid="{D5CDD505-2E9C-101B-9397-08002B2CF9AE}" pid="4" name="KSOTemplateDocerSaveRecord">
    <vt:lpwstr>eyJoZGlkIjoiZjM3Yzk5MThmNzk2YjAzZjMwODBhMjhjYmUzN2NkYWEiLCJ1c2VySWQiOiI2MzcxNjMyMTgifQ==</vt:lpwstr>
  </property>
</Properties>
</file>