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陈立非】为确保台湾半导体产业在全球的领先地位，台“行政院”17日通过被称为“台版芯片法”的“产业创新条例”修正草案，之后将送“立法院”审议。台媒称，未来台积电、联发科等半导体大厂都有机会适用。</w:t>
      </w:r>
    </w:p>
    <w:p>
      <w:r>
        <w:t xml:space="preserve">  修正草案明定，在岛内进行前瞻技术创新、且居国际供应链关键地位的公司，符合“适用资格条件者”，其在前瞻创新研究发展的25%支出可抵减当年度应纳营利事业所得税额，购置先进设备的5%支出抵减当年度营利事业所得税额，且无投资抵减支出金额上限。不过，单项投资抵减总额不得超过当年度纳税额的30%，两项同时申请则以税额的50%为限。</w:t>
      </w:r>
    </w:p>
    <w:p>
      <w:r>
        <w:t xml:space="preserve">  台湾《联合报》举例称，假设一家公司2023年度前瞻创新研发支出为100亿元（新台币，下同）、投资先进制程机器设备150亿元，抵减前应纳税额为60亿元。如果该公司符合规定，则研发支出100亿元中，虽然可享25%优惠，但因为公司应纳营业所得税的30%，也就是最高只有18亿元可计入抵减，因此研发项目享有18亿元的抵减优惠。另外，在设备支出的150亿元中，以机器设备投抵5%的租税优惠为7.5亿元。也就是说，该公司前瞻创新研发支出加上机器设备支出两项，2023年度可享有投资抵减25.5亿元（18亿元+7.5亿元）。</w:t>
      </w:r>
    </w:p>
    <w:p>
      <w:r>
        <w:t xml:space="preserve">  </w:t>
      </w:r>
    </w:p>
    <w:p>
      <w:r>
        <w:t xml:space="preserve">  针对此消息，台积电称会持续投资台湾，对此法案乐观其成。日月光集团旗下日月光半导体执行长吴田玉也称，未来十年，半导体产业大环境会有更大的挑战，产业在全球高额补助及多重管制之下，竞争将更为艰难。此次“产创条例”的修法，业界乐观其成，实质影响有待法规细节及配套措施。力积电董事长黄崇仁则在采访中表示，当局通过设备投资抵减，照顾台湾半导体产业的美意，他给予肯定并乐观其成，但硬冠上“前瞻研发”及“先进制程设备”，似乎只想针对台积电或少数设备商提供补助。</w:t>
      </w:r>
    </w:p>
    <w:p>
      <w:r>
        <w:t xml:space="preserve">  台湾《中国时报》17日引用分析师的话称，当局推出相关补助政策，有利岛内半导体厂商的竞争力，但目前半导体库存调整，成熟制程的产能利用率下滑明显，厂商营收和获利将被影响，因此对相关个股持中立的看法。</w:t>
      </w:r>
    </w:p>
    <w:p>
      <w:r>
        <w:t xml:space="preserve">  另有分析认为，民进党当局大力扶持半导体产业，一方面是希望从打造“护台神山”到打造“护台群山”，同时也是通过加大半导体供应链在美国心目中的分量，强化台湾安全。舆论则担忧，台湾的产业高度集中半导体产业，可能会染上“荷兰病”，也就是高科技长期一枝独秀，产业发展不均，加速M型化社会发展，进一步拉大岛内贫富差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