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12月25日，奥园集团发布公司公告，将调整投资产品兑付方案。</w:t>
      </w:r>
    </w:p>
    <w:p>
      <w:r>
        <w:t xml:space="preserve">  奥园集团称，自2021年集团经营陷入困境以来，公司全力以赴促销售、抓回款，加快项目资产处置回笼资金，缩减非必要经营开支，截至目前已有约57%的投资产品通过实物和现金等兑付方式完成了兑付。但当前经济大环境和房地产市场行情的筑底回升仍需时间，为保障全体投资人权益，尽早完成兑付，结合集团的经营现状，即日起将调整兑付方案。</w:t>
      </w:r>
    </w:p>
    <w:p>
      <w:r>
        <w:t xml:space="preserve">  兑付范围包括奥园集团及下属公司发行的所有基金、定向融资计划产品等投资产品债务（以下简称“投资产品”）。兑付金额方面，截至12月25日，合同约定仍未兑付的投资产品本金及相应已产生利息，奥园集团及下属公司发行的投资产品债务，即日起停止计算新的利息。</w:t>
      </w:r>
    </w:p>
    <w:p>
      <w:r>
        <w:t xml:space="preserve">  在兑付方式上，截至12月25日，投资产品首次到期后，且按照原兑付方案，200万以内20%未完成兑付的，集团将在未来6个月内分笔完成兑付。单个投资人累计投资本金剩余50万元以内的，集团将分期分笔予以兑付。</w:t>
      </w:r>
    </w:p>
    <w:p>
      <w:r>
        <w:t xml:space="preserve">  奥园集团表示将持续提供实物资产供投资人选择，投资人所持投资剩余本息对应的债权冲抵房地产类实物资产的房款，实物资产包括住宅、公寓、商业、写字楼、车位等。投资人在选择以实物资产兑付后仍剩余少量余额的，集团将根据资金回流情况，按照投资人实物资产兑付的时间及单个投资人剩余投资本金金额，由小到大排序逐笔兑付，不再计算支付利息。</w:t>
      </w:r>
    </w:p>
    <w:p>
      <w:r>
        <w:t xml:space="preserve">  奥园集团称，新的兑付方案是集团基于自身兑付能力和资金回笼实际情况，反复研究制订的切实可行、旨在保障所有投资人权益的最优方案。</w:t>
      </w:r>
    </w:p>
    <w:p>
      <w:r>
        <w:t xml:space="preserve">  中国奥园（03883.HK）此前披露的前11个月销售额显示，今年前11个月，中国奥园及其附属公司实现未经审核物业合同销售额约198.8亿元。根据此前公告数据计算，11月单月，中国奥园及其附属公司实现未经审核物业合同销售额约6.8亿元。</w:t>
      </w:r>
    </w:p>
    <w:p>
      <w:r>
        <w:t xml:space="preserve">  另外，中国奥园的股票自2022年4月1日上午9时停牌至今仍未有复牌的迹象。截至目前，中国奥园仍未披露2021年的年报和2022年半年报的情况。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