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来源：生命时报</w:t>
      </w:r>
    </w:p>
    <w:p>
      <w:r>
        <w:t xml:space="preserve">  在2023环球时报年会生命健康分论坛上，张伯礼表示，目前疫情形势发生了很大变化，应以变应变，我国防控政策也是按照这个逻辑在不断优化调整。奥密克戎病毒感染性强、毒性弱，无症状人群占了三四成，有上呼吸道症状的四五成，重症及后遗症比较少。防控政策优化调整后，短期内感染人数会增加，但整体情况在往好的方向发展。1、2月份高峰过后，到春暖花开时疫情有望进入常态，不会出现大规模感染，人们的工作、生活、学习也将逐步不受影响。</w:t>
      </w:r>
    </w:p>
    <w:p>
      <w:r>
        <w:t xml:space="preserve">  目前阶段还是要做好个人防护，早阳早好的观点是不对的，个人防护至关重要。虽然感染后3~6个月再次感染的几率小，但病毒不断在变异，不管是否感染过都应做好防护。建议没有绝对禁忌症的人群及时接种疫苗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