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前中天国富证券董事长、现世纪证券董事长余维佳被带走调查一事，牵出两家上市公司同一实控人“失联”事件。</w:t>
      </w:r>
    </w:p>
    <w:p>
      <w:r>
        <w:t xml:space="preserve">  11月13日，上市公司和科达收到深交所关注函，要求公司核实：实际控制人赵丰是否涉及余维佳相关事项，赵丰是否已被有权机关带走调查、采取留置措施或其他强制措施。</w:t>
      </w:r>
    </w:p>
    <w:p>
      <w:r>
        <w:t xml:space="preserve">  11月18日晚间，和科达在对深交所关注函的回复公告中表示，公司无法与实际控制人赵丰取得联系。公司尚未能了解赵丰具体失联原因。</w:t>
      </w:r>
    </w:p>
    <w:p>
      <w:r>
        <w:t xml:space="preserve">  记者梳理发现，除近期刚刚通过资本运作（融资获得股权收购款、股份转让完成后不久即质押）获得和科达实际控制权之外，赵丰于1月获得深交所上市公司兴民智通实际控制权，并曾担任兴民智通、东方网力等公司董事长职务。</w:t>
      </w:r>
    </w:p>
    <w:p>
      <w:r>
        <w:t xml:space="preserve">  实际控制人失联</w:t>
      </w:r>
    </w:p>
    <w:p>
      <w:r>
        <w:t xml:space="preserve">  在对深圳证券交易所关注函的回复公告中，和科达表示，公司于近期关注到媒体相关消息后高度重视，并在第一时间协同公司法务、董办等部门开展相关工作。经多方联系，截至本函回复之日，公司仍无法与实际控制人赵丰取得联系。公司已与控股股东深圳市丰启智远科技有限公司及实际控制人家属取得联系并进行核实。截至回复之日，上市公司尚未能了解具体失联原因。</w:t>
      </w:r>
    </w:p>
    <w:p>
      <w:r>
        <w:t xml:space="preserve">  图片来源：和科达公告</w:t>
      </w:r>
    </w:p>
    <w:p>
      <w:r>
        <w:t xml:space="preserve">  和科达表示，公司将密切关注公司实际控制人赵丰事件的后续进展情况，将严格按照有关法律、法规的规定和要求，及时履行信息披露义务。</w:t>
      </w:r>
    </w:p>
    <w:p>
      <w:r>
        <w:t xml:space="preserve">  针对深交所提出的“相关事项对公司治理结构、日常经营运作等是否将产生重大不利影响”问题，和科达表示，公司具有完善的法人治理结构，依法建立健全了股东大会、董事会及其专门委员会、监事会等制度，能够实现董事会和管理层稳定运作。公司实际控制人赵丰未在公司担任职务，也不参与公司具体生产经营活动。公司目前董事、高管、监事履职正常，一切生产经营情况良好，各项工作有序开展。上市公司与控股股东、实际控制人是独立运作的两个实体，公司与控股股东、实际控制人在人员、资产、财务、业务等方面，保持独立经营及核算，各自承担责任和风险。该事项对公司治理结构、日常经营运作等没有重大不利影响。</w:t>
      </w:r>
    </w:p>
    <w:p>
      <w:r>
        <w:t xml:space="preserve">  或涉券商高管被查案件</w:t>
      </w:r>
    </w:p>
    <w:p>
      <w:r>
        <w:t xml:space="preserve">  根据深交所关注函，近日，有媒体报道称，前中天国富证券董事长、现世纪证券董事长余维佳被有关部门带走调查，同时被带走的还有一位深市退市公司董事长赵某，该公司于今年6月退市。报道中，赵某的身份与和科达新实际控制人赵丰的背景高度吻合，赵丰曾任职于中天国富证券，并曾担任东方网力科技股份有限公司董事长，而东方网力于6月终止上市并摘牌。</w:t>
      </w:r>
    </w:p>
    <w:p>
      <w:r>
        <w:t xml:space="preserve">  媒体报道称，余维佳配合相关部门调查或源于东方网力的资本运作。公开信息显示，东方网力成立于2000年，一直专注于安防视频监控行业，是国内领先的视频管理平台与安防人工智能平台的提供商；公司2014年在深交所创业板上市。</w:t>
      </w:r>
    </w:p>
    <w:p>
      <w:r>
        <w:t xml:space="preserve">  2019年4月，东方网力公告称，原实际控制人刘光拟将公司实际控制权转让给四川国资，控股股东变更为川投信息产业集团有限公司。川投信产是川投集团的全资子公司，川投集团则是四川国资委旗下的产业投资平台。2019年9月，东方网力公告称，公司自查发现存在16亿元违规担保问题，另有2.25亿元的资金被占用。</w:t>
      </w:r>
    </w:p>
    <w:p>
      <w:r>
        <w:t xml:space="preserve">  2020年，赵丰担任东方网力董事长。其后，因东方网力未能准确披露2020年年度财务会计报告，涉及差错金额重大，导致净资产正负性质发生变化，情节严重，时任董事长赵丰作为主要负责人未能勤勉尽责，而受到公开谴责的纪律处分。赵丰于2021年6月13日辞去公司董事长职务。</w:t>
      </w:r>
    </w:p>
    <w:p>
      <w:r>
        <w:t xml:space="preserve">  2022年4月26日，东方网力收到证监会立案告知书，因涉嫌信息披露违法违规，证监会决定对公司立案。2022年6月，东方网力因为2019、2020年两年净资产为负，被勒令退市。</w:t>
      </w:r>
    </w:p>
    <w:p>
      <w:r>
        <w:t xml:space="preserve">  2022年11月9日，东方网力公告称，公司副董事长王波、副总裁蔡昌银因涉嫌职务违法犯罪被成都市监察委员会留置。公司年报显示，王波、蔡昌银均有东方网力控股股东川投信产内的任职经历。</w:t>
      </w:r>
    </w:p>
    <w:p>
      <w:r>
        <w:t xml:space="preserve">  </w:t>
      </w:r>
    </w:p>
    <w:p>
      <w:r>
        <w:t xml:space="preserve">  图片来源：东方网力2020年年报</w:t>
      </w:r>
    </w:p>
    <w:p>
      <w:r>
        <w:t xml:space="preserve">  今年获得两家上市公司控制权</w:t>
      </w:r>
    </w:p>
    <w:p>
      <w:r>
        <w:t xml:space="preserve">  根据上市公司公告，除担任过东方网力董事长外，赵丰目前拥有兴民智通、和科达等两家上市公司实际控制权，并曾担任过兴民智通董事长职务。</w:t>
      </w:r>
    </w:p>
    <w:p>
      <w:r>
        <w:t xml:space="preserve">  根据兴民智通公告，2021年7月，赵丰担任兴民智通董事长职务。2022年1月，赵丰通过管理层收购方式，正式获得兴民智通实际控制权。2022年8月，赵丰辞去兴民智通董事长职务。</w:t>
      </w:r>
    </w:p>
    <w:p>
      <w:r>
        <w:t xml:space="preserve">  图片来源：兴民智通公告</w:t>
      </w:r>
    </w:p>
    <w:p>
      <w:r>
        <w:t xml:space="preserve">  在获得兴民智通控制权后不久，赵丰又在今年通过大量资金融资的方式获得和科达实际控制权。</w:t>
      </w:r>
    </w:p>
    <w:p>
      <w:r>
        <w:t xml:space="preserve">  和科达公告显示，9月15日，和科达控制权变更相关的股权转让事项过户完毕，公司控股股东由益阳市瑞和成控股有限公司变更为丰启智远，实际控制人由金文明变更为赵丰。</w:t>
      </w:r>
    </w:p>
    <w:p>
      <w:r>
        <w:t xml:space="preserve">  根据丰启智远9月2日披露的《详式权益变动报告书》，本次和科达股份转让数量1600万股，转让价款共计4亿元，即转让价格为25元/股，与协议签署日前一日（即2022年8月31日）收盘价18.58元/股相比溢价率为34.55%。收购款项中一半（即2亿元）来源于自筹资金，融资利率9.6%（逾期利率14.8%），融资期限12个月。</w:t>
      </w:r>
    </w:p>
    <w:p>
      <w:r>
        <w:t xml:space="preserve">  股份转让事项完成后不久，丰启智远很快又将和科达股份质押。根据和科达11月3日公告，新控股股东丰启智远已将所持上市公司全部1600万股股份质押。其中，丰启智远所持800万股质押给安徽新集煤电（集团）有限公司，用于为瑞和成与安徽新集股权转让事项相关的保证金返还、标的物交付等所有责任和义务以及相关违约金、赔偿金等提供担保；剩余800万股质押给益阳高新产业投资有限公司，为原实际控制人金文明欠益阳高新投的债务提供担保。此外，8月17日，丰启智远与瑞和成签订了借款合同，为瑞和成提供1.6亿元借款。</w:t>
      </w:r>
    </w:p>
    <w:p>
      <w:r>
        <w:t xml:space="preserve">  编辑：李若愚 郑雅烁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