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11月8日晚间，歌尔股份发布风险提示性公告表示，该公司近日收到境外某大客户的通知，暂停生产其一款智能声学整机产品。目前与该客户的其他产品项目合作仍在正常开展。</w:t>
      </w:r>
    </w:p>
    <w:p>
      <w:r>
        <w:t xml:space="preserve">  公告称，本次业务变动预计影响2022年度营业收入不超过人民币33亿元，约占公司2021年度经审计营业收入的4.2%。</w:t>
      </w:r>
    </w:p>
    <w:p>
      <w:r>
        <w:t xml:space="preserve">  </w:t>
      </w:r>
    </w:p>
    <w:p>
      <w:r>
        <w:t xml:space="preserve">  一向被视为“果链宠儿”的歌尔股份今年以来在资本市场上“失宠”，自年初以来，股价“腰斩”，跌幅近60%，目前市值不到800亿元人民币。截至11月8日收盘，歌尔股份股价跌幅近4%。</w:t>
      </w:r>
    </w:p>
    <w:p>
      <w:r>
        <w:t xml:space="preserve">  歌尔股份半年报显示，按产品分，智能声学整机营收123.38亿元，占收入比例28.30%；按地区分，境外营业收入396.75亿元，占收入比例90.99%。</w:t>
      </w:r>
    </w:p>
    <w:p>
      <w:r>
        <w:t xml:space="preserve">  对于此次海外大客户“砍单”带来的影响，歌尔股份表示，该事项对该公司经营业绩的影响仍在评估中。将尽快推动相关评估工作，并按照相关法律法规的要求履行信息披露义务。</w:t>
      </w:r>
    </w:p>
    <w:p>
      <w:r>
        <w:t xml:space="preserve">  有机构分析，歌尔公告中所称的“大客户”指苹果公司，产品为AirPods Pro 2，对2022年歌尔收入整体影响相对有限。</w:t>
      </w:r>
    </w:p>
    <w:p>
      <w:r>
        <w:t xml:space="preserve">  但对于客户调整订单的原因以及具体情况，歌尔股份并未在上述公告中做进一步说明。</w:t>
      </w:r>
    </w:p>
    <w:p>
      <w:r>
        <w:t xml:space="preserve">  事实上，通胀正在影响着包括苹果公司在内的大部分消费科技公司的利润，这些企业都在通过优先生产更昂贵的产品来保持利润。有预测显示，今年苹果预计2022年全年的AirPods订单减少约1000万台。</w:t>
      </w:r>
    </w:p>
    <w:p>
      <w:r>
        <w:t xml:space="preserve">  歌尔股份早在2010年就进入苹果供应链，为苹果供应声学组件、有线耳机等。2018年，歌尔股份拿下苹果AirPods耳机30%的代工份额，成为AirPods全球第二大代工厂。也是从那年之后，歌尔股份的营业收入迎来爆发式增长。2021年，苹果一家客户就占歌尔股份营收比的42.49%。此后，歌尔股份又拿下了AirPods Max的独家代工。</w:t>
      </w:r>
    </w:p>
    <w:p>
      <w:r>
        <w:t xml:space="preserve">  不过吃了几年苹果的“红利”之后，今年3月就有市场消息称苹果对AirPods耳机砍单，歌尔股份股价自此进入下滑通道。另一方面，立讯精密也已成为AirPods的第一大供应商。立讯精密为AirPods提供芯片“系统级封装”（SiP）服务，即将包括处理器和存储器等多种功能芯片集成在一个封装内。</w:t>
      </w:r>
    </w:p>
    <w:p>
      <w:r>
        <w:t xml:space="preserve">  苹果的另一个供应商欧菲光此前也发布类似公告，称收到境外特定客户的通知，特定客户计划终止与公司及其子公司的采购关系，后续公司将不再从特定客户取得现有业务订单。过去两年，欧菲光亏损超54亿元。</w:t>
      </w:r>
    </w:p>
    <w:p>
      <w:r>
        <w:t xml:space="preserve">  苹果供应链企业近年来的挑战还在于利润的下跌。2021年年报数据显示，歌尔股份的毛利率从2018年的22.39%下降到了14.13%。2021年立讯精密毛利率也跌至11.36%，富士康毛利率更是跌至8.3%。</w:t>
      </w:r>
    </w:p>
    <w:p>
      <w:r>
        <w:t xml:space="preserve">  “果链”企业几乎无一例外地高度依赖单一大客户，此类事件也再次给供应链企业敲响警钟，应尽可能地寻求业务的多元化并分散风险。富士康、立讯精密已经开始将业务转移到汽车供应链领域，不过这些公司的汽车业务占整体收入比仍然较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