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36氪获悉，1月7日，蚂蚁集团发布公告称，为持续完善公司治理，实现长期可持续发展，拟在董事会和股东层面采取一系列升级举措，包括引入第五名独立董事，调整股东上层结构等。</w:t>
      </w:r>
    </w:p>
    <w:p>
      <w:r>
        <w:t xml:space="preserve">  本次调整的核心是主要股东投票权的变化：从马云及其一致行动人共同行使股份表决权，到包括蚂蚁集团管理层、员工代表和创始人马云在内的10名自然人分别独立行使股份表决权。</w:t>
      </w:r>
    </w:p>
    <w:p>
      <w:r>
        <w:t xml:space="preserve">  本次调整后，蚂蚁集团各主要股东彼此独立行使股份表决权且无一致行动关系，不再存在任何直接或间接股东单一或共同控制蚂蚁集团的情形。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