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【财新网】虽然防疫措施进一步优化，但由于疫情大范围蔓延、感染人数持续增加，2022年12月中国制造业景气度连续第五个月低于荣枯线，且降幅扩大。</w:t>
      </w:r>
    </w:p>
    <w:p>
      <w:r>
        <w:t xml:space="preserve">  1月3日公布的2022年12月财新中国制造业采购经理指数（PMI）录得49.0，低于11月0.4个百分点，降至近三个月来最低，连续第五个月处于收缩区间。</w:t>
      </w:r>
    </w:p>
    <w:p>
      <w:r>
        <w:t xml:space="preserve">  这一走势与统计局制造业PMI一致。国家统计局公布的2022年12月制造业PMI下降1.0个百分点至47.0，为2020年3月以来最低。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