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3C865892" w:rsidP="2F325544" w:rsidRDefault="3C865892" w14:paraId="4AA52E1A" w14:textId="00BCAF62">
      <w:pPr>
        <w:jc w:val="right"/>
      </w:pPr>
      <w:r w:rsidR="3C865892">
        <w:rPr/>
        <w:t>Thaddeus Koenig</w:t>
      </w:r>
    </w:p>
    <w:p w:rsidR="3C865892" w:rsidP="2F325544" w:rsidRDefault="3C865892" w14:paraId="52A76CFB" w14:textId="2AC5E851">
      <w:pPr>
        <w:pStyle w:val="Normal"/>
        <w:jc w:val="right"/>
      </w:pPr>
      <w:r w:rsidR="3C865892">
        <w:rPr/>
        <w:t>January 15, 2022</w:t>
      </w:r>
    </w:p>
    <w:p w:rsidR="3C865892" w:rsidP="2F325544" w:rsidRDefault="3C865892" w14:paraId="318D0567" w14:textId="4E1C26AC">
      <w:pPr>
        <w:pStyle w:val="Normal"/>
        <w:jc w:val="right"/>
      </w:pPr>
      <w:r w:rsidR="3C865892">
        <w:rPr/>
        <w:t>AIST6357</w:t>
      </w:r>
    </w:p>
    <w:p w:rsidR="3C865892" w:rsidP="2F325544" w:rsidRDefault="3C865892" w14:paraId="505CBB52" w14:textId="0023C744">
      <w:pPr>
        <w:pStyle w:val="Normal"/>
        <w:jc w:val="center"/>
      </w:pPr>
      <w:r w:rsidRPr="2F325544" w:rsidR="3C865892">
        <w:rPr>
          <w:u w:val="single"/>
        </w:rPr>
        <w:t>Research Questions</w:t>
      </w:r>
    </w:p>
    <w:p w:rsidR="5F83AFD0" w:rsidP="2F325544" w:rsidRDefault="5F83AFD0" w14:paraId="0762E67B" w14:textId="0FBEE9B4">
      <w:pPr>
        <w:pStyle w:val="ListParagraph"/>
        <w:numPr>
          <w:ilvl w:val="0"/>
          <w:numId w:val="3"/>
        </w:numPr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u w:val="none"/>
        </w:rPr>
      </w:pPr>
      <w:r w:rsidR="5F83AFD0">
        <w:rPr>
          <w:u w:val="none"/>
        </w:rPr>
        <w:t>W</w:t>
      </w:r>
      <w:r w:rsidR="003C91A9">
        <w:rPr>
          <w:u w:val="none"/>
        </w:rPr>
        <w:t xml:space="preserve">hat unique threats does a company face when transitioning to cloud </w:t>
      </w:r>
      <w:r w:rsidR="151CADC2">
        <w:rPr>
          <w:u w:val="none"/>
        </w:rPr>
        <w:t>computing?</w:t>
      </w:r>
      <w:r w:rsidR="003C91A9">
        <w:rPr>
          <w:u w:val="none"/>
        </w:rPr>
        <w:t xml:space="preserve"> </w:t>
      </w:r>
    </w:p>
    <w:p w:rsidR="33356A7D" w:rsidP="2F325544" w:rsidRDefault="33356A7D" w14:paraId="5F05B59D" w14:textId="39A8B678">
      <w:pPr>
        <w:pStyle w:val="ListParagraph"/>
        <w:numPr>
          <w:ilvl w:val="1"/>
          <w:numId w:val="3"/>
        </w:numPr>
        <w:jc w:val="left"/>
        <w:rPr>
          <w:sz w:val="22"/>
          <w:szCs w:val="22"/>
          <w:u w:val="none"/>
        </w:rPr>
      </w:pPr>
      <w:r w:rsidR="33356A7D">
        <w:rPr>
          <w:u w:val="none"/>
        </w:rPr>
        <w:t>While the practice of outsourcing is not new in today’s world. Clo</w:t>
      </w:r>
      <w:r w:rsidR="59C55C26">
        <w:rPr>
          <w:u w:val="none"/>
        </w:rPr>
        <w:t xml:space="preserve">ud computing brings an </w:t>
      </w:r>
      <w:r w:rsidR="232EBDC1">
        <w:rPr>
          <w:u w:val="none"/>
        </w:rPr>
        <w:t>ever-evolving</w:t>
      </w:r>
      <w:r w:rsidR="59C55C26">
        <w:rPr>
          <w:u w:val="none"/>
        </w:rPr>
        <w:t xml:space="preserve"> twist to an organization’s role in the technological and risk management of </w:t>
      </w:r>
      <w:r w:rsidR="52C9F4FE">
        <w:rPr>
          <w:u w:val="none"/>
        </w:rPr>
        <w:t>information</w:t>
      </w:r>
      <w:r w:rsidR="59C55C26">
        <w:rPr>
          <w:u w:val="none"/>
        </w:rPr>
        <w:t xml:space="preserve"> technology resources. </w:t>
      </w:r>
      <w:r w:rsidR="35EBA01A">
        <w:rPr>
          <w:u w:val="none"/>
        </w:rPr>
        <w:t>With the underlying technology be</w:t>
      </w:r>
      <w:r w:rsidR="6DE21190">
        <w:rPr>
          <w:u w:val="none"/>
        </w:rPr>
        <w:t xml:space="preserve">coming increasingly abstracted from the user, businesses must make tradeoffs of control and convivence even within the cloud </w:t>
      </w:r>
      <w:r w:rsidR="689E9046">
        <w:rPr>
          <w:u w:val="none"/>
        </w:rPr>
        <w:t>as the business can trade full control over comput</w:t>
      </w:r>
      <w:r w:rsidR="053765F7">
        <w:rPr>
          <w:u w:val="none"/>
        </w:rPr>
        <w:t>ing</w:t>
      </w:r>
      <w:r w:rsidR="689E9046">
        <w:rPr>
          <w:u w:val="none"/>
        </w:rPr>
        <w:t xml:space="preserve"> resources for </w:t>
      </w:r>
      <w:r w:rsidR="689E9046">
        <w:rPr>
          <w:u w:val="none"/>
        </w:rPr>
        <w:t>highly available</w:t>
      </w:r>
      <w:r w:rsidR="689E9046">
        <w:rPr>
          <w:u w:val="none"/>
        </w:rPr>
        <w:t xml:space="preserve"> container and function platforms such as LAMBA and ECS with</w:t>
      </w:r>
      <w:r w:rsidR="43DC4B28">
        <w:rPr>
          <w:u w:val="none"/>
        </w:rPr>
        <w:t xml:space="preserve">in </w:t>
      </w:r>
      <w:r w:rsidR="43DC4B28">
        <w:rPr>
          <w:u w:val="none"/>
        </w:rPr>
        <w:t>AWS</w:t>
      </w:r>
      <w:r w:rsidR="43DC4B28">
        <w:rPr>
          <w:u w:val="none"/>
        </w:rPr>
        <w:t xml:space="preserve">. </w:t>
      </w:r>
      <w:r w:rsidR="689E9046">
        <w:rPr>
          <w:u w:val="none"/>
        </w:rPr>
        <w:t xml:space="preserve"> </w:t>
      </w:r>
      <w:r w:rsidR="689E9046">
        <w:rPr>
          <w:u w:val="none"/>
        </w:rPr>
        <w:t xml:space="preserve">  </w:t>
      </w:r>
    </w:p>
    <w:p w:rsidR="0B415218" w:rsidP="2F325544" w:rsidRDefault="0B415218" w14:paraId="059A8CA1" w14:textId="5DFCC0E9">
      <w:pPr>
        <w:pStyle w:val="ListParagraph"/>
        <w:numPr>
          <w:ilvl w:val="2"/>
          <w:numId w:val="3"/>
        </w:numPr>
        <w:jc w:val="left"/>
        <w:rPr>
          <w:sz w:val="22"/>
          <w:szCs w:val="22"/>
          <w:u w:val="none"/>
        </w:rPr>
      </w:pPr>
      <w:r w:rsidR="0B415218">
        <w:rPr>
          <w:u w:val="none"/>
        </w:rPr>
        <w:t>Sources:</w:t>
      </w:r>
    </w:p>
    <w:p w:rsidR="4418F60A" w:rsidP="2F325544" w:rsidRDefault="4418F60A" w14:paraId="3C9A4F0A" w14:textId="354630D6">
      <w:pPr>
        <w:pStyle w:val="ListParagraph"/>
        <w:numPr>
          <w:ilvl w:val="3"/>
          <w:numId w:val="3"/>
        </w:numPr>
        <w:jc w:val="left"/>
        <w:rPr>
          <w:noProof w:val="0"/>
          <w:sz w:val="22"/>
          <w:szCs w:val="22"/>
          <w:lang w:val="en-US"/>
        </w:rPr>
      </w:pPr>
      <w:proofErr w:type="spellStart"/>
      <w:r w:rsidRPr="2F325544" w:rsidR="4418F60A">
        <w:rPr>
          <w:noProof w:val="0"/>
          <w:lang w:val="en-US"/>
        </w:rPr>
        <w:t>Bisong</w:t>
      </w:r>
      <w:proofErr w:type="spellEnd"/>
      <w:r w:rsidRPr="2F325544" w:rsidR="4418F60A">
        <w:rPr>
          <w:noProof w:val="0"/>
          <w:lang w:val="en-US"/>
        </w:rPr>
        <w:t xml:space="preserve">, A., &amp; Rahman, M. (2011). An overview of the security concerns in enterprise cloud computing. </w:t>
      </w:r>
      <w:proofErr w:type="spellStart"/>
      <w:r w:rsidRPr="2F325544" w:rsidR="4418F60A">
        <w:rPr>
          <w:i w:val="1"/>
          <w:iCs w:val="1"/>
          <w:noProof w:val="0"/>
          <w:lang w:val="en-US"/>
        </w:rPr>
        <w:t>arXiv</w:t>
      </w:r>
      <w:proofErr w:type="spellEnd"/>
      <w:r w:rsidRPr="2F325544" w:rsidR="4418F60A">
        <w:rPr>
          <w:i w:val="1"/>
          <w:iCs w:val="1"/>
          <w:noProof w:val="0"/>
          <w:lang w:val="en-US"/>
        </w:rPr>
        <w:t xml:space="preserve"> preprint arXiv:1101.5613</w:t>
      </w:r>
      <w:r w:rsidRPr="2F325544" w:rsidR="4418F60A">
        <w:rPr>
          <w:noProof w:val="0"/>
          <w:lang w:val="en-US"/>
        </w:rPr>
        <w:t>.</w:t>
      </w:r>
    </w:p>
    <w:p w:rsidR="4418F60A" w:rsidP="2F325544" w:rsidRDefault="4418F60A" w14:paraId="5EEF5D59" w14:textId="00480467">
      <w:pPr>
        <w:pStyle w:val="ListParagraph"/>
        <w:numPr>
          <w:ilvl w:val="3"/>
          <w:numId w:val="3"/>
        </w:numPr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u w:val="none"/>
        </w:rPr>
      </w:pPr>
      <w:proofErr w:type="spellStart"/>
      <w:r w:rsidRPr="2F325544" w:rsidR="4418F60A">
        <w:rPr>
          <w:noProof w:val="0"/>
          <w:lang w:val="en-US"/>
        </w:rPr>
        <w:t>Dahbur</w:t>
      </w:r>
      <w:proofErr w:type="spellEnd"/>
      <w:r w:rsidRPr="2F325544" w:rsidR="4418F60A">
        <w:rPr>
          <w:noProof w:val="0"/>
          <w:lang w:val="en-US"/>
        </w:rPr>
        <w:t xml:space="preserve">, K., Mohammad, B., &amp; </w:t>
      </w:r>
      <w:proofErr w:type="spellStart"/>
      <w:r w:rsidRPr="2F325544" w:rsidR="4418F60A">
        <w:rPr>
          <w:noProof w:val="0"/>
          <w:lang w:val="en-US"/>
        </w:rPr>
        <w:t>Tarakji</w:t>
      </w:r>
      <w:proofErr w:type="spellEnd"/>
      <w:r w:rsidRPr="2F325544" w:rsidR="4418F60A">
        <w:rPr>
          <w:noProof w:val="0"/>
          <w:lang w:val="en-US"/>
        </w:rPr>
        <w:t xml:space="preserve">, A. B. (2011, April). A survey of risks, </w:t>
      </w:r>
      <w:r w:rsidRPr="2F325544" w:rsidR="4418F60A">
        <w:rPr>
          <w:noProof w:val="0"/>
          <w:lang w:val="en-US"/>
        </w:rPr>
        <w:t>threats</w:t>
      </w:r>
      <w:r w:rsidRPr="2F325544" w:rsidR="4418F60A">
        <w:rPr>
          <w:noProof w:val="0"/>
          <w:lang w:val="en-US"/>
        </w:rPr>
        <w:t xml:space="preserve"> and vulnerabilities in cloud computing. In </w:t>
      </w:r>
      <w:r w:rsidRPr="2F325544" w:rsidR="4418F60A">
        <w:rPr>
          <w:i w:val="1"/>
          <w:iCs w:val="1"/>
          <w:noProof w:val="0"/>
          <w:lang w:val="en-US"/>
        </w:rPr>
        <w:t>Proceedings of the 2011 International conference on intelligent semantic Web-services and applications</w:t>
      </w:r>
      <w:r w:rsidRPr="2F325544" w:rsidR="4418F60A">
        <w:rPr>
          <w:noProof w:val="0"/>
          <w:lang w:val="en-US"/>
        </w:rPr>
        <w:t xml:space="preserve"> (pp. 1-6).</w:t>
      </w:r>
    </w:p>
    <w:p w:rsidR="0B415218" w:rsidP="2F325544" w:rsidRDefault="0B415218" w14:paraId="0C88C68C" w14:textId="2A72672C">
      <w:pPr>
        <w:pStyle w:val="ListParagraph"/>
        <w:numPr>
          <w:ilvl w:val="3"/>
          <w:numId w:val="3"/>
        </w:numPr>
        <w:jc w:val="left"/>
        <w:rPr>
          <w:sz w:val="22"/>
          <w:szCs w:val="22"/>
          <w:u w:val="none"/>
        </w:rPr>
      </w:pPr>
      <w:r w:rsidRPr="2F325544" w:rsidR="0B415218">
        <w:rPr>
          <w:noProof w:val="0"/>
          <w:lang w:val="en-US"/>
        </w:rPr>
        <w:t xml:space="preserve">Dutta, A., Peng, G. C. A., &amp; Choudhary, A. (2013). Risks in enterprise cloud computing: the perspective of </w:t>
      </w:r>
      <w:r w:rsidRPr="2F325544" w:rsidR="0B415218">
        <w:rPr>
          <w:noProof w:val="0"/>
          <w:lang w:val="en-US"/>
        </w:rPr>
        <w:t>IT</w:t>
      </w:r>
      <w:r w:rsidRPr="2F325544" w:rsidR="0B415218">
        <w:rPr>
          <w:noProof w:val="0"/>
          <w:lang w:val="en-US"/>
        </w:rPr>
        <w:t xml:space="preserve"> experts. </w:t>
      </w:r>
      <w:r w:rsidRPr="2F325544" w:rsidR="0B415218">
        <w:rPr>
          <w:i w:val="1"/>
          <w:iCs w:val="1"/>
          <w:noProof w:val="0"/>
          <w:lang w:val="en-US"/>
        </w:rPr>
        <w:t>Journal of Computer Information Systems</w:t>
      </w:r>
      <w:r w:rsidRPr="2F325544" w:rsidR="0B415218">
        <w:rPr>
          <w:noProof w:val="0"/>
          <w:lang w:val="en-US"/>
        </w:rPr>
        <w:t xml:space="preserve">, </w:t>
      </w:r>
      <w:r w:rsidRPr="2F325544" w:rsidR="0B415218">
        <w:rPr>
          <w:i w:val="1"/>
          <w:iCs w:val="1"/>
          <w:noProof w:val="0"/>
          <w:lang w:val="en-US"/>
        </w:rPr>
        <w:t>53</w:t>
      </w:r>
      <w:r w:rsidRPr="2F325544" w:rsidR="0B415218">
        <w:rPr>
          <w:noProof w:val="0"/>
          <w:lang w:val="en-US"/>
        </w:rPr>
        <w:t>(4), 39-48.</w:t>
      </w:r>
    </w:p>
    <w:p w:rsidR="4544C812" w:rsidP="2F325544" w:rsidRDefault="4544C812" w14:paraId="22FFE091" w14:textId="4B373FCA">
      <w:pPr>
        <w:pStyle w:val="ListParagraph"/>
        <w:numPr>
          <w:ilvl w:val="0"/>
          <w:numId w:val="3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u w:val="none"/>
        </w:rPr>
      </w:pPr>
      <w:r w:rsidR="4544C812">
        <w:rPr>
          <w:u w:val="none"/>
        </w:rPr>
        <w:t xml:space="preserve">How does a business moderate the effects of environmental </w:t>
      </w:r>
      <w:r w:rsidR="2E9E8D38">
        <w:rPr>
          <w:u w:val="none"/>
        </w:rPr>
        <w:t>uncertainty within</w:t>
      </w:r>
      <w:r w:rsidR="4544C812">
        <w:rPr>
          <w:u w:val="none"/>
        </w:rPr>
        <w:t xml:space="preserve"> its supply chain</w:t>
      </w:r>
      <w:r w:rsidR="12453594">
        <w:rPr>
          <w:u w:val="none"/>
        </w:rPr>
        <w:t>?</w:t>
      </w:r>
    </w:p>
    <w:p w:rsidR="78D936A2" w:rsidP="2F325544" w:rsidRDefault="78D936A2" w14:paraId="732AA89A" w14:textId="07AB86F6">
      <w:pPr>
        <w:pStyle w:val="ListParagraph"/>
        <w:numPr>
          <w:ilvl w:val="1"/>
          <w:numId w:val="3"/>
        </w:numPr>
        <w:bidi w:val="0"/>
        <w:spacing w:before="0" w:beforeAutospacing="off" w:after="0" w:afterAutospacing="off" w:line="259" w:lineRule="auto"/>
        <w:ind w:right="0"/>
        <w:jc w:val="left"/>
        <w:rPr>
          <w:sz w:val="22"/>
          <w:szCs w:val="22"/>
          <w:u w:val="none"/>
        </w:rPr>
      </w:pPr>
      <w:r w:rsidR="78D936A2">
        <w:rPr>
          <w:u w:val="none"/>
        </w:rPr>
        <w:t xml:space="preserve">Within the last couple of </w:t>
      </w:r>
      <w:r w:rsidR="4AC62BE3">
        <w:rPr>
          <w:u w:val="none"/>
        </w:rPr>
        <w:t>years,</w:t>
      </w:r>
      <w:r w:rsidR="370822CC">
        <w:rPr>
          <w:u w:val="none"/>
        </w:rPr>
        <w:t xml:space="preserve"> we have</w:t>
      </w:r>
      <w:r w:rsidR="78D936A2">
        <w:rPr>
          <w:u w:val="none"/>
        </w:rPr>
        <w:t xml:space="preserve"> seen the effects of environmental uncertainty </w:t>
      </w:r>
      <w:r w:rsidR="3CEA870E">
        <w:rPr>
          <w:u w:val="none"/>
        </w:rPr>
        <w:t>a</w:t>
      </w:r>
      <w:r w:rsidR="78D936A2">
        <w:rPr>
          <w:u w:val="none"/>
        </w:rPr>
        <w:t>ffect</w:t>
      </w:r>
      <w:r w:rsidR="272F66A5">
        <w:rPr>
          <w:u w:val="none"/>
        </w:rPr>
        <w:t>ing</w:t>
      </w:r>
      <w:r w:rsidR="78D936A2">
        <w:rPr>
          <w:u w:val="none"/>
        </w:rPr>
        <w:t xml:space="preserve"> ma</w:t>
      </w:r>
      <w:r w:rsidR="7C95ABF0">
        <w:rPr>
          <w:u w:val="none"/>
        </w:rPr>
        <w:t>n</w:t>
      </w:r>
      <w:r w:rsidR="78D936A2">
        <w:rPr>
          <w:u w:val="none"/>
        </w:rPr>
        <w:t>y businesses, whether that be in the meat section of the grocery store, the</w:t>
      </w:r>
      <w:r w:rsidR="0D3DC964">
        <w:rPr>
          <w:u w:val="none"/>
        </w:rPr>
        <w:t xml:space="preserve"> automobile industry, or even the </w:t>
      </w:r>
      <w:r w:rsidR="190291E8">
        <w:rPr>
          <w:u w:val="none"/>
        </w:rPr>
        <w:t xml:space="preserve">housing market. While the ability to predict the future and stockpile </w:t>
      </w:r>
      <w:r w:rsidR="48FB626E">
        <w:rPr>
          <w:u w:val="none"/>
        </w:rPr>
        <w:t>inventory ahead of time is out of the question</w:t>
      </w:r>
      <w:r w:rsidR="714002DB">
        <w:rPr>
          <w:u w:val="none"/>
        </w:rPr>
        <w:t xml:space="preserve">, a business can </w:t>
      </w:r>
      <w:r w:rsidR="36619922">
        <w:rPr>
          <w:u w:val="none"/>
        </w:rPr>
        <w:t>position itself to mitigate the impact this uncertainty can have on business objectives</w:t>
      </w:r>
      <w:r w:rsidR="36619922">
        <w:rPr>
          <w:u w:val="none"/>
        </w:rPr>
        <w:t xml:space="preserve">.  </w:t>
      </w:r>
    </w:p>
    <w:p w:rsidR="36EF19B2" w:rsidP="2F325544" w:rsidRDefault="36EF19B2" w14:paraId="6A915ABF" w14:textId="51EE3467">
      <w:pPr>
        <w:pStyle w:val="ListParagraph"/>
        <w:numPr>
          <w:ilvl w:val="1"/>
          <w:numId w:val="3"/>
        </w:numPr>
        <w:bidi w:val="0"/>
        <w:spacing w:before="0" w:beforeAutospacing="off" w:after="0" w:afterAutospacing="off" w:line="259" w:lineRule="auto"/>
        <w:ind w:right="0"/>
        <w:jc w:val="left"/>
        <w:rPr>
          <w:sz w:val="22"/>
          <w:szCs w:val="22"/>
          <w:u w:val="none"/>
        </w:rPr>
      </w:pPr>
      <w:r w:rsidR="36EF19B2">
        <w:rPr>
          <w:u w:val="none"/>
        </w:rPr>
        <w:t>Sources:</w:t>
      </w:r>
    </w:p>
    <w:p w:rsidR="36EF19B2" w:rsidP="2F325544" w:rsidRDefault="36EF19B2" w14:paraId="4B6769F1" w14:textId="703B699E">
      <w:pPr>
        <w:pStyle w:val="ListParagraph"/>
        <w:numPr>
          <w:ilvl w:val="2"/>
          <w:numId w:val="3"/>
        </w:numPr>
        <w:bidi w:val="0"/>
        <w:spacing w:before="0" w:beforeAutospacing="off" w:after="0" w:afterAutospacing="off" w:line="259" w:lineRule="auto"/>
        <w:ind w:right="0"/>
        <w:jc w:val="left"/>
        <w:rPr>
          <w:noProof w:val="0"/>
          <w:sz w:val="22"/>
          <w:szCs w:val="22"/>
          <w:lang w:val="en-US"/>
        </w:rPr>
      </w:pPr>
      <w:proofErr w:type="spellStart"/>
      <w:r w:rsidRPr="2F325544" w:rsidR="36EF19B2">
        <w:rPr>
          <w:noProof w:val="0"/>
          <w:lang w:val="en-US"/>
        </w:rPr>
        <w:t>Jangga</w:t>
      </w:r>
      <w:proofErr w:type="spellEnd"/>
      <w:r w:rsidRPr="2F325544" w:rsidR="36EF19B2">
        <w:rPr>
          <w:noProof w:val="0"/>
          <w:lang w:val="en-US"/>
        </w:rPr>
        <w:t xml:space="preserve">, R., Ali, N. M., Ismail, M., &amp; Sahari, N. (2015). Effect of environmental uncertainty and supply chain flexibility towards supply chain innovation: An exploratory study. </w:t>
      </w:r>
      <w:r w:rsidRPr="2F325544" w:rsidR="36EF19B2">
        <w:rPr>
          <w:i w:val="1"/>
          <w:iCs w:val="1"/>
          <w:noProof w:val="0"/>
          <w:lang w:val="en-US"/>
        </w:rPr>
        <w:t>Procedia Economics and Finance</w:t>
      </w:r>
      <w:r w:rsidRPr="2F325544" w:rsidR="36EF19B2">
        <w:rPr>
          <w:noProof w:val="0"/>
          <w:lang w:val="en-US"/>
        </w:rPr>
        <w:t xml:space="preserve">, </w:t>
      </w:r>
      <w:r w:rsidRPr="2F325544" w:rsidR="36EF19B2">
        <w:rPr>
          <w:i w:val="1"/>
          <w:iCs w:val="1"/>
          <w:noProof w:val="0"/>
          <w:lang w:val="en-US"/>
        </w:rPr>
        <w:t>31</w:t>
      </w:r>
      <w:r w:rsidRPr="2F325544" w:rsidR="36EF19B2">
        <w:rPr>
          <w:noProof w:val="0"/>
          <w:lang w:val="en-US"/>
        </w:rPr>
        <w:t>, 262-268.</w:t>
      </w:r>
    </w:p>
    <w:p w:rsidR="36EF19B2" w:rsidP="2F325544" w:rsidRDefault="36EF19B2" w14:paraId="2A8F87E1" w14:textId="1A28095D">
      <w:pPr>
        <w:pStyle w:val="ListParagraph"/>
        <w:numPr>
          <w:ilvl w:val="2"/>
          <w:numId w:val="3"/>
        </w:numPr>
        <w:bidi w:val="0"/>
        <w:spacing w:before="0" w:beforeAutospacing="off" w:after="0" w:afterAutospacing="off" w:line="259" w:lineRule="auto"/>
        <w:ind w:right="0"/>
        <w:jc w:val="left"/>
        <w:rPr>
          <w:sz w:val="22"/>
          <w:szCs w:val="22"/>
          <w:u w:val="none"/>
        </w:rPr>
      </w:pPr>
      <w:r w:rsidRPr="2F325544" w:rsidR="36EF19B2">
        <w:rPr>
          <w:noProof w:val="0"/>
          <w:lang w:val="en-US"/>
        </w:rPr>
        <w:t xml:space="preserve">Srinivasan, M., Mukherjee, D., &amp; Gaur, A. S. (2011). Buyer–supplier partnership quality and supply chain performance: Moderating role of risks, and environmental uncertainty. </w:t>
      </w:r>
      <w:r w:rsidRPr="2F325544" w:rsidR="36EF19B2">
        <w:rPr>
          <w:i w:val="1"/>
          <w:iCs w:val="1"/>
          <w:noProof w:val="0"/>
          <w:lang w:val="en-US"/>
        </w:rPr>
        <w:t>European Management Journal</w:t>
      </w:r>
      <w:r w:rsidRPr="2F325544" w:rsidR="36EF19B2">
        <w:rPr>
          <w:noProof w:val="0"/>
          <w:lang w:val="en-US"/>
        </w:rPr>
        <w:t xml:space="preserve">, </w:t>
      </w:r>
      <w:r w:rsidRPr="2F325544" w:rsidR="36EF19B2">
        <w:rPr>
          <w:i w:val="1"/>
          <w:iCs w:val="1"/>
          <w:noProof w:val="0"/>
          <w:lang w:val="en-US"/>
        </w:rPr>
        <w:t>29</w:t>
      </w:r>
      <w:r w:rsidRPr="2F325544" w:rsidR="36EF19B2">
        <w:rPr>
          <w:noProof w:val="0"/>
          <w:lang w:val="en-US"/>
        </w:rPr>
        <w:t>(4), 260-271.</w:t>
      </w:r>
    </w:p>
    <w:p w:rsidR="36EF19B2" w:rsidP="2F325544" w:rsidRDefault="36EF19B2" w14:paraId="795949FC" w14:textId="516475DC">
      <w:pPr>
        <w:pStyle w:val="ListParagraph"/>
        <w:numPr>
          <w:ilvl w:val="2"/>
          <w:numId w:val="3"/>
        </w:numPr>
        <w:bidi w:val="0"/>
        <w:spacing w:before="0" w:beforeAutospacing="off" w:after="0" w:afterAutospacing="off" w:line="259" w:lineRule="auto"/>
        <w:ind w:right="0"/>
        <w:jc w:val="left"/>
        <w:rPr>
          <w:sz w:val="22"/>
          <w:szCs w:val="22"/>
          <w:u w:val="none"/>
        </w:rPr>
      </w:pPr>
      <w:r w:rsidRPr="2F325544" w:rsidR="36EF19B2">
        <w:rPr>
          <w:noProof w:val="0"/>
          <w:lang w:val="en-US"/>
        </w:rPr>
        <w:t xml:space="preserve">Wong, C. Y., Boon-Itt, S., &amp; Wong, C. W. (2011). The contingency effects of environmental uncertainty on the relationship between supply chain integration and operational performance. </w:t>
      </w:r>
      <w:r w:rsidRPr="2F325544" w:rsidR="36EF19B2">
        <w:rPr>
          <w:i w:val="1"/>
          <w:iCs w:val="1"/>
          <w:noProof w:val="0"/>
          <w:lang w:val="en-US"/>
        </w:rPr>
        <w:t>Journal of Operations management</w:t>
      </w:r>
      <w:r w:rsidRPr="2F325544" w:rsidR="36EF19B2">
        <w:rPr>
          <w:noProof w:val="0"/>
          <w:lang w:val="en-US"/>
        </w:rPr>
        <w:t xml:space="preserve">, </w:t>
      </w:r>
      <w:r w:rsidRPr="2F325544" w:rsidR="36EF19B2">
        <w:rPr>
          <w:i w:val="1"/>
          <w:iCs w:val="1"/>
          <w:noProof w:val="0"/>
          <w:lang w:val="en-US"/>
        </w:rPr>
        <w:t>29</w:t>
      </w:r>
      <w:r w:rsidRPr="2F325544" w:rsidR="36EF19B2">
        <w:rPr>
          <w:noProof w:val="0"/>
          <w:lang w:val="en-US"/>
        </w:rPr>
        <w:t>(6), 604-615.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3A93DC0"/>
    <w:rsid w:val="003C91A9"/>
    <w:rsid w:val="00B3505C"/>
    <w:rsid w:val="053765F7"/>
    <w:rsid w:val="07096983"/>
    <w:rsid w:val="07BCF04C"/>
    <w:rsid w:val="0B415218"/>
    <w:rsid w:val="0D3DC964"/>
    <w:rsid w:val="0ECD596A"/>
    <w:rsid w:val="10B04BC9"/>
    <w:rsid w:val="12453594"/>
    <w:rsid w:val="13A93DC0"/>
    <w:rsid w:val="151CADC2"/>
    <w:rsid w:val="153C9AEE"/>
    <w:rsid w:val="179B8E79"/>
    <w:rsid w:val="18E42D4B"/>
    <w:rsid w:val="190291E8"/>
    <w:rsid w:val="191E1C51"/>
    <w:rsid w:val="19CCA9B4"/>
    <w:rsid w:val="1A8881AF"/>
    <w:rsid w:val="1C245210"/>
    <w:rsid w:val="1DC02271"/>
    <w:rsid w:val="212D504B"/>
    <w:rsid w:val="22939394"/>
    <w:rsid w:val="22A9B0FC"/>
    <w:rsid w:val="232EBDC1"/>
    <w:rsid w:val="238713DB"/>
    <w:rsid w:val="2464F10D"/>
    <w:rsid w:val="2588A5DF"/>
    <w:rsid w:val="2600C16E"/>
    <w:rsid w:val="272F66A5"/>
    <w:rsid w:val="2E6F821A"/>
    <w:rsid w:val="2E9E8D38"/>
    <w:rsid w:val="2F325544"/>
    <w:rsid w:val="33356A7D"/>
    <w:rsid w:val="34A28EDD"/>
    <w:rsid w:val="35EBA01A"/>
    <w:rsid w:val="36001ABB"/>
    <w:rsid w:val="36619922"/>
    <w:rsid w:val="36EF19B2"/>
    <w:rsid w:val="370822CC"/>
    <w:rsid w:val="37EBA69C"/>
    <w:rsid w:val="390AEFD1"/>
    <w:rsid w:val="39F39378"/>
    <w:rsid w:val="3B65FDBF"/>
    <w:rsid w:val="3C865892"/>
    <w:rsid w:val="3CEA870E"/>
    <w:rsid w:val="40227194"/>
    <w:rsid w:val="41BC16E6"/>
    <w:rsid w:val="42D37E77"/>
    <w:rsid w:val="42E42D69"/>
    <w:rsid w:val="4390E2A0"/>
    <w:rsid w:val="43DC4B28"/>
    <w:rsid w:val="4418F60A"/>
    <w:rsid w:val="4544C812"/>
    <w:rsid w:val="46618E68"/>
    <w:rsid w:val="48FB626E"/>
    <w:rsid w:val="4AC62BE3"/>
    <w:rsid w:val="528DAEFF"/>
    <w:rsid w:val="52C9F4FE"/>
    <w:rsid w:val="56AFC468"/>
    <w:rsid w:val="57524CC8"/>
    <w:rsid w:val="57B5A960"/>
    <w:rsid w:val="58EE1D29"/>
    <w:rsid w:val="59C55C26"/>
    <w:rsid w:val="5A89ED8A"/>
    <w:rsid w:val="5D4640F7"/>
    <w:rsid w:val="5DC18E4C"/>
    <w:rsid w:val="5F83AFD0"/>
    <w:rsid w:val="60F92F0E"/>
    <w:rsid w:val="665BEAE4"/>
    <w:rsid w:val="689E9046"/>
    <w:rsid w:val="6D254FA5"/>
    <w:rsid w:val="6DE21190"/>
    <w:rsid w:val="6F467199"/>
    <w:rsid w:val="714002DB"/>
    <w:rsid w:val="714539FF"/>
    <w:rsid w:val="716EA019"/>
    <w:rsid w:val="71A42D31"/>
    <w:rsid w:val="72298FF8"/>
    <w:rsid w:val="7618AB22"/>
    <w:rsid w:val="77B748A2"/>
    <w:rsid w:val="78D936A2"/>
    <w:rsid w:val="7C95ABF0"/>
    <w:rsid w:val="7F477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A93DC0"/>
  <w15:chartTrackingRefBased/>
  <w15:docId w15:val="{4C15787E-F890-4104-9127-0D137F7C655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8b3db4a91e2c4c4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2022-01-15T13:47:11.9047196Z</dcterms:created>
  <dcterms:modified xsi:type="dcterms:W3CDTF">2022-01-15T14:40:13.3103025Z</dcterms:modified>
  <dc:creator>Koenig, Thaddeus</dc:creator>
  <lastModifiedBy>Koenig, Thaddeus</lastModifiedBy>
</coreProperties>
</file>