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Tox Network Capital</w:t>
      </w:r>
    </w:p>
    <w:p>
      <w:pPr>
        <w:jc w:val="center"/>
      </w:pPr>
      <w:r>
        <w:rPr>
          <w:rFonts w:ascii="Arial" w:hAnsi="Arial"/>
          <w:b/>
          <w:sz w:val="24"/>
        </w:rPr>
        <w:t>Global Vision. Strategic Capital. Lasting Impact.</w:t>
      </w:r>
    </w:p>
    <w:p>
      <w:pPr>
        <w:spacing w:after="180"/>
      </w:pPr>
      <w:r>
        <w:t>Tox Network Capital is a privately held family office focused on enhancing financial capabilities, creating long-term value, and developing strategic opportunities across global markets.</w:t>
      </w:r>
    </w:p>
    <w:p>
      <w:pPr>
        <w:spacing w:after="180"/>
      </w:pPr>
      <w:r>
        <w:t>Our interests span private investments, financial services, banking relationships, humanitarian initiatives, infrastructure development, commodities, and historic and alternative assets. We work with a global network of professionals, institutions, asset owners, developers, and strategic partners to identify and structure opportunities designed for sustainable growth and generational value.</w:t>
      </w:r>
    </w:p>
    <w:p>
      <w:pPr>
        <w:spacing w:after="180"/>
      </w:pPr>
      <w:r>
        <w:t>Our approach brings together capital, relationships, innovation, and strategic execution. From infrastructure and humanitarian projects to commodities and alternative asset opportunities, Tox Network Capital seeks to participate in transactions and initiatives capable of creating meaningful economic and social impact.</w:t>
      </w:r>
    </w:p>
    <w:p>
      <w:pPr>
        <w:spacing w:after="180"/>
      </w:pPr>
      <w:r>
        <w:t>As a family office, we maintain a long-term perspective. We believe successful capital management goes beyond individual transactions—it is about building relationships, protecting value, creating opportunities, and establishing a financial legacy for future generations.</w:t>
      </w:r>
    </w:p>
    <w:p>
      <w:r>
        <w:rPr>
          <w:b/>
          <w:sz w:val="32"/>
        </w:rPr>
        <w:t>Our Focus</w:t>
      </w:r>
    </w:p>
    <w:p>
      <w:pPr>
        <w:spacing w:after="40"/>
      </w:pPr>
      <w:r>
        <w:rPr>
          <w:b/>
        </w:rPr>
        <w:t>Private Capital &amp; Investments</w:t>
      </w:r>
    </w:p>
    <w:p>
      <w:pPr>
        <w:spacing w:after="140"/>
      </w:pPr>
      <w:r>
        <w:t>Identifying and evaluating strategic investment opportunities across domestic and international markets.</w:t>
      </w:r>
    </w:p>
    <w:p>
      <w:pPr>
        <w:spacing w:after="40"/>
      </w:pPr>
      <w:r>
        <w:rPr>
          <w:b/>
        </w:rPr>
        <w:t>Infrastructure &amp; Development</w:t>
      </w:r>
    </w:p>
    <w:p>
      <w:pPr>
        <w:spacing w:after="140"/>
      </w:pPr>
      <w:r>
        <w:t>Supporting projects designed to strengthen communities, economies, and long-term development.</w:t>
      </w:r>
    </w:p>
    <w:p>
      <w:pPr>
        <w:spacing w:after="40"/>
      </w:pPr>
      <w:r>
        <w:rPr>
          <w:b/>
        </w:rPr>
        <w:t>Humanitarian Initiatives</w:t>
      </w:r>
    </w:p>
    <w:p>
      <w:pPr>
        <w:spacing w:after="140"/>
      </w:pPr>
      <w:r>
        <w:t>Exploring responsible capital solutions and partnerships that can contribute to meaningful humanitarian impact.</w:t>
      </w:r>
    </w:p>
    <w:p>
      <w:pPr>
        <w:spacing w:after="40"/>
      </w:pPr>
      <w:r>
        <w:rPr>
          <w:b/>
        </w:rPr>
        <w:t>Commodities &amp; Alternative Assets</w:t>
      </w:r>
    </w:p>
    <w:p>
      <w:pPr>
        <w:spacing w:after="140"/>
      </w:pPr>
      <w:r>
        <w:t>Evaluating opportunities involving commodities, tangible assets, historic assets, and other alternative asset classes.</w:t>
      </w:r>
    </w:p>
    <w:p>
      <w:pPr>
        <w:spacing w:after="40"/>
      </w:pPr>
      <w:r>
        <w:rPr>
          <w:b/>
        </w:rPr>
        <w:t>Global Financial Relationships</w:t>
      </w:r>
    </w:p>
    <w:p>
      <w:pPr>
        <w:spacing w:after="140"/>
      </w:pPr>
      <w:r>
        <w:t>Developing strategic relationships with financial professionals, institutions, family offices, asset owners, and international partners.</w:t>
      </w:r>
    </w:p>
    <w:p>
      <w:r>
        <w:rPr>
          <w:b/>
          <w:sz w:val="32"/>
        </w:rPr>
        <w:t>Our Mission</w:t>
      </w:r>
    </w:p>
    <w:p>
      <w:pPr>
        <w:spacing w:after="280"/>
      </w:pPr>
      <w:r>
        <w:t>Our mission is to connect capital with opportunity and purpose—building a global platform that supports wealth creation, responsible investment, humanitarian progress, and sustainable development.</w:t>
      </w:r>
    </w:p>
    <w:p>
      <w:pPr>
        <w:jc w:val="center"/>
      </w:pPr>
      <w:r>
        <w:rPr>
          <w:b/>
        </w:rPr>
        <w:t>Tox Network Capital — Building Capital. Creating Opportunity. Developing Legacy.</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