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B488F8">
      <w:pPr>
        <w:jc w:val="center"/>
        <w:outlineLvl w:val="0"/>
      </w:pPr>
      <w:r>
        <w:rPr>
          <w:rFonts w:ascii="黑体" w:hAnsi="黑体" w:eastAsia="黑体"/>
          <w:b/>
          <w:sz w:val="36"/>
        </w:rPr>
        <w:t>第一部分 国网新疆昌吉供电公司220kV奇台等19座变电站防火墙特征库升级技术方案</w:t>
      </w:r>
    </w:p>
    <w:p w14:paraId="07992962">
      <w:r>
        <w:br w:type="page"/>
      </w:r>
    </w:p>
    <w:p w14:paraId="10C73958">
      <w:pPr>
        <w:pStyle w:val="4"/>
        <w:outlineLvl w:val="1"/>
      </w:pPr>
      <w:r>
        <w:rPr>
          <w:rFonts w:ascii="黑体" w:hAnsi="黑体" w:eastAsia="黑体"/>
          <w:b/>
        </w:rPr>
        <w:t>一、对项目的理解</w:t>
      </w:r>
    </w:p>
    <w:p w14:paraId="24618388">
      <w:pPr>
        <w:spacing w:line="360" w:lineRule="auto"/>
        <w:ind w:firstLine="480"/>
      </w:pPr>
      <w:r>
        <w:rPr>
          <w:rFonts w:ascii="宋体" w:hAnsi="宋体" w:eastAsia="宋体"/>
          <w:b w:val="0"/>
          <w:sz w:val="24"/>
        </w:rPr>
        <w:t>本项目为国网新疆昌吉供电公司220kV奇台等19座变电站防火墙特征库升级项目。项目旨在对昌吉供电公司所辖19座变电站共计38台防火墙设备的防病毒特征库和IDS入侵检测规则库进行离线升级，确保各站网络安全防护设备的特征库版本满足Q/GDW 11807-2024《电力监控系统网络安全特征库管理规范》的要求，即特征库版本与当前最新版本的时间差不超过6个月，全面提升变电站网络安全防护能力。</w:t>
      </w:r>
    </w:p>
    <w:p w14:paraId="7E609794">
      <w:pPr>
        <w:spacing w:line="360" w:lineRule="auto"/>
        <w:ind w:firstLine="480"/>
      </w:pPr>
      <w:r>
        <w:rPr>
          <w:rFonts w:ascii="宋体" w:hAnsi="宋体" w:eastAsia="宋体"/>
          <w:b w:val="0"/>
          <w:sz w:val="24"/>
        </w:rPr>
        <w:t>电力监控系统作为电网安全稳定运行的核心支撑系统，其网络安全防护水平直接关系到电网的安全可靠运行。防火墙特征库是网络安全防护体系的重要组成部分，通过持续更新病毒特征库和入侵检测规则库，可以有效识别和防御最新的网络安全威胁，保障电力监控系统免受恶意攻击和病毒侵害。随着网络安全威胁的日益复杂化和多样化，及时更新防护特征库已成为保障电力系统网络安全的基本要求。</w:t>
      </w:r>
    </w:p>
    <w:p w14:paraId="6C18EE2F">
      <w:pPr>
        <w:spacing w:line="360" w:lineRule="auto"/>
        <w:ind w:firstLine="480"/>
      </w:pPr>
      <w:r>
        <w:rPr>
          <w:rFonts w:ascii="宋体" w:hAnsi="宋体" w:eastAsia="宋体"/>
          <w:b w:val="0"/>
          <w:sz w:val="24"/>
        </w:rPr>
        <w:t>本项目涉及的19座变电站分布在昌吉回族自治州辖区范围内，包括彩北开关站、彩虹变、彩霞变、昌吉变、阜东变、呼图壁工业园变、火烧岩变、吉木萨尔变、锦华变、凯旋变、乐土驿变、宁州户变、奇台变、石钱滩变、兴盛变、幸福变、瑶池变、长宁变、昭阳变。每座变电站部署2台防火墙设备，共计38台防火墙需要进行特征库升级。根据项目要求，每年需完成2次升级，确保特征库持续处于有效防护状态。</w:t>
      </w:r>
    </w:p>
    <w:p w14:paraId="1A430AF7">
      <w:pPr>
        <w:spacing w:line="360" w:lineRule="auto"/>
        <w:ind w:firstLine="480"/>
      </w:pPr>
      <w:r>
        <w:rPr>
          <w:rFonts w:ascii="宋体" w:hAnsi="宋体" w:eastAsia="宋体"/>
          <w:b w:val="0"/>
          <w:sz w:val="24"/>
        </w:rPr>
        <w:t>我们充分理解本项目的核心要求：在不影响变电站正常运行的前提下，采用离线方式对38台防火墙的防病毒特征库和IDS规则库进行安全、高效的升级操作。升级过程中需严格遵守电力监控系统安全防护相关规定，确保升级操作不影响设备正常功能，不造成网络中断或业务异常。同时，需做好升级前的配置备份、升级后的功能验证和文档归档工作，确保全过程可追溯、可回退。</w:t>
      </w:r>
    </w:p>
    <w:p w14:paraId="21D3CDDF">
      <w:pPr>
        <w:spacing w:line="360" w:lineRule="auto"/>
        <w:ind w:firstLine="480"/>
      </w:pPr>
      <w:r>
        <w:rPr>
          <w:rFonts w:ascii="宋体" w:hAnsi="宋体" w:eastAsia="宋体"/>
          <w:b w:val="0"/>
          <w:sz w:val="24"/>
        </w:rPr>
        <w:t>作为专业的电力网络安全技术服务团队，我们具备丰富的变电站网络安全设备运维和升级经验，熟悉各类防火墙设备的操作流程和技术特点，能够确保升级工作安全、高效、规范地完成。我们将严格按照国家电网公司网络安全管理要求和项目技术规范书的各项规定，精心组织实施每一次升级任务，确保19座变电站的网络安全防护水平持续满足标准要求。</w:t>
      </w:r>
    </w:p>
    <w:p w14:paraId="414F820C">
      <w:pPr>
        <w:pStyle w:val="4"/>
      </w:pPr>
      <w:r>
        <w:rPr>
          <w:rFonts w:ascii="黑体" w:hAnsi="黑体" w:eastAsia="黑体"/>
          <w:b/>
        </w:rPr>
        <w:t>二、项目背景</w:t>
      </w:r>
    </w:p>
    <w:p w14:paraId="116F0EC9">
      <w:pPr>
        <w:pStyle w:val="5"/>
      </w:pPr>
      <w:r>
        <w:rPr>
          <w:rFonts w:ascii="黑体" w:hAnsi="黑体" w:eastAsia="黑体"/>
          <w:b/>
        </w:rPr>
        <w:t>2.1 网络安全形势分析</w:t>
      </w:r>
    </w:p>
    <w:p w14:paraId="08AB5B32">
      <w:pPr>
        <w:spacing w:line="360" w:lineRule="auto"/>
        <w:ind w:firstLine="480"/>
      </w:pPr>
      <w:r>
        <w:rPr>
          <w:rFonts w:ascii="宋体" w:hAnsi="宋体" w:eastAsia="宋体"/>
          <w:b w:val="0"/>
          <w:sz w:val="24"/>
        </w:rPr>
        <w:t>当前，全球网络安全形势日趋严峻复杂。针对关键信息基础设施的高级持续性威胁（APT）攻击、勒索病毒攻击、供应链攻击等新型网络攻击手段层出不穷，攻击频率和危害程度持续升级。电力系统作为国家关键信息基础设施的重要组成部分，面临的网络安全威胁持续加剧，网络安全防护形势严峻。</w:t>
      </w:r>
    </w:p>
    <w:p w14:paraId="17A4F691">
      <w:pPr>
        <w:spacing w:line="360" w:lineRule="auto"/>
        <w:ind w:firstLine="480"/>
      </w:pPr>
      <w:r>
        <w:rPr>
          <w:rFonts w:ascii="宋体" w:hAnsi="宋体" w:eastAsia="宋体"/>
          <w:b w:val="0"/>
          <w:sz w:val="24"/>
        </w:rPr>
        <w:t>近年来，全球范围内多次发生针对电力系统的网络安全事件：2015年乌克兰电网遭受BlackEnergy恶意软件攻击导致大面积停电；2019年委内瑞拉电网遭受网络攻击导致全国性停电；2021年美国Colonial Pipeline公司遭受勒索软件攻击导致燃料供应中断。这些事件充分说明电力系统面临的网络安全威胁是现实的、紧迫的。</w:t>
      </w:r>
    </w:p>
    <w:p w14:paraId="5B5894F4">
      <w:pPr>
        <w:spacing w:line="360" w:lineRule="auto"/>
        <w:ind w:firstLine="480"/>
      </w:pPr>
      <w:r>
        <w:rPr>
          <w:rFonts w:ascii="宋体" w:hAnsi="宋体" w:eastAsia="宋体"/>
          <w:b w:val="0"/>
          <w:sz w:val="24"/>
        </w:rPr>
        <w:t>在国内，随着电力行业数字化转型的深入推进，电力监控系统与信息网络的融合程度不断加深，网络安全攻击面持续扩大。同时，新型网络攻击手段利用零日漏洞、社会工程学等技术不断演进，传统的静态防御手段已难以有效应对。只有通过持续更新安全防护特征库，才能及时识别和防御最新的安全威胁。</w:t>
      </w:r>
    </w:p>
    <w:p w14:paraId="4B382C1C">
      <w:pPr>
        <w:pStyle w:val="5"/>
      </w:pPr>
      <w:r>
        <w:rPr>
          <w:rFonts w:ascii="黑体" w:hAnsi="黑体" w:eastAsia="黑体"/>
          <w:b/>
        </w:rPr>
        <w:t>2.2 政策法规要求</w:t>
      </w:r>
    </w:p>
    <w:p w14:paraId="4B372D30">
      <w:pPr>
        <w:spacing w:line="360" w:lineRule="auto"/>
        <w:ind w:firstLine="480"/>
      </w:pPr>
      <w:r>
        <w:rPr>
          <w:rFonts w:ascii="宋体" w:hAnsi="宋体" w:eastAsia="宋体"/>
          <w:b w:val="0"/>
          <w:sz w:val="24"/>
        </w:rPr>
        <w:t>国家高度重视关键信息基础设施网络安全保护工作，先后出台了一系列法律法规和政策文件：</w:t>
      </w:r>
    </w:p>
    <w:p w14:paraId="4F32764A">
      <w:pPr>
        <w:spacing w:line="360" w:lineRule="auto"/>
        <w:ind w:firstLine="480"/>
      </w:pPr>
      <w:r>
        <w:rPr>
          <w:rFonts w:ascii="宋体" w:hAnsi="宋体" w:eastAsia="宋体"/>
          <w:b w:val="0"/>
          <w:sz w:val="24"/>
        </w:rPr>
        <w:t>（1）《中华人民共和国网络安全法》明确规定关键信息基础设施的运营者应当自行或者委托网络安全服务机构对其网络的安全性和可能存在的风险每年至少进行一次检测评估，并保障其网络免受干扰、破坏或者未经授权的访问。</w:t>
      </w:r>
    </w:p>
    <w:p w14:paraId="621ADE3A">
      <w:pPr>
        <w:spacing w:line="360" w:lineRule="auto"/>
        <w:ind w:firstLine="480"/>
      </w:pPr>
      <w:r>
        <w:rPr>
          <w:rFonts w:ascii="宋体" w:hAnsi="宋体" w:eastAsia="宋体"/>
          <w:b w:val="0"/>
          <w:sz w:val="24"/>
        </w:rPr>
        <w:t>（2）《中华人民共和国数据安全法》要求数据处理者应当加强数据安全保护，采取相应的技术措施和其他必要措施，保障数据安全。</w:t>
      </w:r>
    </w:p>
    <w:p w14:paraId="62D75B37">
      <w:pPr>
        <w:spacing w:line="360" w:lineRule="auto"/>
        <w:ind w:firstLine="480"/>
      </w:pPr>
      <w:r>
        <w:rPr>
          <w:rFonts w:ascii="宋体" w:hAnsi="宋体" w:eastAsia="宋体"/>
          <w:b w:val="0"/>
          <w:sz w:val="24"/>
        </w:rPr>
        <w:t>（3）《关键信息基础设施安全保护条例》要求关键信息基础设施运营者优先采购安全可信的网络产品和服务，并确保关键信息基础设施的安全稳定运行。</w:t>
      </w:r>
    </w:p>
    <w:p w14:paraId="1820B889">
      <w:pPr>
        <w:spacing w:line="360" w:lineRule="auto"/>
        <w:ind w:firstLine="480"/>
      </w:pPr>
      <w:r>
        <w:rPr>
          <w:rFonts w:ascii="宋体" w:hAnsi="宋体" w:eastAsia="宋体"/>
          <w:b w:val="0"/>
          <w:sz w:val="24"/>
        </w:rPr>
        <w:t>（4）《电力监控系统安全防护规定》（国家发展和改革委员会令第14号）明确了电力监控系统安全防护的总体要求和具体措施。</w:t>
      </w:r>
    </w:p>
    <w:p w14:paraId="3EAFB57A">
      <w:pPr>
        <w:spacing w:line="360" w:lineRule="auto"/>
        <w:ind w:firstLine="480"/>
      </w:pPr>
      <w:r>
        <w:rPr>
          <w:rFonts w:ascii="宋体" w:hAnsi="宋体" w:eastAsia="宋体"/>
          <w:b w:val="0"/>
          <w:sz w:val="24"/>
        </w:rPr>
        <w:t>（5）Q/GDW 11807-2024《电力监控系统网络安全特征库管理规范》是国家电网公司最新发布的企业标准，明确要求电力监控系统网络安全设备的特征库版本与当前最新版本的时间差不得超过6个月，且特征库升级应采用离线方式进行。</w:t>
      </w:r>
    </w:p>
    <w:p w14:paraId="4035B194">
      <w:pPr>
        <w:pStyle w:val="5"/>
      </w:pPr>
      <w:r>
        <w:rPr>
          <w:rFonts w:ascii="黑体" w:hAnsi="黑体" w:eastAsia="黑体"/>
          <w:b/>
        </w:rPr>
        <w:t>2.3 昌吉电网网络安全现状</w:t>
      </w:r>
    </w:p>
    <w:p w14:paraId="6C2B8570">
      <w:pPr>
        <w:spacing w:line="360" w:lineRule="auto"/>
        <w:ind w:firstLine="480"/>
      </w:pPr>
      <w:r>
        <w:rPr>
          <w:rFonts w:ascii="宋体" w:hAnsi="宋体" w:eastAsia="宋体"/>
          <w:b w:val="0"/>
          <w:sz w:val="24"/>
        </w:rPr>
        <w:t>国网新疆昌吉供电公司承担着昌吉回族自治州电力供应和电网运营的重要职责。辖区内变电站数量多、分布广，网络安全防护设备种类和数量庞大。目前，各变电站均部署了防火墙、入侵检测系统等网络安全防护设备，构建了较为完善的纵深防御体系。</w:t>
      </w:r>
    </w:p>
    <w:p w14:paraId="57D7B20E">
      <w:pPr>
        <w:spacing w:line="360" w:lineRule="auto"/>
        <w:ind w:firstLine="480"/>
      </w:pPr>
      <w:r>
        <w:rPr>
          <w:rFonts w:ascii="宋体" w:hAnsi="宋体" w:eastAsia="宋体"/>
          <w:b w:val="0"/>
          <w:sz w:val="24"/>
        </w:rPr>
        <w:t>然而，由于变电站数量多、地理位置分散，加之电力监控系统安全分区的隔离要求，防火墙特征库的更新工作存在一定困难。部分变电站的防火墙特征库版本较旧，可能无法有效识别和防御最新的网络安全威胁，存在一定的安全隐患。为此，昌吉供电公司决定对19座变电站的防火墙特征库进行系统性升级，以确保所有站点的网络安全防护设备处于最佳防护状态。</w:t>
      </w:r>
    </w:p>
    <w:p w14:paraId="5621B4EC">
      <w:pPr>
        <w:spacing w:line="360" w:lineRule="auto"/>
        <w:ind w:firstLine="480"/>
      </w:pPr>
      <w:r>
        <w:rPr>
          <w:rFonts w:ascii="宋体" w:hAnsi="宋体" w:eastAsia="宋体"/>
          <w:b w:val="0"/>
          <w:sz w:val="24"/>
        </w:rPr>
        <w:t>本次升级涉及的19座变电站均为220kV及以下电压等级的重要变电站，承担着昌吉地区电力输送和分配的关键任务。这些变电站的网络安全防护水平直接关系到昌吉电网的整体安全稳定运行，因此特征库升级工作具有重要的现实意义和紧迫性。</w:t>
      </w:r>
    </w:p>
    <w:p w14:paraId="4B5E3565">
      <w:pPr>
        <w:pStyle w:val="5"/>
      </w:pPr>
      <w:r>
        <w:rPr>
          <w:rFonts w:ascii="黑体" w:hAnsi="黑体" w:eastAsia="黑体"/>
          <w:b/>
        </w:rPr>
        <w:t>2.4 项目提出的必要性</w:t>
      </w:r>
    </w:p>
    <w:p w14:paraId="5A877C2B">
      <w:pPr>
        <w:spacing w:line="360" w:lineRule="auto"/>
        <w:ind w:firstLine="480"/>
      </w:pPr>
      <w:r>
        <w:rPr>
          <w:rFonts w:ascii="宋体" w:hAnsi="宋体" w:eastAsia="宋体"/>
          <w:b w:val="0"/>
          <w:sz w:val="24"/>
        </w:rPr>
        <w:t>基于以上背景分析，开展本项目具有以下必要性：</w:t>
      </w:r>
    </w:p>
    <w:p w14:paraId="539612B8">
      <w:pPr>
        <w:spacing w:line="360" w:lineRule="auto"/>
        <w:ind w:firstLine="480"/>
      </w:pPr>
      <w:r>
        <w:rPr>
          <w:rFonts w:ascii="宋体" w:hAnsi="宋体" w:eastAsia="宋体"/>
          <w:b w:val="0"/>
          <w:sz w:val="24"/>
        </w:rPr>
        <w:t>（1）满足标准合规要求。Q/GDW 11807-2024明确要求特征库版本时间差不超过6个月，本项目通过每年2次的升级计划，确保19座变电站防火墙特征库持续满足标准要求，避免因不合规产生安全隐患和管理风险。</w:t>
      </w:r>
    </w:p>
    <w:p w14:paraId="6E18A454">
      <w:pPr>
        <w:spacing w:line="360" w:lineRule="auto"/>
        <w:ind w:firstLine="480"/>
      </w:pPr>
      <w:r>
        <w:rPr>
          <w:rFonts w:ascii="宋体" w:hAnsi="宋体" w:eastAsia="宋体"/>
          <w:b w:val="0"/>
          <w:sz w:val="24"/>
        </w:rPr>
        <w:t>（2）应对网络安全威胁。新型病毒和攻击手段不断涌现，只有及时更新防护特征库，才能确保防火墙能够识别和阻断最新的网络攻击，有效保护电力监控系统安全。</w:t>
      </w:r>
    </w:p>
    <w:p w14:paraId="5B7ACFC4">
      <w:pPr>
        <w:spacing w:line="360" w:lineRule="auto"/>
        <w:ind w:firstLine="480"/>
      </w:pPr>
      <w:r>
        <w:rPr>
          <w:rFonts w:ascii="宋体" w:hAnsi="宋体" w:eastAsia="宋体"/>
          <w:b w:val="0"/>
          <w:sz w:val="24"/>
        </w:rPr>
        <w:t>（3）保障电网安全运行。变电站是电力系统的重要节点，其网络安全直接关系到电网运行的安全稳定。通过及时升级防火墙特征库，可以有效降低网络安全事件对电网运行的影响风险。</w:t>
      </w:r>
    </w:p>
    <w:p w14:paraId="1FB4C7F2">
      <w:pPr>
        <w:spacing w:line="360" w:lineRule="auto"/>
        <w:ind w:firstLine="480"/>
      </w:pPr>
      <w:r>
        <w:rPr>
          <w:rFonts w:ascii="宋体" w:hAnsi="宋体" w:eastAsia="宋体"/>
          <w:b w:val="0"/>
          <w:sz w:val="24"/>
        </w:rPr>
        <w:t>（4）落实上级管理要求。国家电网公司和新疆电力公司对网络安全工作提出了明确要求，本项目是落实上级公司网络安全管理要求的具体举措。</w:t>
      </w:r>
    </w:p>
    <w:p w14:paraId="144C6C74">
      <w:pPr>
        <w:pStyle w:val="4"/>
      </w:pPr>
      <w:r>
        <w:rPr>
          <w:rFonts w:ascii="黑体" w:hAnsi="黑体" w:eastAsia="黑体"/>
          <w:b/>
        </w:rPr>
        <w:t>三、项目目标</w:t>
      </w:r>
    </w:p>
    <w:p w14:paraId="4965709B">
      <w:pPr>
        <w:pStyle w:val="5"/>
      </w:pPr>
      <w:r>
        <w:rPr>
          <w:rFonts w:ascii="黑体" w:hAnsi="黑体" w:eastAsia="黑体"/>
          <w:b/>
        </w:rPr>
        <w:t>3.1 总体目标</w:t>
      </w:r>
    </w:p>
    <w:p w14:paraId="78834308">
      <w:pPr>
        <w:spacing w:line="360" w:lineRule="auto"/>
        <w:ind w:firstLine="480"/>
      </w:pPr>
      <w:r>
        <w:rPr>
          <w:rFonts w:ascii="宋体" w:hAnsi="宋体" w:eastAsia="宋体"/>
          <w:b w:val="0"/>
          <w:sz w:val="24"/>
        </w:rPr>
        <w:t>本项目的总体目标是：通过专业、规范、高效的技术服务，完成国网新疆昌吉供电公司所辖19座变电站共计38台防火墙设备的防病毒特征库和IDS入侵检测规则库离线升级工作，确保所有设备特征库版本满足Q/GDW 11807-2024标准要求，全面提升变电站网络安全防护能力，保障电力监控系统安全稳定运行。</w:t>
      </w:r>
    </w:p>
    <w:p w14:paraId="38BC1209">
      <w:pPr>
        <w:pStyle w:val="5"/>
      </w:pPr>
      <w:r>
        <w:rPr>
          <w:rFonts w:ascii="黑体" w:hAnsi="黑体" w:eastAsia="黑体"/>
          <w:b/>
        </w:rPr>
        <w:t>3.2 具体目标</w:t>
      </w:r>
    </w:p>
    <w:p w14:paraId="4D76803D">
      <w:pPr>
        <w:spacing w:line="360" w:lineRule="auto"/>
        <w:ind w:firstLine="480"/>
      </w:pPr>
      <w:r>
        <w:rPr>
          <w:rFonts w:ascii="宋体" w:hAnsi="宋体" w:eastAsia="宋体"/>
          <w:b w:val="0"/>
          <w:sz w:val="24"/>
        </w:rPr>
        <w:t>（1）升级覆盖目标：完成19座变电站共计38台防火墙设备的特征库升级，覆盖率100%，不遗漏任何一台设备。</w:t>
      </w:r>
    </w:p>
    <w:p w14:paraId="0F7CE7E7">
      <w:pPr>
        <w:spacing w:line="360" w:lineRule="auto"/>
        <w:ind w:firstLine="480"/>
      </w:pPr>
      <w:r>
        <w:rPr>
          <w:rFonts w:ascii="宋体" w:hAnsi="宋体" w:eastAsia="宋体"/>
          <w:b w:val="0"/>
          <w:sz w:val="24"/>
        </w:rPr>
        <w:t>（2）版本合规目标：升级后的防病毒特征库和IDS规则库版本与当前最新版本的时间差不超过6个月，满足Q/GDW 11807-2024标准要求。</w:t>
      </w:r>
    </w:p>
    <w:p w14:paraId="2CA23495">
      <w:pPr>
        <w:spacing w:line="360" w:lineRule="auto"/>
        <w:ind w:firstLine="480"/>
      </w:pPr>
      <w:r>
        <w:rPr>
          <w:rFonts w:ascii="宋体" w:hAnsi="宋体" w:eastAsia="宋体"/>
          <w:b w:val="0"/>
          <w:sz w:val="24"/>
        </w:rPr>
        <w:t>（3）安全运行目标：整个升级过程不造成变电站任何业务中断、网络异常或设备故障，不影响变电站正常运行，无需进行停电操作。</w:t>
      </w:r>
    </w:p>
    <w:p w14:paraId="73CA6307">
      <w:pPr>
        <w:spacing w:line="360" w:lineRule="auto"/>
        <w:ind w:firstLine="480"/>
      </w:pPr>
      <w:r>
        <w:rPr>
          <w:rFonts w:ascii="宋体" w:hAnsi="宋体" w:eastAsia="宋体"/>
          <w:b w:val="0"/>
          <w:sz w:val="24"/>
        </w:rPr>
        <w:t>（4）升级频次目标：每年完成2次全面升级，确保特征库持续处于有效防护状态。每次升级在规定的时间窗口内完成。</w:t>
      </w:r>
    </w:p>
    <w:p w14:paraId="4034E52F">
      <w:pPr>
        <w:spacing w:line="360" w:lineRule="auto"/>
        <w:ind w:firstLine="480"/>
      </w:pPr>
      <w:r>
        <w:rPr>
          <w:rFonts w:ascii="宋体" w:hAnsi="宋体" w:eastAsia="宋体"/>
          <w:b w:val="0"/>
          <w:sz w:val="24"/>
        </w:rPr>
        <w:t>（5）文档完整目标：每次升级均完成规范的升级记录、验证报告和备份文件归档，确保全过程可追溯、可审计。</w:t>
      </w:r>
    </w:p>
    <w:p w14:paraId="62A56279">
      <w:pPr>
        <w:spacing w:line="360" w:lineRule="auto"/>
        <w:ind w:firstLine="480"/>
      </w:pPr>
      <w:r>
        <w:rPr>
          <w:rFonts w:ascii="宋体" w:hAnsi="宋体" w:eastAsia="宋体"/>
          <w:b w:val="0"/>
          <w:sz w:val="24"/>
        </w:rPr>
        <w:t>（6）服务响应目标：升级过程中如出现异常情况，能够在30分钟内完成回退操作，恢复设备正常运行状态。</w:t>
      </w:r>
    </w:p>
    <w:p w14:paraId="35E7737F">
      <w:pPr>
        <w:pStyle w:val="5"/>
      </w:pPr>
      <w:r>
        <w:rPr>
          <w:rFonts w:ascii="黑体" w:hAnsi="黑体" w:eastAsia="黑体"/>
          <w:b/>
        </w:rPr>
        <w:t>3.3 目标分解</w:t>
      </w:r>
    </w:p>
    <w:p w14:paraId="408F0476">
      <w:pPr>
        <w:spacing w:line="360" w:lineRule="auto"/>
        <w:ind w:firstLine="480"/>
      </w:pPr>
      <w:r>
        <w:rPr>
          <w:rFonts w:ascii="宋体" w:hAnsi="宋体" w:eastAsia="宋体"/>
          <w:b w:val="0"/>
          <w:sz w:val="24"/>
        </w:rPr>
        <w:t>按照变电站维度，项目目标分解如下：</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729"/>
        <w:gridCol w:w="1729"/>
        <w:gridCol w:w="1729"/>
      </w:tblGrid>
      <w:tr w14:paraId="3914D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60A3CBDF">
            <w:pPr>
              <w:spacing w:after="0"/>
              <w:jc w:val="center"/>
            </w:pPr>
            <w:r>
              <w:rPr>
                <w:rFonts w:ascii="宋体" w:hAnsi="宋体" w:eastAsia="宋体"/>
                <w:b/>
                <w:sz w:val="22"/>
              </w:rPr>
              <w:t>序号</w:t>
            </w:r>
          </w:p>
        </w:tc>
        <w:tc>
          <w:tcPr>
            <w:tcW w:w="1729" w:type="dxa"/>
          </w:tcPr>
          <w:p w14:paraId="7855E8B3">
            <w:pPr>
              <w:spacing w:after="0"/>
              <w:jc w:val="center"/>
            </w:pPr>
            <w:r>
              <w:rPr>
                <w:rFonts w:ascii="宋体" w:hAnsi="宋体" w:eastAsia="宋体"/>
                <w:b/>
                <w:sz w:val="22"/>
              </w:rPr>
              <w:t>变电站名称</w:t>
            </w:r>
          </w:p>
        </w:tc>
        <w:tc>
          <w:tcPr>
            <w:tcW w:w="1729" w:type="dxa"/>
          </w:tcPr>
          <w:p w14:paraId="660E4471">
            <w:pPr>
              <w:spacing w:after="0"/>
              <w:jc w:val="center"/>
            </w:pPr>
            <w:r>
              <w:rPr>
                <w:rFonts w:ascii="宋体" w:hAnsi="宋体" w:eastAsia="宋体"/>
                <w:b/>
                <w:sz w:val="22"/>
              </w:rPr>
              <w:t>防火墙数量</w:t>
            </w:r>
          </w:p>
        </w:tc>
        <w:tc>
          <w:tcPr>
            <w:tcW w:w="1729" w:type="dxa"/>
          </w:tcPr>
          <w:p w14:paraId="688D2B70">
            <w:pPr>
              <w:spacing w:after="0"/>
              <w:jc w:val="center"/>
            </w:pPr>
            <w:r>
              <w:rPr>
                <w:rFonts w:ascii="宋体" w:hAnsi="宋体" w:eastAsia="宋体"/>
                <w:b/>
                <w:sz w:val="22"/>
              </w:rPr>
              <w:t>升级内容</w:t>
            </w:r>
          </w:p>
        </w:tc>
        <w:tc>
          <w:tcPr>
            <w:tcW w:w="1729" w:type="dxa"/>
          </w:tcPr>
          <w:p w14:paraId="4967DF13">
            <w:pPr>
              <w:spacing w:after="0"/>
              <w:jc w:val="center"/>
            </w:pPr>
            <w:r>
              <w:rPr>
                <w:rFonts w:ascii="宋体" w:hAnsi="宋体" w:eastAsia="宋体"/>
                <w:b/>
                <w:sz w:val="22"/>
              </w:rPr>
              <w:t>年升级次数</w:t>
            </w:r>
          </w:p>
        </w:tc>
      </w:tr>
      <w:tr w14:paraId="55988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10298545">
            <w:pPr>
              <w:spacing w:after="0"/>
            </w:pPr>
            <w:r>
              <w:rPr>
                <w:rFonts w:ascii="宋体" w:hAnsi="宋体" w:eastAsia="宋体"/>
                <w:sz w:val="22"/>
              </w:rPr>
              <w:t>1</w:t>
            </w:r>
          </w:p>
        </w:tc>
        <w:tc>
          <w:tcPr>
            <w:tcW w:w="1729" w:type="dxa"/>
          </w:tcPr>
          <w:p w14:paraId="265C05F1">
            <w:pPr>
              <w:spacing w:after="0"/>
            </w:pPr>
            <w:r>
              <w:rPr>
                <w:rFonts w:ascii="宋体" w:hAnsi="宋体" w:eastAsia="宋体"/>
                <w:sz w:val="22"/>
              </w:rPr>
              <w:t>彩北开关站</w:t>
            </w:r>
          </w:p>
        </w:tc>
        <w:tc>
          <w:tcPr>
            <w:tcW w:w="1729" w:type="dxa"/>
          </w:tcPr>
          <w:p w14:paraId="07336FE3">
            <w:pPr>
              <w:spacing w:after="0"/>
            </w:pPr>
            <w:r>
              <w:rPr>
                <w:rFonts w:ascii="宋体" w:hAnsi="宋体" w:eastAsia="宋体"/>
                <w:sz w:val="22"/>
              </w:rPr>
              <w:t>2台</w:t>
            </w:r>
          </w:p>
        </w:tc>
        <w:tc>
          <w:tcPr>
            <w:tcW w:w="1729" w:type="dxa"/>
          </w:tcPr>
          <w:p w14:paraId="3D805945">
            <w:pPr>
              <w:spacing w:after="0"/>
            </w:pPr>
            <w:r>
              <w:rPr>
                <w:rFonts w:ascii="宋体" w:hAnsi="宋体" w:eastAsia="宋体"/>
                <w:sz w:val="22"/>
              </w:rPr>
              <w:t>防病毒特征库+IDS规则库</w:t>
            </w:r>
          </w:p>
        </w:tc>
        <w:tc>
          <w:tcPr>
            <w:tcW w:w="1729" w:type="dxa"/>
          </w:tcPr>
          <w:p w14:paraId="25B5D47D">
            <w:pPr>
              <w:spacing w:after="0"/>
            </w:pPr>
            <w:r>
              <w:rPr>
                <w:rFonts w:ascii="宋体" w:hAnsi="宋体" w:eastAsia="宋体"/>
                <w:sz w:val="22"/>
              </w:rPr>
              <w:t>2次</w:t>
            </w:r>
          </w:p>
        </w:tc>
      </w:tr>
      <w:tr w14:paraId="7097F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0991F9F0">
            <w:pPr>
              <w:spacing w:after="0"/>
            </w:pPr>
            <w:r>
              <w:rPr>
                <w:rFonts w:ascii="宋体" w:hAnsi="宋体" w:eastAsia="宋体"/>
                <w:sz w:val="22"/>
              </w:rPr>
              <w:t>2</w:t>
            </w:r>
          </w:p>
        </w:tc>
        <w:tc>
          <w:tcPr>
            <w:tcW w:w="1729" w:type="dxa"/>
          </w:tcPr>
          <w:p w14:paraId="577C16F3">
            <w:pPr>
              <w:spacing w:after="0"/>
            </w:pPr>
            <w:r>
              <w:rPr>
                <w:rFonts w:ascii="宋体" w:hAnsi="宋体" w:eastAsia="宋体"/>
                <w:sz w:val="22"/>
              </w:rPr>
              <w:t>彩虹变</w:t>
            </w:r>
          </w:p>
        </w:tc>
        <w:tc>
          <w:tcPr>
            <w:tcW w:w="1729" w:type="dxa"/>
          </w:tcPr>
          <w:p w14:paraId="59C3A72E">
            <w:pPr>
              <w:spacing w:after="0"/>
            </w:pPr>
            <w:r>
              <w:rPr>
                <w:rFonts w:ascii="宋体" w:hAnsi="宋体" w:eastAsia="宋体"/>
                <w:sz w:val="22"/>
              </w:rPr>
              <w:t>2台</w:t>
            </w:r>
          </w:p>
        </w:tc>
        <w:tc>
          <w:tcPr>
            <w:tcW w:w="1729" w:type="dxa"/>
          </w:tcPr>
          <w:p w14:paraId="4A3B3F19">
            <w:pPr>
              <w:spacing w:after="0"/>
            </w:pPr>
            <w:r>
              <w:rPr>
                <w:rFonts w:ascii="宋体" w:hAnsi="宋体" w:eastAsia="宋体"/>
                <w:sz w:val="22"/>
              </w:rPr>
              <w:t>防病毒特征库+IDS规则库</w:t>
            </w:r>
          </w:p>
        </w:tc>
        <w:tc>
          <w:tcPr>
            <w:tcW w:w="1729" w:type="dxa"/>
          </w:tcPr>
          <w:p w14:paraId="435318A7">
            <w:pPr>
              <w:spacing w:after="0"/>
            </w:pPr>
            <w:r>
              <w:rPr>
                <w:rFonts w:ascii="宋体" w:hAnsi="宋体" w:eastAsia="宋体"/>
                <w:sz w:val="22"/>
              </w:rPr>
              <w:t>2次</w:t>
            </w:r>
          </w:p>
        </w:tc>
      </w:tr>
      <w:tr w14:paraId="784A6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4EB9C13C">
            <w:pPr>
              <w:spacing w:after="0"/>
            </w:pPr>
            <w:r>
              <w:rPr>
                <w:rFonts w:ascii="宋体" w:hAnsi="宋体" w:eastAsia="宋体"/>
                <w:sz w:val="22"/>
              </w:rPr>
              <w:t>3</w:t>
            </w:r>
          </w:p>
        </w:tc>
        <w:tc>
          <w:tcPr>
            <w:tcW w:w="1729" w:type="dxa"/>
          </w:tcPr>
          <w:p w14:paraId="03991122">
            <w:pPr>
              <w:spacing w:after="0"/>
            </w:pPr>
            <w:r>
              <w:rPr>
                <w:rFonts w:ascii="宋体" w:hAnsi="宋体" w:eastAsia="宋体"/>
                <w:sz w:val="22"/>
              </w:rPr>
              <w:t>彩霞变</w:t>
            </w:r>
          </w:p>
        </w:tc>
        <w:tc>
          <w:tcPr>
            <w:tcW w:w="1729" w:type="dxa"/>
          </w:tcPr>
          <w:p w14:paraId="5C03D067">
            <w:pPr>
              <w:spacing w:after="0"/>
            </w:pPr>
            <w:r>
              <w:rPr>
                <w:rFonts w:ascii="宋体" w:hAnsi="宋体" w:eastAsia="宋体"/>
                <w:sz w:val="22"/>
              </w:rPr>
              <w:t>2台</w:t>
            </w:r>
          </w:p>
        </w:tc>
        <w:tc>
          <w:tcPr>
            <w:tcW w:w="1729" w:type="dxa"/>
          </w:tcPr>
          <w:p w14:paraId="2AD17501">
            <w:pPr>
              <w:spacing w:after="0"/>
            </w:pPr>
            <w:r>
              <w:rPr>
                <w:rFonts w:ascii="宋体" w:hAnsi="宋体" w:eastAsia="宋体"/>
                <w:sz w:val="22"/>
              </w:rPr>
              <w:t>防病毒特征库+IDS规则库</w:t>
            </w:r>
          </w:p>
        </w:tc>
        <w:tc>
          <w:tcPr>
            <w:tcW w:w="1729" w:type="dxa"/>
          </w:tcPr>
          <w:p w14:paraId="7F3105D3">
            <w:pPr>
              <w:spacing w:after="0"/>
            </w:pPr>
            <w:r>
              <w:rPr>
                <w:rFonts w:ascii="宋体" w:hAnsi="宋体" w:eastAsia="宋体"/>
                <w:sz w:val="22"/>
              </w:rPr>
              <w:t>2次</w:t>
            </w:r>
          </w:p>
        </w:tc>
      </w:tr>
      <w:tr w14:paraId="2B4FB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39F4784A">
            <w:pPr>
              <w:spacing w:after="0"/>
            </w:pPr>
            <w:r>
              <w:rPr>
                <w:rFonts w:ascii="宋体" w:hAnsi="宋体" w:eastAsia="宋体"/>
                <w:sz w:val="22"/>
              </w:rPr>
              <w:t>4</w:t>
            </w:r>
          </w:p>
        </w:tc>
        <w:tc>
          <w:tcPr>
            <w:tcW w:w="1729" w:type="dxa"/>
          </w:tcPr>
          <w:p w14:paraId="086ACFF9">
            <w:pPr>
              <w:spacing w:after="0"/>
            </w:pPr>
            <w:r>
              <w:rPr>
                <w:rFonts w:ascii="宋体" w:hAnsi="宋体" w:eastAsia="宋体"/>
                <w:sz w:val="22"/>
              </w:rPr>
              <w:t>昌吉变</w:t>
            </w:r>
          </w:p>
        </w:tc>
        <w:tc>
          <w:tcPr>
            <w:tcW w:w="1729" w:type="dxa"/>
          </w:tcPr>
          <w:p w14:paraId="350CE6FC">
            <w:pPr>
              <w:spacing w:after="0"/>
            </w:pPr>
            <w:r>
              <w:rPr>
                <w:rFonts w:ascii="宋体" w:hAnsi="宋体" w:eastAsia="宋体"/>
                <w:sz w:val="22"/>
              </w:rPr>
              <w:t>2台</w:t>
            </w:r>
          </w:p>
        </w:tc>
        <w:tc>
          <w:tcPr>
            <w:tcW w:w="1729" w:type="dxa"/>
          </w:tcPr>
          <w:p w14:paraId="20D080ED">
            <w:pPr>
              <w:spacing w:after="0"/>
            </w:pPr>
            <w:r>
              <w:rPr>
                <w:rFonts w:ascii="宋体" w:hAnsi="宋体" w:eastAsia="宋体"/>
                <w:sz w:val="22"/>
              </w:rPr>
              <w:t>防病毒特征库+IDS规则库</w:t>
            </w:r>
          </w:p>
        </w:tc>
        <w:tc>
          <w:tcPr>
            <w:tcW w:w="1729" w:type="dxa"/>
          </w:tcPr>
          <w:p w14:paraId="01509F15">
            <w:pPr>
              <w:spacing w:after="0"/>
            </w:pPr>
            <w:r>
              <w:rPr>
                <w:rFonts w:ascii="宋体" w:hAnsi="宋体" w:eastAsia="宋体"/>
                <w:sz w:val="22"/>
              </w:rPr>
              <w:t>2次</w:t>
            </w:r>
          </w:p>
        </w:tc>
      </w:tr>
      <w:tr w14:paraId="22C50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2C366586">
            <w:pPr>
              <w:spacing w:after="0"/>
            </w:pPr>
            <w:r>
              <w:rPr>
                <w:rFonts w:ascii="宋体" w:hAnsi="宋体" w:eastAsia="宋体"/>
                <w:sz w:val="22"/>
              </w:rPr>
              <w:t>5</w:t>
            </w:r>
          </w:p>
        </w:tc>
        <w:tc>
          <w:tcPr>
            <w:tcW w:w="1729" w:type="dxa"/>
          </w:tcPr>
          <w:p w14:paraId="5FF47230">
            <w:pPr>
              <w:spacing w:after="0"/>
            </w:pPr>
            <w:r>
              <w:rPr>
                <w:rFonts w:ascii="宋体" w:hAnsi="宋体" w:eastAsia="宋体"/>
                <w:sz w:val="22"/>
              </w:rPr>
              <w:t>阜东变</w:t>
            </w:r>
          </w:p>
        </w:tc>
        <w:tc>
          <w:tcPr>
            <w:tcW w:w="1729" w:type="dxa"/>
          </w:tcPr>
          <w:p w14:paraId="72F0958B">
            <w:pPr>
              <w:spacing w:after="0"/>
            </w:pPr>
            <w:r>
              <w:rPr>
                <w:rFonts w:ascii="宋体" w:hAnsi="宋体" w:eastAsia="宋体"/>
                <w:sz w:val="22"/>
              </w:rPr>
              <w:t>2台</w:t>
            </w:r>
          </w:p>
        </w:tc>
        <w:tc>
          <w:tcPr>
            <w:tcW w:w="1729" w:type="dxa"/>
          </w:tcPr>
          <w:p w14:paraId="3F252A92">
            <w:pPr>
              <w:spacing w:after="0"/>
            </w:pPr>
            <w:r>
              <w:rPr>
                <w:rFonts w:ascii="宋体" w:hAnsi="宋体" w:eastAsia="宋体"/>
                <w:sz w:val="22"/>
              </w:rPr>
              <w:t>防病毒特征库+IDS规则库</w:t>
            </w:r>
          </w:p>
        </w:tc>
        <w:tc>
          <w:tcPr>
            <w:tcW w:w="1729" w:type="dxa"/>
          </w:tcPr>
          <w:p w14:paraId="595D80B4">
            <w:pPr>
              <w:spacing w:after="0"/>
            </w:pPr>
            <w:r>
              <w:rPr>
                <w:rFonts w:ascii="宋体" w:hAnsi="宋体" w:eastAsia="宋体"/>
                <w:sz w:val="22"/>
              </w:rPr>
              <w:t>2次</w:t>
            </w:r>
          </w:p>
        </w:tc>
      </w:tr>
      <w:tr w14:paraId="28C4B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0CC8307E">
            <w:pPr>
              <w:spacing w:after="0"/>
            </w:pPr>
            <w:r>
              <w:rPr>
                <w:rFonts w:ascii="宋体" w:hAnsi="宋体" w:eastAsia="宋体"/>
                <w:sz w:val="22"/>
              </w:rPr>
              <w:t>6</w:t>
            </w:r>
          </w:p>
        </w:tc>
        <w:tc>
          <w:tcPr>
            <w:tcW w:w="1729" w:type="dxa"/>
          </w:tcPr>
          <w:p w14:paraId="546942C0">
            <w:pPr>
              <w:spacing w:after="0"/>
            </w:pPr>
            <w:r>
              <w:rPr>
                <w:rFonts w:ascii="宋体" w:hAnsi="宋体" w:eastAsia="宋体"/>
                <w:sz w:val="22"/>
              </w:rPr>
              <w:t>呼图壁工业园变</w:t>
            </w:r>
          </w:p>
        </w:tc>
        <w:tc>
          <w:tcPr>
            <w:tcW w:w="1729" w:type="dxa"/>
          </w:tcPr>
          <w:p w14:paraId="7943A8E8">
            <w:pPr>
              <w:spacing w:after="0"/>
            </w:pPr>
            <w:r>
              <w:rPr>
                <w:rFonts w:ascii="宋体" w:hAnsi="宋体" w:eastAsia="宋体"/>
                <w:sz w:val="22"/>
              </w:rPr>
              <w:t>2台</w:t>
            </w:r>
          </w:p>
        </w:tc>
        <w:tc>
          <w:tcPr>
            <w:tcW w:w="1729" w:type="dxa"/>
          </w:tcPr>
          <w:p w14:paraId="7B48A922">
            <w:pPr>
              <w:spacing w:after="0"/>
            </w:pPr>
            <w:r>
              <w:rPr>
                <w:rFonts w:ascii="宋体" w:hAnsi="宋体" w:eastAsia="宋体"/>
                <w:sz w:val="22"/>
              </w:rPr>
              <w:t>防病毒特征库+IDS规则库</w:t>
            </w:r>
          </w:p>
        </w:tc>
        <w:tc>
          <w:tcPr>
            <w:tcW w:w="1729" w:type="dxa"/>
          </w:tcPr>
          <w:p w14:paraId="6F6D1D03">
            <w:pPr>
              <w:spacing w:after="0"/>
            </w:pPr>
            <w:r>
              <w:rPr>
                <w:rFonts w:ascii="宋体" w:hAnsi="宋体" w:eastAsia="宋体"/>
                <w:sz w:val="22"/>
              </w:rPr>
              <w:t>2次</w:t>
            </w:r>
          </w:p>
        </w:tc>
      </w:tr>
      <w:tr w14:paraId="21F53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58DEF361">
            <w:pPr>
              <w:spacing w:after="0"/>
            </w:pPr>
            <w:r>
              <w:rPr>
                <w:rFonts w:ascii="宋体" w:hAnsi="宋体" w:eastAsia="宋体"/>
                <w:sz w:val="22"/>
              </w:rPr>
              <w:t>7</w:t>
            </w:r>
          </w:p>
        </w:tc>
        <w:tc>
          <w:tcPr>
            <w:tcW w:w="1729" w:type="dxa"/>
          </w:tcPr>
          <w:p w14:paraId="53DE18E7">
            <w:pPr>
              <w:spacing w:after="0"/>
            </w:pPr>
            <w:r>
              <w:rPr>
                <w:rFonts w:ascii="宋体" w:hAnsi="宋体" w:eastAsia="宋体"/>
                <w:sz w:val="22"/>
              </w:rPr>
              <w:t>火烧岩变</w:t>
            </w:r>
          </w:p>
        </w:tc>
        <w:tc>
          <w:tcPr>
            <w:tcW w:w="1729" w:type="dxa"/>
          </w:tcPr>
          <w:p w14:paraId="23B1954A">
            <w:pPr>
              <w:spacing w:after="0"/>
            </w:pPr>
            <w:r>
              <w:rPr>
                <w:rFonts w:ascii="宋体" w:hAnsi="宋体" w:eastAsia="宋体"/>
                <w:sz w:val="22"/>
              </w:rPr>
              <w:t>2台</w:t>
            </w:r>
          </w:p>
        </w:tc>
        <w:tc>
          <w:tcPr>
            <w:tcW w:w="1729" w:type="dxa"/>
          </w:tcPr>
          <w:p w14:paraId="3E9F2C12">
            <w:pPr>
              <w:spacing w:after="0"/>
            </w:pPr>
            <w:r>
              <w:rPr>
                <w:rFonts w:ascii="宋体" w:hAnsi="宋体" w:eastAsia="宋体"/>
                <w:sz w:val="22"/>
              </w:rPr>
              <w:t>防病毒特征库+IDS规则库</w:t>
            </w:r>
          </w:p>
        </w:tc>
        <w:tc>
          <w:tcPr>
            <w:tcW w:w="1729" w:type="dxa"/>
          </w:tcPr>
          <w:p w14:paraId="1885BCC0">
            <w:pPr>
              <w:spacing w:after="0"/>
            </w:pPr>
            <w:r>
              <w:rPr>
                <w:rFonts w:ascii="宋体" w:hAnsi="宋体" w:eastAsia="宋体"/>
                <w:sz w:val="22"/>
              </w:rPr>
              <w:t>2次</w:t>
            </w:r>
          </w:p>
        </w:tc>
      </w:tr>
      <w:tr w14:paraId="1710A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2E6A01C1">
            <w:pPr>
              <w:spacing w:after="0"/>
            </w:pPr>
            <w:r>
              <w:rPr>
                <w:rFonts w:ascii="宋体" w:hAnsi="宋体" w:eastAsia="宋体"/>
                <w:sz w:val="22"/>
              </w:rPr>
              <w:t>8</w:t>
            </w:r>
          </w:p>
        </w:tc>
        <w:tc>
          <w:tcPr>
            <w:tcW w:w="1729" w:type="dxa"/>
          </w:tcPr>
          <w:p w14:paraId="7CB7BF2D">
            <w:pPr>
              <w:spacing w:after="0"/>
            </w:pPr>
            <w:r>
              <w:rPr>
                <w:rFonts w:ascii="宋体" w:hAnsi="宋体" w:eastAsia="宋体"/>
                <w:sz w:val="22"/>
              </w:rPr>
              <w:t>吉木萨尔变</w:t>
            </w:r>
          </w:p>
        </w:tc>
        <w:tc>
          <w:tcPr>
            <w:tcW w:w="1729" w:type="dxa"/>
          </w:tcPr>
          <w:p w14:paraId="0270D69D">
            <w:pPr>
              <w:spacing w:after="0"/>
            </w:pPr>
            <w:r>
              <w:rPr>
                <w:rFonts w:ascii="宋体" w:hAnsi="宋体" w:eastAsia="宋体"/>
                <w:sz w:val="22"/>
              </w:rPr>
              <w:t>2台</w:t>
            </w:r>
          </w:p>
        </w:tc>
        <w:tc>
          <w:tcPr>
            <w:tcW w:w="1729" w:type="dxa"/>
          </w:tcPr>
          <w:p w14:paraId="24CD9490">
            <w:pPr>
              <w:spacing w:after="0"/>
            </w:pPr>
            <w:r>
              <w:rPr>
                <w:rFonts w:ascii="宋体" w:hAnsi="宋体" w:eastAsia="宋体"/>
                <w:sz w:val="22"/>
              </w:rPr>
              <w:t>防病毒特征库+IDS规则库</w:t>
            </w:r>
          </w:p>
        </w:tc>
        <w:tc>
          <w:tcPr>
            <w:tcW w:w="1729" w:type="dxa"/>
          </w:tcPr>
          <w:p w14:paraId="50F58445">
            <w:pPr>
              <w:spacing w:after="0"/>
            </w:pPr>
            <w:r>
              <w:rPr>
                <w:rFonts w:ascii="宋体" w:hAnsi="宋体" w:eastAsia="宋体"/>
                <w:sz w:val="22"/>
              </w:rPr>
              <w:t>2次</w:t>
            </w:r>
          </w:p>
        </w:tc>
      </w:tr>
      <w:tr w14:paraId="6AAEC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4430249C">
            <w:pPr>
              <w:spacing w:after="0"/>
            </w:pPr>
            <w:r>
              <w:rPr>
                <w:rFonts w:ascii="宋体" w:hAnsi="宋体" w:eastAsia="宋体"/>
                <w:sz w:val="22"/>
              </w:rPr>
              <w:t>9</w:t>
            </w:r>
          </w:p>
        </w:tc>
        <w:tc>
          <w:tcPr>
            <w:tcW w:w="1729" w:type="dxa"/>
          </w:tcPr>
          <w:p w14:paraId="60AA53BE">
            <w:pPr>
              <w:spacing w:after="0"/>
            </w:pPr>
            <w:r>
              <w:rPr>
                <w:rFonts w:ascii="宋体" w:hAnsi="宋体" w:eastAsia="宋体"/>
                <w:sz w:val="22"/>
              </w:rPr>
              <w:t>锦华变</w:t>
            </w:r>
          </w:p>
        </w:tc>
        <w:tc>
          <w:tcPr>
            <w:tcW w:w="1729" w:type="dxa"/>
          </w:tcPr>
          <w:p w14:paraId="582749A6">
            <w:pPr>
              <w:spacing w:after="0"/>
            </w:pPr>
            <w:r>
              <w:rPr>
                <w:rFonts w:ascii="宋体" w:hAnsi="宋体" w:eastAsia="宋体"/>
                <w:sz w:val="22"/>
              </w:rPr>
              <w:t>2台</w:t>
            </w:r>
          </w:p>
        </w:tc>
        <w:tc>
          <w:tcPr>
            <w:tcW w:w="1729" w:type="dxa"/>
          </w:tcPr>
          <w:p w14:paraId="05973ACF">
            <w:pPr>
              <w:spacing w:after="0"/>
            </w:pPr>
            <w:r>
              <w:rPr>
                <w:rFonts w:ascii="宋体" w:hAnsi="宋体" w:eastAsia="宋体"/>
                <w:sz w:val="22"/>
              </w:rPr>
              <w:t>防病毒特征库+IDS规则库</w:t>
            </w:r>
          </w:p>
        </w:tc>
        <w:tc>
          <w:tcPr>
            <w:tcW w:w="1729" w:type="dxa"/>
          </w:tcPr>
          <w:p w14:paraId="36C053A6">
            <w:pPr>
              <w:spacing w:after="0"/>
            </w:pPr>
            <w:r>
              <w:rPr>
                <w:rFonts w:ascii="宋体" w:hAnsi="宋体" w:eastAsia="宋体"/>
                <w:sz w:val="22"/>
              </w:rPr>
              <w:t>2次</w:t>
            </w:r>
          </w:p>
        </w:tc>
      </w:tr>
      <w:tr w14:paraId="76946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7C78211A">
            <w:pPr>
              <w:spacing w:after="0"/>
            </w:pPr>
            <w:r>
              <w:rPr>
                <w:rFonts w:ascii="宋体" w:hAnsi="宋体" w:eastAsia="宋体"/>
                <w:sz w:val="22"/>
              </w:rPr>
              <w:t>10</w:t>
            </w:r>
          </w:p>
        </w:tc>
        <w:tc>
          <w:tcPr>
            <w:tcW w:w="1729" w:type="dxa"/>
          </w:tcPr>
          <w:p w14:paraId="2C9BB054">
            <w:pPr>
              <w:spacing w:after="0"/>
            </w:pPr>
            <w:r>
              <w:rPr>
                <w:rFonts w:ascii="宋体" w:hAnsi="宋体" w:eastAsia="宋体"/>
                <w:sz w:val="22"/>
              </w:rPr>
              <w:t>凯旋变</w:t>
            </w:r>
          </w:p>
        </w:tc>
        <w:tc>
          <w:tcPr>
            <w:tcW w:w="1729" w:type="dxa"/>
          </w:tcPr>
          <w:p w14:paraId="4385EFF6">
            <w:pPr>
              <w:spacing w:after="0"/>
            </w:pPr>
            <w:r>
              <w:rPr>
                <w:rFonts w:ascii="宋体" w:hAnsi="宋体" w:eastAsia="宋体"/>
                <w:sz w:val="22"/>
              </w:rPr>
              <w:t>2台</w:t>
            </w:r>
          </w:p>
        </w:tc>
        <w:tc>
          <w:tcPr>
            <w:tcW w:w="1729" w:type="dxa"/>
          </w:tcPr>
          <w:p w14:paraId="7F46EF98">
            <w:pPr>
              <w:spacing w:after="0"/>
            </w:pPr>
            <w:r>
              <w:rPr>
                <w:rFonts w:ascii="宋体" w:hAnsi="宋体" w:eastAsia="宋体"/>
                <w:sz w:val="22"/>
              </w:rPr>
              <w:t>防病毒特征库+IDS规则库</w:t>
            </w:r>
          </w:p>
        </w:tc>
        <w:tc>
          <w:tcPr>
            <w:tcW w:w="1729" w:type="dxa"/>
          </w:tcPr>
          <w:p w14:paraId="36E3C7ED">
            <w:pPr>
              <w:spacing w:after="0"/>
            </w:pPr>
            <w:r>
              <w:rPr>
                <w:rFonts w:ascii="宋体" w:hAnsi="宋体" w:eastAsia="宋体"/>
                <w:sz w:val="22"/>
              </w:rPr>
              <w:t>2次</w:t>
            </w:r>
          </w:p>
        </w:tc>
      </w:tr>
      <w:tr w14:paraId="1EAD4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6F001813">
            <w:pPr>
              <w:spacing w:after="0"/>
            </w:pPr>
            <w:r>
              <w:rPr>
                <w:rFonts w:ascii="宋体" w:hAnsi="宋体" w:eastAsia="宋体"/>
                <w:sz w:val="22"/>
              </w:rPr>
              <w:t>11</w:t>
            </w:r>
          </w:p>
        </w:tc>
        <w:tc>
          <w:tcPr>
            <w:tcW w:w="1729" w:type="dxa"/>
          </w:tcPr>
          <w:p w14:paraId="6DE69A99">
            <w:pPr>
              <w:spacing w:after="0"/>
            </w:pPr>
            <w:r>
              <w:rPr>
                <w:rFonts w:ascii="宋体" w:hAnsi="宋体" w:eastAsia="宋体"/>
                <w:sz w:val="22"/>
              </w:rPr>
              <w:t>乐土驿变</w:t>
            </w:r>
          </w:p>
        </w:tc>
        <w:tc>
          <w:tcPr>
            <w:tcW w:w="1729" w:type="dxa"/>
          </w:tcPr>
          <w:p w14:paraId="0920D6E1">
            <w:pPr>
              <w:spacing w:after="0"/>
            </w:pPr>
            <w:r>
              <w:rPr>
                <w:rFonts w:ascii="宋体" w:hAnsi="宋体" w:eastAsia="宋体"/>
                <w:sz w:val="22"/>
              </w:rPr>
              <w:t>2台</w:t>
            </w:r>
          </w:p>
        </w:tc>
        <w:tc>
          <w:tcPr>
            <w:tcW w:w="1729" w:type="dxa"/>
          </w:tcPr>
          <w:p w14:paraId="7550B921">
            <w:pPr>
              <w:spacing w:after="0"/>
            </w:pPr>
            <w:r>
              <w:rPr>
                <w:rFonts w:ascii="宋体" w:hAnsi="宋体" w:eastAsia="宋体"/>
                <w:sz w:val="22"/>
              </w:rPr>
              <w:t>防病毒特征库+IDS规则库</w:t>
            </w:r>
          </w:p>
        </w:tc>
        <w:tc>
          <w:tcPr>
            <w:tcW w:w="1729" w:type="dxa"/>
          </w:tcPr>
          <w:p w14:paraId="4D769C13">
            <w:pPr>
              <w:spacing w:after="0"/>
            </w:pPr>
            <w:r>
              <w:rPr>
                <w:rFonts w:ascii="宋体" w:hAnsi="宋体" w:eastAsia="宋体"/>
                <w:sz w:val="22"/>
              </w:rPr>
              <w:t>2次</w:t>
            </w:r>
          </w:p>
        </w:tc>
      </w:tr>
      <w:tr w14:paraId="5DA57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040C78A1">
            <w:pPr>
              <w:spacing w:after="0"/>
            </w:pPr>
            <w:r>
              <w:rPr>
                <w:rFonts w:ascii="宋体" w:hAnsi="宋体" w:eastAsia="宋体"/>
                <w:sz w:val="22"/>
              </w:rPr>
              <w:t>12</w:t>
            </w:r>
          </w:p>
        </w:tc>
        <w:tc>
          <w:tcPr>
            <w:tcW w:w="1729" w:type="dxa"/>
          </w:tcPr>
          <w:p w14:paraId="7BA16082">
            <w:pPr>
              <w:spacing w:after="0"/>
            </w:pPr>
            <w:r>
              <w:rPr>
                <w:rFonts w:ascii="宋体" w:hAnsi="宋体" w:eastAsia="宋体"/>
                <w:sz w:val="22"/>
              </w:rPr>
              <w:t>宁州户变</w:t>
            </w:r>
          </w:p>
        </w:tc>
        <w:tc>
          <w:tcPr>
            <w:tcW w:w="1729" w:type="dxa"/>
          </w:tcPr>
          <w:p w14:paraId="7FD06B84">
            <w:pPr>
              <w:spacing w:after="0"/>
            </w:pPr>
            <w:r>
              <w:rPr>
                <w:rFonts w:ascii="宋体" w:hAnsi="宋体" w:eastAsia="宋体"/>
                <w:sz w:val="22"/>
              </w:rPr>
              <w:t>2台</w:t>
            </w:r>
          </w:p>
        </w:tc>
        <w:tc>
          <w:tcPr>
            <w:tcW w:w="1729" w:type="dxa"/>
          </w:tcPr>
          <w:p w14:paraId="27E98ED8">
            <w:pPr>
              <w:spacing w:after="0"/>
            </w:pPr>
            <w:r>
              <w:rPr>
                <w:rFonts w:ascii="宋体" w:hAnsi="宋体" w:eastAsia="宋体"/>
                <w:sz w:val="22"/>
              </w:rPr>
              <w:t>防病毒特征库+IDS规则库</w:t>
            </w:r>
          </w:p>
        </w:tc>
        <w:tc>
          <w:tcPr>
            <w:tcW w:w="1729" w:type="dxa"/>
          </w:tcPr>
          <w:p w14:paraId="0F34E524">
            <w:pPr>
              <w:spacing w:after="0"/>
            </w:pPr>
            <w:r>
              <w:rPr>
                <w:rFonts w:ascii="宋体" w:hAnsi="宋体" w:eastAsia="宋体"/>
                <w:sz w:val="22"/>
              </w:rPr>
              <w:t>2次</w:t>
            </w:r>
          </w:p>
        </w:tc>
      </w:tr>
      <w:tr w14:paraId="38E3B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74570D53">
            <w:pPr>
              <w:spacing w:after="0"/>
            </w:pPr>
            <w:r>
              <w:rPr>
                <w:rFonts w:ascii="宋体" w:hAnsi="宋体" w:eastAsia="宋体"/>
                <w:sz w:val="22"/>
              </w:rPr>
              <w:t>13</w:t>
            </w:r>
          </w:p>
        </w:tc>
        <w:tc>
          <w:tcPr>
            <w:tcW w:w="1729" w:type="dxa"/>
          </w:tcPr>
          <w:p w14:paraId="6B0BB55B">
            <w:pPr>
              <w:spacing w:after="0"/>
            </w:pPr>
            <w:r>
              <w:rPr>
                <w:rFonts w:ascii="宋体" w:hAnsi="宋体" w:eastAsia="宋体"/>
                <w:sz w:val="22"/>
              </w:rPr>
              <w:t>奇台变</w:t>
            </w:r>
          </w:p>
        </w:tc>
        <w:tc>
          <w:tcPr>
            <w:tcW w:w="1729" w:type="dxa"/>
          </w:tcPr>
          <w:p w14:paraId="10DAA44A">
            <w:pPr>
              <w:spacing w:after="0"/>
            </w:pPr>
            <w:r>
              <w:rPr>
                <w:rFonts w:ascii="宋体" w:hAnsi="宋体" w:eastAsia="宋体"/>
                <w:sz w:val="22"/>
              </w:rPr>
              <w:t>2台</w:t>
            </w:r>
          </w:p>
        </w:tc>
        <w:tc>
          <w:tcPr>
            <w:tcW w:w="1729" w:type="dxa"/>
          </w:tcPr>
          <w:p w14:paraId="4F30F07E">
            <w:pPr>
              <w:spacing w:after="0"/>
            </w:pPr>
            <w:r>
              <w:rPr>
                <w:rFonts w:ascii="宋体" w:hAnsi="宋体" w:eastAsia="宋体"/>
                <w:sz w:val="22"/>
              </w:rPr>
              <w:t>防病毒特征库+IDS规则库</w:t>
            </w:r>
          </w:p>
        </w:tc>
        <w:tc>
          <w:tcPr>
            <w:tcW w:w="1729" w:type="dxa"/>
          </w:tcPr>
          <w:p w14:paraId="5FEBCD12">
            <w:pPr>
              <w:spacing w:after="0"/>
            </w:pPr>
            <w:r>
              <w:rPr>
                <w:rFonts w:ascii="宋体" w:hAnsi="宋体" w:eastAsia="宋体"/>
                <w:sz w:val="22"/>
              </w:rPr>
              <w:t>2次</w:t>
            </w:r>
          </w:p>
        </w:tc>
      </w:tr>
      <w:tr w14:paraId="3B945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1EA3B5EE">
            <w:pPr>
              <w:spacing w:after="0"/>
            </w:pPr>
            <w:r>
              <w:rPr>
                <w:rFonts w:ascii="宋体" w:hAnsi="宋体" w:eastAsia="宋体"/>
                <w:sz w:val="22"/>
              </w:rPr>
              <w:t>14</w:t>
            </w:r>
          </w:p>
        </w:tc>
        <w:tc>
          <w:tcPr>
            <w:tcW w:w="1729" w:type="dxa"/>
          </w:tcPr>
          <w:p w14:paraId="2A05396A">
            <w:pPr>
              <w:spacing w:after="0"/>
            </w:pPr>
            <w:r>
              <w:rPr>
                <w:rFonts w:ascii="宋体" w:hAnsi="宋体" w:eastAsia="宋体"/>
                <w:sz w:val="22"/>
              </w:rPr>
              <w:t>石钱滩变</w:t>
            </w:r>
          </w:p>
        </w:tc>
        <w:tc>
          <w:tcPr>
            <w:tcW w:w="1729" w:type="dxa"/>
          </w:tcPr>
          <w:p w14:paraId="6035DCAB">
            <w:pPr>
              <w:spacing w:after="0"/>
            </w:pPr>
            <w:r>
              <w:rPr>
                <w:rFonts w:ascii="宋体" w:hAnsi="宋体" w:eastAsia="宋体"/>
                <w:sz w:val="22"/>
              </w:rPr>
              <w:t>2台</w:t>
            </w:r>
          </w:p>
        </w:tc>
        <w:tc>
          <w:tcPr>
            <w:tcW w:w="1729" w:type="dxa"/>
          </w:tcPr>
          <w:p w14:paraId="6D9F060A">
            <w:pPr>
              <w:spacing w:after="0"/>
            </w:pPr>
            <w:r>
              <w:rPr>
                <w:rFonts w:ascii="宋体" w:hAnsi="宋体" w:eastAsia="宋体"/>
                <w:sz w:val="22"/>
              </w:rPr>
              <w:t>防病毒特征库+IDS规则库</w:t>
            </w:r>
          </w:p>
        </w:tc>
        <w:tc>
          <w:tcPr>
            <w:tcW w:w="1729" w:type="dxa"/>
          </w:tcPr>
          <w:p w14:paraId="40A8AC68">
            <w:pPr>
              <w:spacing w:after="0"/>
            </w:pPr>
            <w:r>
              <w:rPr>
                <w:rFonts w:ascii="宋体" w:hAnsi="宋体" w:eastAsia="宋体"/>
                <w:sz w:val="22"/>
              </w:rPr>
              <w:t>2次</w:t>
            </w:r>
          </w:p>
        </w:tc>
      </w:tr>
      <w:tr w14:paraId="58983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59CB6929">
            <w:pPr>
              <w:spacing w:after="0"/>
            </w:pPr>
            <w:r>
              <w:rPr>
                <w:rFonts w:ascii="宋体" w:hAnsi="宋体" w:eastAsia="宋体"/>
                <w:sz w:val="22"/>
              </w:rPr>
              <w:t>15</w:t>
            </w:r>
          </w:p>
        </w:tc>
        <w:tc>
          <w:tcPr>
            <w:tcW w:w="1729" w:type="dxa"/>
          </w:tcPr>
          <w:p w14:paraId="762B35C1">
            <w:pPr>
              <w:spacing w:after="0"/>
            </w:pPr>
            <w:r>
              <w:rPr>
                <w:rFonts w:ascii="宋体" w:hAnsi="宋体" w:eastAsia="宋体"/>
                <w:sz w:val="22"/>
              </w:rPr>
              <w:t>兴盛变</w:t>
            </w:r>
          </w:p>
        </w:tc>
        <w:tc>
          <w:tcPr>
            <w:tcW w:w="1729" w:type="dxa"/>
          </w:tcPr>
          <w:p w14:paraId="145DB7A6">
            <w:pPr>
              <w:spacing w:after="0"/>
            </w:pPr>
            <w:r>
              <w:rPr>
                <w:rFonts w:ascii="宋体" w:hAnsi="宋体" w:eastAsia="宋体"/>
                <w:sz w:val="22"/>
              </w:rPr>
              <w:t>2台</w:t>
            </w:r>
          </w:p>
        </w:tc>
        <w:tc>
          <w:tcPr>
            <w:tcW w:w="1729" w:type="dxa"/>
          </w:tcPr>
          <w:p w14:paraId="574EA7C1">
            <w:pPr>
              <w:spacing w:after="0"/>
            </w:pPr>
            <w:r>
              <w:rPr>
                <w:rFonts w:ascii="宋体" w:hAnsi="宋体" w:eastAsia="宋体"/>
                <w:sz w:val="22"/>
              </w:rPr>
              <w:t>防病毒特征库+IDS规则库</w:t>
            </w:r>
          </w:p>
        </w:tc>
        <w:tc>
          <w:tcPr>
            <w:tcW w:w="1729" w:type="dxa"/>
          </w:tcPr>
          <w:p w14:paraId="4C0284AC">
            <w:pPr>
              <w:spacing w:after="0"/>
            </w:pPr>
            <w:r>
              <w:rPr>
                <w:rFonts w:ascii="宋体" w:hAnsi="宋体" w:eastAsia="宋体"/>
                <w:sz w:val="22"/>
              </w:rPr>
              <w:t>2次</w:t>
            </w:r>
          </w:p>
        </w:tc>
      </w:tr>
      <w:tr w14:paraId="0D6A6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6939E307">
            <w:pPr>
              <w:spacing w:after="0"/>
            </w:pPr>
            <w:r>
              <w:rPr>
                <w:rFonts w:ascii="宋体" w:hAnsi="宋体" w:eastAsia="宋体"/>
                <w:sz w:val="22"/>
              </w:rPr>
              <w:t>16</w:t>
            </w:r>
          </w:p>
        </w:tc>
        <w:tc>
          <w:tcPr>
            <w:tcW w:w="1729" w:type="dxa"/>
          </w:tcPr>
          <w:p w14:paraId="021E38AE">
            <w:pPr>
              <w:spacing w:after="0"/>
            </w:pPr>
            <w:r>
              <w:rPr>
                <w:rFonts w:ascii="宋体" w:hAnsi="宋体" w:eastAsia="宋体"/>
                <w:sz w:val="22"/>
              </w:rPr>
              <w:t>幸福变</w:t>
            </w:r>
          </w:p>
        </w:tc>
        <w:tc>
          <w:tcPr>
            <w:tcW w:w="1729" w:type="dxa"/>
          </w:tcPr>
          <w:p w14:paraId="033E073E">
            <w:pPr>
              <w:spacing w:after="0"/>
            </w:pPr>
            <w:r>
              <w:rPr>
                <w:rFonts w:ascii="宋体" w:hAnsi="宋体" w:eastAsia="宋体"/>
                <w:sz w:val="22"/>
              </w:rPr>
              <w:t>2台</w:t>
            </w:r>
          </w:p>
        </w:tc>
        <w:tc>
          <w:tcPr>
            <w:tcW w:w="1729" w:type="dxa"/>
          </w:tcPr>
          <w:p w14:paraId="03110FEA">
            <w:pPr>
              <w:spacing w:after="0"/>
            </w:pPr>
            <w:r>
              <w:rPr>
                <w:rFonts w:ascii="宋体" w:hAnsi="宋体" w:eastAsia="宋体"/>
                <w:sz w:val="22"/>
              </w:rPr>
              <w:t>防病毒特征库+IDS规则库</w:t>
            </w:r>
          </w:p>
        </w:tc>
        <w:tc>
          <w:tcPr>
            <w:tcW w:w="1729" w:type="dxa"/>
          </w:tcPr>
          <w:p w14:paraId="27397628">
            <w:pPr>
              <w:spacing w:after="0"/>
            </w:pPr>
            <w:r>
              <w:rPr>
                <w:rFonts w:ascii="宋体" w:hAnsi="宋体" w:eastAsia="宋体"/>
                <w:sz w:val="22"/>
              </w:rPr>
              <w:t>2次</w:t>
            </w:r>
          </w:p>
        </w:tc>
      </w:tr>
      <w:tr w14:paraId="71584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0E50217B">
            <w:pPr>
              <w:spacing w:after="0"/>
            </w:pPr>
            <w:r>
              <w:rPr>
                <w:rFonts w:ascii="宋体" w:hAnsi="宋体" w:eastAsia="宋体"/>
                <w:sz w:val="22"/>
              </w:rPr>
              <w:t>17</w:t>
            </w:r>
          </w:p>
        </w:tc>
        <w:tc>
          <w:tcPr>
            <w:tcW w:w="1729" w:type="dxa"/>
          </w:tcPr>
          <w:p w14:paraId="77BF7333">
            <w:pPr>
              <w:spacing w:after="0"/>
            </w:pPr>
            <w:r>
              <w:rPr>
                <w:rFonts w:ascii="宋体" w:hAnsi="宋体" w:eastAsia="宋体"/>
                <w:sz w:val="22"/>
              </w:rPr>
              <w:t>瑶池变</w:t>
            </w:r>
          </w:p>
        </w:tc>
        <w:tc>
          <w:tcPr>
            <w:tcW w:w="1729" w:type="dxa"/>
          </w:tcPr>
          <w:p w14:paraId="627697C0">
            <w:pPr>
              <w:spacing w:after="0"/>
            </w:pPr>
            <w:r>
              <w:rPr>
                <w:rFonts w:ascii="宋体" w:hAnsi="宋体" w:eastAsia="宋体"/>
                <w:sz w:val="22"/>
              </w:rPr>
              <w:t>2台</w:t>
            </w:r>
          </w:p>
        </w:tc>
        <w:tc>
          <w:tcPr>
            <w:tcW w:w="1729" w:type="dxa"/>
          </w:tcPr>
          <w:p w14:paraId="2B5F12E4">
            <w:pPr>
              <w:spacing w:after="0"/>
            </w:pPr>
            <w:r>
              <w:rPr>
                <w:rFonts w:ascii="宋体" w:hAnsi="宋体" w:eastAsia="宋体"/>
                <w:sz w:val="22"/>
              </w:rPr>
              <w:t>防病毒特征库+IDS规则库</w:t>
            </w:r>
          </w:p>
        </w:tc>
        <w:tc>
          <w:tcPr>
            <w:tcW w:w="1729" w:type="dxa"/>
          </w:tcPr>
          <w:p w14:paraId="0ABCF13E">
            <w:pPr>
              <w:spacing w:after="0"/>
            </w:pPr>
            <w:r>
              <w:rPr>
                <w:rFonts w:ascii="宋体" w:hAnsi="宋体" w:eastAsia="宋体"/>
                <w:sz w:val="22"/>
              </w:rPr>
              <w:t>2次</w:t>
            </w:r>
          </w:p>
        </w:tc>
      </w:tr>
      <w:tr w14:paraId="46C12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01A2433A">
            <w:pPr>
              <w:spacing w:after="0"/>
            </w:pPr>
            <w:r>
              <w:rPr>
                <w:rFonts w:ascii="宋体" w:hAnsi="宋体" w:eastAsia="宋体"/>
                <w:sz w:val="22"/>
              </w:rPr>
              <w:t>18</w:t>
            </w:r>
          </w:p>
        </w:tc>
        <w:tc>
          <w:tcPr>
            <w:tcW w:w="1729" w:type="dxa"/>
          </w:tcPr>
          <w:p w14:paraId="3D5855AE">
            <w:pPr>
              <w:spacing w:after="0"/>
            </w:pPr>
            <w:r>
              <w:rPr>
                <w:rFonts w:ascii="宋体" w:hAnsi="宋体" w:eastAsia="宋体"/>
                <w:sz w:val="22"/>
              </w:rPr>
              <w:t>长宁变</w:t>
            </w:r>
          </w:p>
        </w:tc>
        <w:tc>
          <w:tcPr>
            <w:tcW w:w="1729" w:type="dxa"/>
          </w:tcPr>
          <w:p w14:paraId="2E4F6E1F">
            <w:pPr>
              <w:spacing w:after="0"/>
            </w:pPr>
            <w:r>
              <w:rPr>
                <w:rFonts w:ascii="宋体" w:hAnsi="宋体" w:eastAsia="宋体"/>
                <w:sz w:val="22"/>
              </w:rPr>
              <w:t>2台</w:t>
            </w:r>
          </w:p>
        </w:tc>
        <w:tc>
          <w:tcPr>
            <w:tcW w:w="1729" w:type="dxa"/>
          </w:tcPr>
          <w:p w14:paraId="19FB86B0">
            <w:pPr>
              <w:spacing w:after="0"/>
            </w:pPr>
            <w:r>
              <w:rPr>
                <w:rFonts w:ascii="宋体" w:hAnsi="宋体" w:eastAsia="宋体"/>
                <w:sz w:val="22"/>
              </w:rPr>
              <w:t>防病毒特征库+IDS规则库</w:t>
            </w:r>
          </w:p>
        </w:tc>
        <w:tc>
          <w:tcPr>
            <w:tcW w:w="1729" w:type="dxa"/>
          </w:tcPr>
          <w:p w14:paraId="2078B5D4">
            <w:pPr>
              <w:spacing w:after="0"/>
            </w:pPr>
            <w:r>
              <w:rPr>
                <w:rFonts w:ascii="宋体" w:hAnsi="宋体" w:eastAsia="宋体"/>
                <w:sz w:val="22"/>
              </w:rPr>
              <w:t>2次</w:t>
            </w:r>
          </w:p>
        </w:tc>
      </w:tr>
      <w:tr w14:paraId="22E76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616786B1">
            <w:pPr>
              <w:spacing w:after="0"/>
            </w:pPr>
            <w:r>
              <w:rPr>
                <w:rFonts w:ascii="宋体" w:hAnsi="宋体" w:eastAsia="宋体"/>
                <w:sz w:val="22"/>
              </w:rPr>
              <w:t>19</w:t>
            </w:r>
          </w:p>
        </w:tc>
        <w:tc>
          <w:tcPr>
            <w:tcW w:w="1729" w:type="dxa"/>
          </w:tcPr>
          <w:p w14:paraId="0711EB64">
            <w:pPr>
              <w:spacing w:after="0"/>
            </w:pPr>
            <w:r>
              <w:rPr>
                <w:rFonts w:ascii="宋体" w:hAnsi="宋体" w:eastAsia="宋体"/>
                <w:sz w:val="22"/>
              </w:rPr>
              <w:t>昭阳变</w:t>
            </w:r>
          </w:p>
        </w:tc>
        <w:tc>
          <w:tcPr>
            <w:tcW w:w="1729" w:type="dxa"/>
          </w:tcPr>
          <w:p w14:paraId="6B4D6C33">
            <w:pPr>
              <w:spacing w:after="0"/>
            </w:pPr>
            <w:r>
              <w:rPr>
                <w:rFonts w:ascii="宋体" w:hAnsi="宋体" w:eastAsia="宋体"/>
                <w:sz w:val="22"/>
              </w:rPr>
              <w:t>2台</w:t>
            </w:r>
          </w:p>
        </w:tc>
        <w:tc>
          <w:tcPr>
            <w:tcW w:w="1729" w:type="dxa"/>
          </w:tcPr>
          <w:p w14:paraId="0705DB31">
            <w:pPr>
              <w:spacing w:after="0"/>
            </w:pPr>
            <w:r>
              <w:rPr>
                <w:rFonts w:ascii="宋体" w:hAnsi="宋体" w:eastAsia="宋体"/>
                <w:sz w:val="22"/>
              </w:rPr>
              <w:t>防病毒特征库+IDS规则库</w:t>
            </w:r>
          </w:p>
        </w:tc>
        <w:tc>
          <w:tcPr>
            <w:tcW w:w="1729" w:type="dxa"/>
          </w:tcPr>
          <w:p w14:paraId="5CB90934">
            <w:pPr>
              <w:spacing w:after="0"/>
            </w:pPr>
            <w:r>
              <w:rPr>
                <w:rFonts w:ascii="宋体" w:hAnsi="宋体" w:eastAsia="宋体"/>
                <w:sz w:val="22"/>
              </w:rPr>
              <w:t>2次</w:t>
            </w:r>
          </w:p>
        </w:tc>
      </w:tr>
    </w:tbl>
    <w:p w14:paraId="51211318"/>
    <w:p w14:paraId="0390283F">
      <w:r>
        <w:br w:type="page"/>
      </w:r>
    </w:p>
    <w:p w14:paraId="559319BD">
      <w:pPr>
        <w:pStyle w:val="4"/>
      </w:pPr>
      <w:r>
        <w:rPr>
          <w:rFonts w:ascii="黑体" w:hAnsi="黑体" w:eastAsia="黑体"/>
          <w:b/>
        </w:rPr>
        <w:t>四、项目重难点分析</w:t>
      </w:r>
    </w:p>
    <w:p w14:paraId="16B4823A">
      <w:pPr>
        <w:pStyle w:val="5"/>
      </w:pPr>
      <w:r>
        <w:rPr>
          <w:rFonts w:ascii="黑体" w:hAnsi="黑体" w:eastAsia="黑体"/>
          <w:b/>
        </w:rPr>
        <w:t>4.1 技术难点</w:t>
      </w:r>
    </w:p>
    <w:p w14:paraId="6FF308D8">
      <w:pPr>
        <w:spacing w:line="360" w:lineRule="auto"/>
        <w:ind w:firstLine="480"/>
      </w:pPr>
      <w:r>
        <w:rPr>
          <w:rFonts w:ascii="宋体" w:hAnsi="宋体" w:eastAsia="宋体"/>
          <w:b/>
          <w:sz w:val="24"/>
        </w:rPr>
        <w:t>4.1.1 离线升级技术要求高</w:t>
      </w:r>
    </w:p>
    <w:p w14:paraId="6C391514">
      <w:pPr>
        <w:spacing w:line="360" w:lineRule="auto"/>
        <w:ind w:firstLine="480"/>
      </w:pPr>
      <w:r>
        <w:rPr>
          <w:rFonts w:ascii="宋体" w:hAnsi="宋体" w:eastAsia="宋体"/>
          <w:b w:val="0"/>
          <w:sz w:val="24"/>
        </w:rPr>
        <w:t>根据电力监控系统安全防护要求，变电站网络安全设备的特征库升级必须采用离线方式进行，不得通过网络在线更新。这要求升级人员必须使用经过安全检查的移动存储介质将特征库升级包传输到变电站现场，通过本地操作方式完成升级。离线升级方式虽然能够有效避免网络传输风险，但操作流程更为复杂，对操作人员的专业技能要求更高。</w:t>
      </w:r>
    </w:p>
    <w:p w14:paraId="3D59B2F0">
      <w:pPr>
        <w:spacing w:line="360" w:lineRule="auto"/>
        <w:ind w:firstLine="480"/>
      </w:pPr>
      <w:r>
        <w:rPr>
          <w:rFonts w:ascii="宋体" w:hAnsi="宋体" w:eastAsia="宋体"/>
          <w:b w:val="0"/>
          <w:sz w:val="24"/>
        </w:rPr>
        <w:t>应对策略：制定标准化的离线升级操作规程，对操作人员进行专项培训和考核；升级包在传输前进行完整性校验和病毒查杀；升级操作全程录像记录，确保操作规范性。</w:t>
      </w:r>
    </w:p>
    <w:p w14:paraId="6F5D9CB0">
      <w:pPr>
        <w:spacing w:line="360" w:lineRule="auto"/>
        <w:ind w:firstLine="480"/>
      </w:pPr>
      <w:r>
        <w:rPr>
          <w:rFonts w:ascii="宋体" w:hAnsi="宋体" w:eastAsia="宋体"/>
          <w:b/>
          <w:sz w:val="24"/>
        </w:rPr>
        <w:t>4.1.2 设备型号差异处理</w:t>
      </w:r>
    </w:p>
    <w:p w14:paraId="4AB936D6">
      <w:pPr>
        <w:spacing w:line="360" w:lineRule="auto"/>
        <w:ind w:firstLine="480"/>
      </w:pPr>
      <w:r>
        <w:rPr>
          <w:rFonts w:ascii="宋体" w:hAnsi="宋体" w:eastAsia="宋体"/>
          <w:b w:val="0"/>
          <w:sz w:val="24"/>
        </w:rPr>
        <w:t>19座变电站的防火墙设备可能涉及不同品牌、不同型号的产品，各设备的特征库升级方式、升级包格式、操作界面等可能存在差异。需要针对不同设备制定差异化的升级方案和操作手册。</w:t>
      </w:r>
    </w:p>
    <w:p w14:paraId="6C5C70D8">
      <w:pPr>
        <w:spacing w:line="360" w:lineRule="auto"/>
        <w:ind w:firstLine="480"/>
      </w:pPr>
      <w:r>
        <w:rPr>
          <w:rFonts w:ascii="宋体" w:hAnsi="宋体" w:eastAsia="宋体"/>
          <w:b w:val="0"/>
          <w:sz w:val="24"/>
        </w:rPr>
        <w:t>应对策略：在项目启动阶段全面调研各站防火墙设备型号和版本信息，针对不同设备类型分别制定升级方案和操作手册；升级前进行模拟测试验证，确保升级方案的正确性。</w:t>
      </w:r>
    </w:p>
    <w:p w14:paraId="52EDB086">
      <w:pPr>
        <w:spacing w:line="360" w:lineRule="auto"/>
        <w:ind w:firstLine="480"/>
      </w:pPr>
      <w:r>
        <w:rPr>
          <w:rFonts w:ascii="宋体" w:hAnsi="宋体" w:eastAsia="宋体"/>
          <w:b/>
          <w:sz w:val="24"/>
        </w:rPr>
        <w:t>4.1.3 升级兼容性风险</w:t>
      </w:r>
    </w:p>
    <w:p w14:paraId="790D94AF">
      <w:pPr>
        <w:spacing w:line="360" w:lineRule="auto"/>
        <w:ind w:firstLine="480"/>
      </w:pPr>
      <w:r>
        <w:rPr>
          <w:rFonts w:ascii="宋体" w:hAnsi="宋体" w:eastAsia="宋体"/>
          <w:b w:val="0"/>
          <w:sz w:val="24"/>
        </w:rPr>
        <w:t>特征库升级可能存在与设备固件版本的兼容性问题，如果特征库版本与设备系统版本不匹配，可能导致设备异常或功能失效。需要在升级前充分进行兼容性验证。</w:t>
      </w:r>
    </w:p>
    <w:p w14:paraId="421DA734">
      <w:pPr>
        <w:spacing w:line="360" w:lineRule="auto"/>
        <w:ind w:firstLine="480"/>
      </w:pPr>
      <w:r>
        <w:rPr>
          <w:rFonts w:ascii="宋体" w:hAnsi="宋体" w:eastAsia="宋体"/>
          <w:b w:val="0"/>
          <w:sz w:val="24"/>
        </w:rPr>
        <w:t>应对策略：升级前确认各设备当前固件版本和运行状态；与设备厂商确认特征库升级包与各版本固件的兼容性；准备完善的回退方案，确保出现问题时能够快速恢复。</w:t>
      </w:r>
    </w:p>
    <w:p w14:paraId="52429E71">
      <w:pPr>
        <w:spacing w:line="360" w:lineRule="auto"/>
        <w:ind w:firstLine="480"/>
      </w:pPr>
      <w:r>
        <w:rPr>
          <w:rFonts w:ascii="宋体" w:hAnsi="宋体" w:eastAsia="宋体"/>
          <w:b/>
          <w:sz w:val="24"/>
        </w:rPr>
        <w:t>4.1.4 安全策略一致性保障</w:t>
      </w:r>
    </w:p>
    <w:p w14:paraId="3BE38C94">
      <w:pPr>
        <w:spacing w:line="360" w:lineRule="auto"/>
        <w:ind w:firstLine="480"/>
      </w:pPr>
      <w:r>
        <w:rPr>
          <w:rFonts w:ascii="宋体" w:hAnsi="宋体" w:eastAsia="宋体"/>
          <w:b w:val="0"/>
          <w:sz w:val="24"/>
        </w:rPr>
        <w:t>升级过程中需要确保防火墙已配置的安全策略规则不受影响，升级后设备的所有安全策略应保持原有状态不变。同时需要验证新特征库与现有策略规则的协同工作正常。</w:t>
      </w:r>
    </w:p>
    <w:p w14:paraId="2580092D">
      <w:pPr>
        <w:spacing w:line="360" w:lineRule="auto"/>
        <w:ind w:firstLine="480"/>
      </w:pPr>
      <w:r>
        <w:rPr>
          <w:rFonts w:ascii="宋体" w:hAnsi="宋体" w:eastAsia="宋体"/>
          <w:b w:val="0"/>
          <w:sz w:val="24"/>
        </w:rPr>
        <w:t>应对策略：升级前对设备当前配置进行完整备份；升级后逐项验证安全策略规则的完整性和有效性；建立升级前后的配置比对机制。</w:t>
      </w:r>
    </w:p>
    <w:p w14:paraId="45133CF1">
      <w:pPr>
        <w:pStyle w:val="5"/>
      </w:pPr>
      <w:r>
        <w:rPr>
          <w:rFonts w:ascii="黑体" w:hAnsi="黑体" w:eastAsia="黑体"/>
          <w:b/>
        </w:rPr>
        <w:t>4.2 管理难点</w:t>
      </w:r>
    </w:p>
    <w:p w14:paraId="7DA471BA">
      <w:pPr>
        <w:spacing w:line="360" w:lineRule="auto"/>
        <w:ind w:firstLine="480"/>
      </w:pPr>
      <w:r>
        <w:rPr>
          <w:rFonts w:ascii="宋体" w:hAnsi="宋体" w:eastAsia="宋体"/>
          <w:b/>
          <w:sz w:val="24"/>
        </w:rPr>
        <w:t>4.2.1 多站点协调管理</w:t>
      </w:r>
    </w:p>
    <w:p w14:paraId="156CA974">
      <w:pPr>
        <w:spacing w:line="360" w:lineRule="auto"/>
        <w:ind w:firstLine="480"/>
      </w:pPr>
      <w:r>
        <w:rPr>
          <w:rFonts w:ascii="宋体" w:hAnsi="宋体" w:eastAsia="宋体"/>
          <w:b w:val="0"/>
          <w:sz w:val="24"/>
        </w:rPr>
        <w:t>项目涉及19座变电站，分布在昌吉州不同区域，现场升级工作需要与各变电站运维人员协调配合，合理安排升级时间窗口，确保不影响变电站的日常运维和检修计划。</w:t>
      </w:r>
    </w:p>
    <w:p w14:paraId="263026EE">
      <w:pPr>
        <w:spacing w:line="360" w:lineRule="auto"/>
        <w:ind w:firstLine="480"/>
      </w:pPr>
      <w:r>
        <w:rPr>
          <w:rFonts w:ascii="宋体" w:hAnsi="宋体" w:eastAsia="宋体"/>
          <w:b w:val="0"/>
          <w:sz w:val="24"/>
        </w:rPr>
        <w:t>应对策略：提前与各变电站确认升级时间安排；制定合理的升级路线规划，减少往返交通时间；建立与各站的沟通联络机制，确保信息传递及时准确。</w:t>
      </w:r>
    </w:p>
    <w:p w14:paraId="10E76F09">
      <w:pPr>
        <w:spacing w:line="360" w:lineRule="auto"/>
        <w:ind w:firstLine="480"/>
      </w:pPr>
      <w:r>
        <w:rPr>
          <w:rFonts w:ascii="宋体" w:hAnsi="宋体" w:eastAsia="宋体"/>
          <w:b/>
          <w:sz w:val="24"/>
        </w:rPr>
        <w:t>4.2.2 升级时间窗口受限</w:t>
      </w:r>
    </w:p>
    <w:p w14:paraId="3D9E0956">
      <w:pPr>
        <w:spacing w:line="360" w:lineRule="auto"/>
        <w:ind w:firstLine="480"/>
      </w:pPr>
      <w:r>
        <w:rPr>
          <w:rFonts w:ascii="宋体" w:hAnsi="宋体" w:eastAsia="宋体"/>
          <w:b w:val="0"/>
          <w:sz w:val="24"/>
        </w:rPr>
        <w:t>变电站的升级工作需要在不影响设备正常运行的前提下进行，但由于防火墙在升级过程中可能短暂影响网络流量，需要选择业务低峰期进行操作。同时，每年2次升级需要在规定时间内完成全部19座变电站的升级工作。</w:t>
      </w:r>
    </w:p>
    <w:p w14:paraId="6A866EF3">
      <w:pPr>
        <w:spacing w:line="360" w:lineRule="auto"/>
        <w:ind w:firstLine="480"/>
      </w:pPr>
      <w:r>
        <w:rPr>
          <w:rFonts w:ascii="宋体" w:hAnsi="宋体" w:eastAsia="宋体"/>
          <w:b w:val="0"/>
          <w:sz w:val="24"/>
        </w:rPr>
        <w:t>应对策略：与运维部门协商确定最优升级时间窗口；制定详细的升级进度计划，合理分配各站升级时间；配备充足的技术人员，必要时多路并行推进。</w:t>
      </w:r>
    </w:p>
    <w:p w14:paraId="7F7C69C2">
      <w:pPr>
        <w:spacing w:line="360" w:lineRule="auto"/>
        <w:ind w:firstLine="480"/>
      </w:pPr>
      <w:r>
        <w:rPr>
          <w:rFonts w:ascii="宋体" w:hAnsi="宋体" w:eastAsia="宋体"/>
          <w:b/>
          <w:sz w:val="24"/>
        </w:rPr>
        <w:t>4.2.3 安全合规管理</w:t>
      </w:r>
    </w:p>
    <w:p w14:paraId="493A03F2">
      <w:pPr>
        <w:spacing w:line="360" w:lineRule="auto"/>
        <w:ind w:firstLine="480"/>
      </w:pPr>
      <w:r>
        <w:rPr>
          <w:rFonts w:ascii="宋体" w:hAnsi="宋体" w:eastAsia="宋体"/>
          <w:b w:val="0"/>
          <w:sz w:val="24"/>
        </w:rPr>
        <w:t>升级过程中涉及变电站安全区域进出管理、移动存储介质安全管理、操作权限管理等多个安全合规环节，需要严格遵守电力监控系统安全防护的各项管理规定。</w:t>
      </w:r>
    </w:p>
    <w:p w14:paraId="7C76659B">
      <w:pPr>
        <w:spacing w:line="360" w:lineRule="auto"/>
        <w:ind w:firstLine="480"/>
      </w:pPr>
      <w:r>
        <w:rPr>
          <w:rFonts w:ascii="宋体" w:hAnsi="宋体" w:eastAsia="宋体"/>
          <w:b w:val="0"/>
          <w:sz w:val="24"/>
        </w:rPr>
        <w:t>应对策略：所有参与人员提前办理变电站进出审批手续；移动存储介质严格按照管理规定进行登记、检测和使用；升级操作严格按照授权权限进行。</w:t>
      </w:r>
    </w:p>
    <w:p w14:paraId="49662B08">
      <w:pPr>
        <w:pStyle w:val="5"/>
      </w:pPr>
      <w:r>
        <w:rPr>
          <w:rFonts w:ascii="黑体" w:hAnsi="黑体" w:eastAsia="黑体"/>
          <w:b/>
        </w:rPr>
        <w:t>4.3 实施难点</w:t>
      </w:r>
    </w:p>
    <w:p w14:paraId="3376097A">
      <w:pPr>
        <w:spacing w:line="360" w:lineRule="auto"/>
        <w:ind w:firstLine="480"/>
      </w:pPr>
      <w:r>
        <w:rPr>
          <w:rFonts w:ascii="宋体" w:hAnsi="宋体" w:eastAsia="宋体"/>
          <w:b/>
          <w:sz w:val="24"/>
        </w:rPr>
        <w:t>4.3.1 地理分布广、交通距离长</w:t>
      </w:r>
    </w:p>
    <w:p w14:paraId="60E14095">
      <w:pPr>
        <w:spacing w:line="360" w:lineRule="auto"/>
        <w:ind w:firstLine="480"/>
      </w:pPr>
      <w:r>
        <w:rPr>
          <w:rFonts w:ascii="宋体" w:hAnsi="宋体" w:eastAsia="宋体"/>
          <w:b w:val="0"/>
          <w:sz w:val="24"/>
        </w:rPr>
        <w:t>19座变电站分布在昌吉州辖区的不同县市和区域，部分变电站位于偏远地区，交通不便。短时间内完成全部站点的升级工作对项目实施效率提出了较高要求。</w:t>
      </w:r>
    </w:p>
    <w:p w14:paraId="7C67A545">
      <w:pPr>
        <w:spacing w:line="360" w:lineRule="auto"/>
        <w:ind w:firstLine="480"/>
      </w:pPr>
      <w:r>
        <w:rPr>
          <w:rFonts w:ascii="宋体" w:hAnsi="宋体" w:eastAsia="宋体"/>
          <w:b w:val="0"/>
          <w:sz w:val="24"/>
        </w:rPr>
        <w:t>应对策略：按照地理区域划分升级批次，优化升级路线，减少无效交通时间；必要时安排多个升级小组并行推进。</w:t>
      </w:r>
    </w:p>
    <w:p w14:paraId="1058E86D">
      <w:pPr>
        <w:spacing w:line="360" w:lineRule="auto"/>
        <w:ind w:firstLine="480"/>
      </w:pPr>
      <w:r>
        <w:rPr>
          <w:rFonts w:ascii="宋体" w:hAnsi="宋体" w:eastAsia="宋体"/>
          <w:b/>
          <w:sz w:val="24"/>
        </w:rPr>
        <w:t>4.3.2 现场环境约束</w:t>
      </w:r>
    </w:p>
    <w:p w14:paraId="142C54B1">
      <w:pPr>
        <w:spacing w:line="360" w:lineRule="auto"/>
        <w:ind w:firstLine="480"/>
      </w:pPr>
      <w:r>
        <w:rPr>
          <w:rFonts w:ascii="宋体" w:hAnsi="宋体" w:eastAsia="宋体"/>
          <w:b w:val="0"/>
          <w:sz w:val="24"/>
        </w:rPr>
        <w:t>变电站环境条件特殊，强电磁干扰、温度控制要求等因素对升级操作提出了额外要求。同时，变电站安全管理要求严格，操作人员需要遵守各项安全规程。</w:t>
      </w:r>
    </w:p>
    <w:p w14:paraId="7AD22D1A">
      <w:pPr>
        <w:spacing w:line="360" w:lineRule="auto"/>
        <w:ind w:firstLine="480"/>
      </w:pPr>
      <w:r>
        <w:rPr>
          <w:rFonts w:ascii="宋体" w:hAnsi="宋体" w:eastAsia="宋体"/>
          <w:b w:val="0"/>
          <w:sz w:val="24"/>
        </w:rPr>
        <w:t>应对策略：升级设备选用抗干扰能力强的设备；操作人员经过安全培训并取得相应资质；严格遵守变电站安全管理规定。</w:t>
      </w:r>
    </w:p>
    <w:p w14:paraId="0ED9524A">
      <w:r>
        <w:br w:type="page"/>
      </w:r>
    </w:p>
    <w:p w14:paraId="21D6641C">
      <w:pPr>
        <w:pStyle w:val="4"/>
      </w:pPr>
      <w:r>
        <w:rPr>
          <w:rFonts w:ascii="黑体" w:hAnsi="黑体" w:eastAsia="黑体"/>
          <w:b/>
        </w:rPr>
        <w:t>五、项目实施路径</w:t>
      </w:r>
    </w:p>
    <w:p w14:paraId="31B634FC">
      <w:pPr>
        <w:pStyle w:val="5"/>
      </w:pPr>
      <w:r>
        <w:rPr>
          <w:rFonts w:ascii="黑体" w:hAnsi="黑体" w:eastAsia="黑体"/>
          <w:b/>
        </w:rPr>
        <w:t>5.1 总体实施路径</w:t>
      </w:r>
    </w:p>
    <w:p w14:paraId="75867702">
      <w:pPr>
        <w:spacing w:line="360" w:lineRule="auto"/>
        <w:ind w:firstLine="480"/>
      </w:pPr>
      <w:r>
        <w:rPr>
          <w:rFonts w:ascii="宋体" w:hAnsi="宋体" w:eastAsia="宋体"/>
          <w:b w:val="0"/>
          <w:sz w:val="24"/>
        </w:rPr>
        <w:t>本项目采用"准备—实施—验证—归档"四步法的标准化实施路径，每座变电站的升级工作均严格按照统一流程执行，确保升级质量和一致性。总体实施路径为：前期准备→升级包准备→现场升级实施→升级后验证→文档归档，形成完整的闭环管理。</w:t>
      </w:r>
    </w:p>
    <w:p w14:paraId="07678BCC">
      <w:pPr>
        <w:spacing w:line="360" w:lineRule="auto"/>
        <w:ind w:firstLine="480"/>
      </w:pPr>
      <w:r>
        <w:rPr>
          <w:rFonts w:ascii="宋体" w:hAnsi="宋体" w:eastAsia="宋体"/>
          <w:b/>
          <w:sz w:val="24"/>
        </w:rPr>
        <w:t>第一步：前期准备阶段</w:t>
      </w:r>
    </w:p>
    <w:p w14:paraId="78E4E5B7">
      <w:pPr>
        <w:spacing w:line="360" w:lineRule="auto"/>
        <w:ind w:firstLine="480"/>
      </w:pPr>
      <w:r>
        <w:rPr>
          <w:rFonts w:ascii="宋体" w:hAnsi="宋体" w:eastAsia="宋体"/>
          <w:b w:val="0"/>
          <w:sz w:val="24"/>
        </w:rPr>
        <w:t>（1）设备信息收集：全面收集19座变电站防火墙设备的品牌、型号、当前固件版本、当前特征库版本等基础信息，建立设备台账。</w:t>
      </w:r>
    </w:p>
    <w:p w14:paraId="78AB0EDC">
      <w:pPr>
        <w:spacing w:line="360" w:lineRule="auto"/>
        <w:ind w:firstLine="480"/>
      </w:pPr>
      <w:r>
        <w:rPr>
          <w:rFonts w:ascii="宋体" w:hAnsi="宋体" w:eastAsia="宋体"/>
          <w:b w:val="0"/>
          <w:sz w:val="24"/>
        </w:rPr>
        <w:t>（2）升级方案制定：根据设备型号差异，制定针对性的升级方案和操作手册，明确每种设备类型的具体操作步骤。</w:t>
      </w:r>
    </w:p>
    <w:p w14:paraId="7E19A4C9">
      <w:pPr>
        <w:spacing w:line="360" w:lineRule="auto"/>
        <w:ind w:firstLine="480"/>
      </w:pPr>
      <w:r>
        <w:rPr>
          <w:rFonts w:ascii="宋体" w:hAnsi="宋体" w:eastAsia="宋体"/>
          <w:b w:val="0"/>
          <w:sz w:val="24"/>
        </w:rPr>
        <w:t>（3）升级计划编排：与各变电站协调确认升级时间安排，制定详细的升级进度计划和路线规划。</w:t>
      </w:r>
    </w:p>
    <w:p w14:paraId="40B7A7CD">
      <w:pPr>
        <w:spacing w:line="360" w:lineRule="auto"/>
        <w:ind w:firstLine="480"/>
      </w:pPr>
      <w:r>
        <w:rPr>
          <w:rFonts w:ascii="宋体" w:hAnsi="宋体" w:eastAsia="宋体"/>
          <w:b w:val="0"/>
          <w:sz w:val="24"/>
        </w:rPr>
        <w:t>（4）人员培训考核：对参与升级操作的技术人员进行专项培训和操作考核，确保人员具备独立完成升级操作的能力。</w:t>
      </w:r>
    </w:p>
    <w:p w14:paraId="71865533">
      <w:pPr>
        <w:spacing w:line="360" w:lineRule="auto"/>
        <w:ind w:firstLine="480"/>
      </w:pPr>
      <w:r>
        <w:rPr>
          <w:rFonts w:ascii="宋体" w:hAnsi="宋体" w:eastAsia="宋体"/>
          <w:b w:val="0"/>
          <w:sz w:val="24"/>
        </w:rPr>
        <w:t>（5）工具和介质准备：准备升级所需的笔记本电脑、串口线缆、U盘等工具设备，并对移动存储介质进行安全检测和格式化处理。</w:t>
      </w:r>
    </w:p>
    <w:p w14:paraId="72870C12">
      <w:pPr>
        <w:spacing w:line="360" w:lineRule="auto"/>
        <w:ind w:firstLine="480"/>
      </w:pPr>
      <w:r>
        <w:rPr>
          <w:rFonts w:ascii="宋体" w:hAnsi="宋体" w:eastAsia="宋体"/>
          <w:b/>
          <w:sz w:val="24"/>
        </w:rPr>
        <w:t>第二步：升级包准备阶段</w:t>
      </w:r>
    </w:p>
    <w:p w14:paraId="72DC1CBC">
      <w:pPr>
        <w:spacing w:line="360" w:lineRule="auto"/>
        <w:ind w:firstLine="480"/>
      </w:pPr>
      <w:r>
        <w:rPr>
          <w:rFonts w:ascii="宋体" w:hAnsi="宋体" w:eastAsia="宋体"/>
          <w:b w:val="0"/>
          <w:sz w:val="24"/>
        </w:rPr>
        <w:t>（1）特征库获取：从设备厂商官方渠道获取最新的防病毒特征库和IDS规则库升级包，确认升级包的真实性和完整性。</w:t>
      </w:r>
    </w:p>
    <w:p w14:paraId="62FB548F">
      <w:pPr>
        <w:spacing w:line="360" w:lineRule="auto"/>
        <w:ind w:firstLine="480"/>
      </w:pPr>
      <w:r>
        <w:rPr>
          <w:rFonts w:ascii="宋体" w:hAnsi="宋体" w:eastAsia="宋体"/>
          <w:b w:val="0"/>
          <w:sz w:val="24"/>
        </w:rPr>
        <w:t>（2）完整性验证：对升级包进行MD5/SHA256哈希值校验，确保升级包未被篡改。</w:t>
      </w:r>
    </w:p>
    <w:p w14:paraId="56C4B440">
      <w:pPr>
        <w:spacing w:line="360" w:lineRule="auto"/>
        <w:ind w:firstLine="480"/>
      </w:pPr>
      <w:r>
        <w:rPr>
          <w:rFonts w:ascii="宋体" w:hAnsi="宋体" w:eastAsia="宋体"/>
          <w:b w:val="0"/>
          <w:sz w:val="24"/>
        </w:rPr>
        <w:t>（3）兼容性确认：与设备厂商确认升级包与各站设备固件版本的兼容性，获取厂商的正式确认函。</w:t>
      </w:r>
    </w:p>
    <w:p w14:paraId="6D6D2C87">
      <w:pPr>
        <w:spacing w:line="360" w:lineRule="auto"/>
        <w:ind w:firstLine="480"/>
      </w:pPr>
      <w:r>
        <w:rPr>
          <w:rFonts w:ascii="宋体" w:hAnsi="宋体" w:eastAsia="宋体"/>
          <w:b w:val="0"/>
          <w:sz w:val="24"/>
        </w:rPr>
        <w:t>（4）安全检测：使用安全检测工具对升级包进行全面的病毒扫描和安全检测，确保升级包不携带恶意代码。</w:t>
      </w:r>
    </w:p>
    <w:p w14:paraId="3B57BBBE">
      <w:pPr>
        <w:spacing w:line="360" w:lineRule="auto"/>
        <w:ind w:firstLine="480"/>
      </w:pPr>
      <w:r>
        <w:rPr>
          <w:rFonts w:ascii="宋体" w:hAnsi="宋体" w:eastAsia="宋体"/>
          <w:b w:val="0"/>
          <w:sz w:val="24"/>
        </w:rPr>
        <w:t>（5）介质准备：将验证通过的升级包写入专用U盘，并对U盘进行加密保护和唯一标识标注。</w:t>
      </w:r>
    </w:p>
    <w:p w14:paraId="5634DF40">
      <w:pPr>
        <w:spacing w:line="360" w:lineRule="auto"/>
        <w:ind w:firstLine="480"/>
      </w:pPr>
      <w:r>
        <w:rPr>
          <w:rFonts w:ascii="宋体" w:hAnsi="宋体" w:eastAsia="宋体"/>
          <w:b/>
          <w:sz w:val="24"/>
        </w:rPr>
        <w:t>第三步：现场升级实施阶段</w:t>
      </w:r>
    </w:p>
    <w:p w14:paraId="6DE4E69D">
      <w:pPr>
        <w:spacing w:line="360" w:lineRule="auto"/>
        <w:ind w:firstLine="480"/>
      </w:pPr>
      <w:r>
        <w:rPr>
          <w:rFonts w:ascii="宋体" w:hAnsi="宋体" w:eastAsia="宋体"/>
          <w:b w:val="0"/>
          <w:sz w:val="24"/>
        </w:rPr>
        <w:t>（1）现场准备：到达变电站后，办理进站手续，与站端运维人员确认设备状态正常。</w:t>
      </w:r>
    </w:p>
    <w:p w14:paraId="4E6789EC">
      <w:pPr>
        <w:spacing w:line="360" w:lineRule="auto"/>
        <w:ind w:firstLine="480"/>
      </w:pPr>
      <w:r>
        <w:rPr>
          <w:rFonts w:ascii="宋体" w:hAnsi="宋体" w:eastAsia="宋体"/>
          <w:b w:val="0"/>
          <w:sz w:val="24"/>
        </w:rPr>
        <w:t>（2）配置备份：对防火墙当前运行配置进行完整备份，包括安全策略规则、网络配置、系统参数等所有配置信息。</w:t>
      </w:r>
    </w:p>
    <w:p w14:paraId="6F22D6F6">
      <w:pPr>
        <w:spacing w:line="360" w:lineRule="auto"/>
        <w:ind w:firstLine="480"/>
      </w:pPr>
      <w:r>
        <w:rPr>
          <w:rFonts w:ascii="宋体" w:hAnsi="宋体" w:eastAsia="宋体"/>
          <w:b w:val="0"/>
          <w:sz w:val="24"/>
        </w:rPr>
        <w:t>（3）升级前检查：记录设备当前特征库版本、运行状态、告警信息等关键信息，确认设备处于正常运行状态。</w:t>
      </w:r>
    </w:p>
    <w:p w14:paraId="0C91A37F">
      <w:pPr>
        <w:spacing w:line="360" w:lineRule="auto"/>
        <w:ind w:firstLine="480"/>
      </w:pPr>
      <w:r>
        <w:rPr>
          <w:rFonts w:ascii="宋体" w:hAnsi="宋体" w:eastAsia="宋体"/>
          <w:b w:val="0"/>
          <w:sz w:val="24"/>
        </w:rPr>
        <w:t>（4）执行升级操作：按照操作手册，通过本地管理接口执行特征库升级操作。升级过程中持续监控设备状态。</w:t>
      </w:r>
    </w:p>
    <w:p w14:paraId="4FEECF7F">
      <w:pPr>
        <w:spacing w:line="360" w:lineRule="auto"/>
        <w:ind w:firstLine="480"/>
      </w:pPr>
      <w:r>
        <w:rPr>
          <w:rFonts w:ascii="宋体" w:hAnsi="宋体" w:eastAsia="宋体"/>
          <w:b w:val="0"/>
          <w:sz w:val="24"/>
        </w:rPr>
        <w:t>（5）升级后重启：根据设备要求，必要时进行设备重启使新特征库生效。</w:t>
      </w:r>
    </w:p>
    <w:p w14:paraId="3CB1B001">
      <w:pPr>
        <w:spacing w:line="360" w:lineRule="auto"/>
        <w:ind w:firstLine="480"/>
      </w:pPr>
      <w:r>
        <w:rPr>
          <w:rFonts w:ascii="宋体" w:hAnsi="宋体" w:eastAsia="宋体"/>
          <w:b/>
          <w:sz w:val="24"/>
        </w:rPr>
        <w:t>第四步：升级后验证阶段</w:t>
      </w:r>
    </w:p>
    <w:p w14:paraId="11DA3C94">
      <w:pPr>
        <w:spacing w:line="360" w:lineRule="auto"/>
        <w:ind w:firstLine="480"/>
      </w:pPr>
      <w:r>
        <w:rPr>
          <w:rFonts w:ascii="宋体" w:hAnsi="宋体" w:eastAsia="宋体"/>
          <w:b w:val="0"/>
          <w:sz w:val="24"/>
        </w:rPr>
        <w:t>（1）版本验证：确认防病毒特征库和IDS规则库已成功升级到目标版本。</w:t>
      </w:r>
    </w:p>
    <w:p w14:paraId="10A90872">
      <w:pPr>
        <w:spacing w:line="360" w:lineRule="auto"/>
        <w:ind w:firstLine="480"/>
      </w:pPr>
      <w:r>
        <w:rPr>
          <w:rFonts w:ascii="宋体" w:hAnsi="宋体" w:eastAsia="宋体"/>
          <w:b w:val="0"/>
          <w:sz w:val="24"/>
        </w:rPr>
        <w:t>（2）功能验证：验证防火墙各项安全防护功能正常工作，包括访问控制、入侵检测、病毒防护等功能。</w:t>
      </w:r>
    </w:p>
    <w:p w14:paraId="10B60C86">
      <w:pPr>
        <w:spacing w:line="360" w:lineRule="auto"/>
        <w:ind w:firstLine="480"/>
      </w:pPr>
      <w:r>
        <w:rPr>
          <w:rFonts w:ascii="宋体" w:hAnsi="宋体" w:eastAsia="宋体"/>
          <w:b w:val="0"/>
          <w:sz w:val="24"/>
        </w:rPr>
        <w:t>（3）策略验证：逐项核对安全策略规则，确认所有已配置的策略规则未受影响。</w:t>
      </w:r>
    </w:p>
    <w:p w14:paraId="7D8E9062">
      <w:pPr>
        <w:spacing w:line="360" w:lineRule="auto"/>
        <w:ind w:firstLine="480"/>
      </w:pPr>
      <w:r>
        <w:rPr>
          <w:rFonts w:ascii="宋体" w:hAnsi="宋体" w:eastAsia="宋体"/>
          <w:b w:val="0"/>
          <w:sz w:val="24"/>
        </w:rPr>
        <w:t>（4）网络连通性验证：确认升级后网络通信正常，各业务系统访问不受影响。</w:t>
      </w:r>
    </w:p>
    <w:p w14:paraId="4C6E7AD6">
      <w:pPr>
        <w:spacing w:line="360" w:lineRule="auto"/>
        <w:ind w:firstLine="480"/>
      </w:pPr>
      <w:r>
        <w:rPr>
          <w:rFonts w:ascii="宋体" w:hAnsi="宋体" w:eastAsia="宋体"/>
          <w:b w:val="0"/>
          <w:sz w:val="24"/>
        </w:rPr>
        <w:t>（5）异常处置：如验证发现异常，立即执行回退操作，恢复至升级前的配置状态。</w:t>
      </w:r>
    </w:p>
    <w:p w14:paraId="164C85D6">
      <w:pPr>
        <w:spacing w:line="360" w:lineRule="auto"/>
        <w:ind w:firstLine="480"/>
      </w:pPr>
      <w:r>
        <w:rPr>
          <w:rFonts w:ascii="宋体" w:hAnsi="宋体" w:eastAsia="宋体"/>
          <w:b/>
          <w:sz w:val="24"/>
        </w:rPr>
        <w:t>第五步：文档归档阶段</w:t>
      </w:r>
    </w:p>
    <w:p w14:paraId="7457D804">
      <w:pPr>
        <w:spacing w:line="360" w:lineRule="auto"/>
        <w:ind w:firstLine="480"/>
      </w:pPr>
      <w:r>
        <w:rPr>
          <w:rFonts w:ascii="宋体" w:hAnsi="宋体" w:eastAsia="宋体"/>
          <w:b w:val="0"/>
          <w:sz w:val="24"/>
        </w:rPr>
        <w:t>（1）填写升级记录：记录升级时间、操作人员、升级前后版本信息、验证结果等关键信息。</w:t>
      </w:r>
    </w:p>
    <w:p w14:paraId="1F0811D8">
      <w:pPr>
        <w:spacing w:line="360" w:lineRule="auto"/>
        <w:ind w:firstLine="480"/>
      </w:pPr>
      <w:r>
        <w:rPr>
          <w:rFonts w:ascii="宋体" w:hAnsi="宋体" w:eastAsia="宋体"/>
          <w:b w:val="0"/>
          <w:sz w:val="24"/>
        </w:rPr>
        <w:t>（2）编制验证报告：编制每台设备的升级验证报告，包含升级前后截图对比。</w:t>
      </w:r>
    </w:p>
    <w:p w14:paraId="2FCFC834">
      <w:pPr>
        <w:spacing w:line="360" w:lineRule="auto"/>
        <w:ind w:firstLine="480"/>
      </w:pPr>
      <w:r>
        <w:rPr>
          <w:rFonts w:ascii="宋体" w:hAnsi="宋体" w:eastAsia="宋体"/>
          <w:b w:val="0"/>
          <w:sz w:val="24"/>
        </w:rPr>
        <w:t>（3）资料归档：将备份文件、升级记录、验证报告等资料按照档案管理要求进行整理归档。</w:t>
      </w:r>
    </w:p>
    <w:p w14:paraId="1ED5560C">
      <w:pPr>
        <w:spacing w:line="360" w:lineRule="auto"/>
        <w:ind w:firstLine="480"/>
      </w:pPr>
      <w:r>
        <w:rPr>
          <w:rFonts w:ascii="宋体" w:hAnsi="宋体" w:eastAsia="宋体"/>
          <w:b w:val="0"/>
          <w:sz w:val="24"/>
        </w:rPr>
        <w:t>（4）总结报告：完成全部变电站升级后，编制项目整体升级总结报告。</w:t>
      </w:r>
    </w:p>
    <w:p w14:paraId="06E0E726">
      <w:pPr>
        <w:pStyle w:val="5"/>
      </w:pPr>
      <w:r>
        <w:rPr>
          <w:rFonts w:ascii="黑体" w:hAnsi="黑体" w:eastAsia="黑体"/>
          <w:b/>
        </w:rPr>
        <w:t>5.2 升级操作流程图</w:t>
      </w:r>
    </w:p>
    <w:p w14:paraId="6BDB46AA">
      <w:pPr>
        <w:spacing w:line="360" w:lineRule="auto"/>
        <w:ind w:firstLine="480"/>
      </w:pPr>
      <w:r>
        <w:rPr>
          <w:rFonts w:ascii="宋体" w:hAnsi="宋体" w:eastAsia="宋体"/>
          <w:b w:val="0"/>
          <w:sz w:val="24"/>
        </w:rPr>
        <w:t>单台防火墙升级操作的标准化流程如下：</w:t>
      </w:r>
    </w:p>
    <w:p w14:paraId="223410EF">
      <w:pPr>
        <w:spacing w:line="360" w:lineRule="auto"/>
        <w:ind w:firstLine="480"/>
      </w:pPr>
      <w:r>
        <w:rPr>
          <w:rFonts w:ascii="宋体" w:hAnsi="宋体" w:eastAsia="宋体"/>
          <w:b w:val="0"/>
          <w:sz w:val="24"/>
        </w:rPr>
        <w:t>到达变电站 → 办理进站手续 → 确认设备状态 → 备份当前配置 → 记录当前版本 → 插入升级U盘 → 登录管理界面 → 导入升级包 → 执行升级操作 → 等待升级完成 → 确认新版本 → 验证防护功能 → 核对策略规则 → 验证网络连通 → 填写升级记录 → 办理出站手续</w:t>
      </w:r>
    </w:p>
    <w:p w14:paraId="4EA86F58">
      <w:pPr>
        <w:pStyle w:val="5"/>
      </w:pPr>
      <w:r>
        <w:rPr>
          <w:rFonts w:ascii="黑体" w:hAnsi="黑体" w:eastAsia="黑体"/>
          <w:b/>
        </w:rPr>
        <w:t>5.3 回退方案</w:t>
      </w:r>
    </w:p>
    <w:p w14:paraId="3C783111">
      <w:pPr>
        <w:spacing w:line="360" w:lineRule="auto"/>
        <w:ind w:firstLine="480"/>
      </w:pPr>
      <w:r>
        <w:rPr>
          <w:rFonts w:ascii="宋体" w:hAnsi="宋体" w:eastAsia="宋体"/>
          <w:b w:val="0"/>
          <w:sz w:val="24"/>
        </w:rPr>
        <w:t>为确保升级过程的安全可控，制定以下回退方案：</w:t>
      </w:r>
    </w:p>
    <w:p w14:paraId="666BCCCA">
      <w:pPr>
        <w:spacing w:line="360" w:lineRule="auto"/>
        <w:ind w:firstLine="480"/>
      </w:pPr>
      <w:r>
        <w:rPr>
          <w:rFonts w:ascii="宋体" w:hAnsi="宋体" w:eastAsia="宋体"/>
          <w:b w:val="0"/>
          <w:sz w:val="24"/>
        </w:rPr>
        <w:t>（1）触发回退条件：升级后设备出现功能异常、网络中断、策略失效等任何非预期情况时，立即启动回退操作。</w:t>
      </w:r>
    </w:p>
    <w:p w14:paraId="0953C2E9">
      <w:pPr>
        <w:spacing w:line="360" w:lineRule="auto"/>
        <w:ind w:firstLine="480"/>
      </w:pPr>
      <w:r>
        <w:rPr>
          <w:rFonts w:ascii="宋体" w:hAnsi="宋体" w:eastAsia="宋体"/>
          <w:b w:val="0"/>
          <w:sz w:val="24"/>
        </w:rPr>
        <w:t>（2）回退操作步骤：a) 立即停止当前操作；b) 使用升级前的配置备份文件恢复设备配置；c) 必要时降级特征库至升级前版本；d) 重启设备使恢复配置生效；e) 验证设备恢复正常运行状态。</w:t>
      </w:r>
    </w:p>
    <w:p w14:paraId="54F69C04">
      <w:pPr>
        <w:spacing w:line="360" w:lineRule="auto"/>
        <w:ind w:firstLine="480"/>
      </w:pPr>
      <w:r>
        <w:rPr>
          <w:rFonts w:ascii="宋体" w:hAnsi="宋体" w:eastAsia="宋体"/>
          <w:b w:val="0"/>
          <w:sz w:val="24"/>
        </w:rPr>
        <w:t>（3）回退时间要求：从发现异常到完成回退恢复正常运行，时间不超过30分钟。</w:t>
      </w:r>
    </w:p>
    <w:p w14:paraId="77EB3785">
      <w:pPr>
        <w:spacing w:line="360" w:lineRule="auto"/>
        <w:ind w:firstLine="480"/>
      </w:pPr>
      <w:r>
        <w:rPr>
          <w:rFonts w:ascii="宋体" w:hAnsi="宋体" w:eastAsia="宋体"/>
          <w:b w:val="0"/>
          <w:sz w:val="24"/>
        </w:rPr>
        <w:t>（4）回退后处理：回退成功后，分析异常原因，制定修正方案，待问题解决后重新安排升级。</w:t>
      </w:r>
    </w:p>
    <w:p w14:paraId="382B7D7E">
      <w:r>
        <w:br w:type="page"/>
      </w:r>
    </w:p>
    <w:p w14:paraId="4497E943">
      <w:pPr>
        <w:pStyle w:val="4"/>
      </w:pPr>
      <w:r>
        <w:rPr>
          <w:rFonts w:ascii="黑体" w:hAnsi="黑体" w:eastAsia="黑体"/>
          <w:b/>
        </w:rPr>
        <w:t>六、对工程有帮助的可行性建议</w:t>
      </w:r>
    </w:p>
    <w:p w14:paraId="49CCB4F4">
      <w:pPr>
        <w:pStyle w:val="5"/>
      </w:pPr>
      <w:r>
        <w:rPr>
          <w:rFonts w:ascii="黑体" w:hAnsi="黑体" w:eastAsia="黑体"/>
          <w:b/>
        </w:rPr>
        <w:t>6.1 特征库管理机制建设建议</w:t>
      </w:r>
    </w:p>
    <w:p w14:paraId="35527597">
      <w:pPr>
        <w:spacing w:line="360" w:lineRule="auto"/>
        <w:ind w:firstLine="480"/>
      </w:pPr>
      <w:r>
        <w:rPr>
          <w:rFonts w:ascii="宋体" w:hAnsi="宋体" w:eastAsia="宋体"/>
          <w:b w:val="0"/>
          <w:sz w:val="24"/>
        </w:rPr>
        <w:t>（1）建立特征库版本管理台账。建议昌吉供电公司建立涵盖所有变电站网络安全设备的特征库版本管理台账，详细记录每台设备的设备型号、当前特征库版本、上次升级时间、计划下次升级时间等信息，实现特征库版本的动态化管理。</w:t>
      </w:r>
    </w:p>
    <w:p w14:paraId="6A6FBAC1">
      <w:pPr>
        <w:spacing w:line="360" w:lineRule="auto"/>
        <w:ind w:firstLine="480"/>
      </w:pPr>
      <w:r>
        <w:rPr>
          <w:rFonts w:ascii="宋体" w:hAnsi="宋体" w:eastAsia="宋体"/>
          <w:b w:val="0"/>
          <w:sz w:val="24"/>
        </w:rPr>
        <w:t>（2）建立特征库升级预警机制。建议设置特征库版本到期预警，当特征库版本与最新版本时间差接近5个月时自动预警提示，预留充足的升级准备时间，避免因时间紧迫导致升级质量下降。</w:t>
      </w:r>
    </w:p>
    <w:p w14:paraId="4E8E76B3">
      <w:pPr>
        <w:spacing w:line="360" w:lineRule="auto"/>
        <w:ind w:firstLine="480"/>
      </w:pPr>
      <w:r>
        <w:rPr>
          <w:rFonts w:ascii="宋体" w:hAnsi="宋体" w:eastAsia="宋体"/>
          <w:b w:val="0"/>
          <w:sz w:val="24"/>
        </w:rPr>
        <w:t>（3）建立特征库升级标准化流程。建议将本项目实施过程中形成的升级操作规程、验证方法等固化为公司级管理制度，为后续持续性的特征库升级工作提供制度保障。</w:t>
      </w:r>
    </w:p>
    <w:p w14:paraId="662B4DD1">
      <w:pPr>
        <w:pStyle w:val="5"/>
      </w:pPr>
      <w:r>
        <w:rPr>
          <w:rFonts w:ascii="黑体" w:hAnsi="黑体" w:eastAsia="黑体"/>
          <w:b/>
        </w:rPr>
        <w:t>6.2 网络安全防护体系完善建议</w:t>
      </w:r>
    </w:p>
    <w:p w14:paraId="5227F14C">
      <w:pPr>
        <w:spacing w:line="360" w:lineRule="auto"/>
        <w:ind w:firstLine="480"/>
      </w:pPr>
      <w:r>
        <w:rPr>
          <w:rFonts w:ascii="宋体" w:hAnsi="宋体" w:eastAsia="宋体"/>
          <w:b w:val="0"/>
          <w:sz w:val="24"/>
        </w:rPr>
        <w:t>（1）完善纵深防御体系。建议在现有防火墙和IDS基础上，进一步完善网络安全纵深防御体系，考虑增加网络安全审计、终端安全管理、漏洞扫描等安全能力，形成更加完整的安全防护体系。</w:t>
      </w:r>
    </w:p>
    <w:p w14:paraId="4F9E330C">
      <w:pPr>
        <w:spacing w:line="360" w:lineRule="auto"/>
        <w:ind w:firstLine="480"/>
      </w:pPr>
      <w:r>
        <w:rPr>
          <w:rFonts w:ascii="宋体" w:hAnsi="宋体" w:eastAsia="宋体"/>
          <w:b w:val="0"/>
          <w:sz w:val="24"/>
        </w:rPr>
        <w:t>（2）加强安全监测与应急响应。建议建立统一的网络安全监测平台，对各变电站的网络安全设备进行集中监控和告警管理，提高安全事件的发现和响应效率。</w:t>
      </w:r>
    </w:p>
    <w:p w14:paraId="1F27D8AA">
      <w:pPr>
        <w:spacing w:line="360" w:lineRule="auto"/>
        <w:ind w:firstLine="480"/>
      </w:pPr>
      <w:r>
        <w:rPr>
          <w:rFonts w:ascii="宋体" w:hAnsi="宋体" w:eastAsia="宋体"/>
          <w:b w:val="0"/>
          <w:sz w:val="24"/>
        </w:rPr>
        <w:t>（3）开展安全意识培训。建议定期组织变电站运维人员开展网络安全意识和技能培训，提升基层人员的网络安全防护意识和应急处置能力。</w:t>
      </w:r>
    </w:p>
    <w:p w14:paraId="267A16EB">
      <w:pPr>
        <w:spacing w:line="360" w:lineRule="auto"/>
        <w:ind w:firstLine="480"/>
      </w:pPr>
      <w:r>
        <w:rPr>
          <w:rFonts w:ascii="宋体" w:hAnsi="宋体" w:eastAsia="宋体"/>
          <w:b w:val="0"/>
          <w:sz w:val="24"/>
        </w:rPr>
        <w:t>（4）定期开展安全评估。建议每年至少开展一次网络安全风险评估和渗透测试，全面检验网络安全防护体系的有效性，及时发现和修复安全漏洞。</w:t>
      </w:r>
    </w:p>
    <w:p w14:paraId="3871C335">
      <w:pPr>
        <w:pStyle w:val="5"/>
      </w:pPr>
      <w:r>
        <w:rPr>
          <w:rFonts w:ascii="黑体" w:hAnsi="黑体" w:eastAsia="黑体"/>
          <w:b/>
        </w:rPr>
        <w:t>6.3 设备运维管理建议</w:t>
      </w:r>
    </w:p>
    <w:p w14:paraId="49D8DCFB">
      <w:pPr>
        <w:spacing w:line="360" w:lineRule="auto"/>
        <w:ind w:firstLine="480"/>
      </w:pPr>
      <w:r>
        <w:rPr>
          <w:rFonts w:ascii="宋体" w:hAnsi="宋体" w:eastAsia="宋体"/>
          <w:b w:val="0"/>
          <w:sz w:val="24"/>
        </w:rPr>
        <w:t>（1）建立防火墙设备生命周期管理机制。建议对各站防火墙设备建立全生命周期管理档案，记录设备从采购、部署、运行、维护到退役的全过程信息，为设备更新换代提供决策依据。</w:t>
      </w:r>
    </w:p>
    <w:p w14:paraId="78B1722A">
      <w:pPr>
        <w:spacing w:line="360" w:lineRule="auto"/>
        <w:ind w:firstLine="480"/>
      </w:pPr>
      <w:r>
        <w:rPr>
          <w:rFonts w:ascii="宋体" w:hAnsi="宋体" w:eastAsia="宋体"/>
          <w:b w:val="0"/>
          <w:sz w:val="24"/>
        </w:rPr>
        <w:t>（2）关注设备固件升级。建议在进行特征库升级的同时，关注设备固件版本的更新情况。当设备厂商发布安全补丁或功能增强版本时，应及时评估升级必要性并安排实施。</w:t>
      </w:r>
    </w:p>
    <w:p w14:paraId="61E09967">
      <w:pPr>
        <w:spacing w:line="360" w:lineRule="auto"/>
        <w:ind w:firstLine="480"/>
      </w:pPr>
      <w:r>
        <w:rPr>
          <w:rFonts w:ascii="宋体" w:hAnsi="宋体" w:eastAsia="宋体"/>
          <w:b w:val="0"/>
          <w:sz w:val="24"/>
        </w:rPr>
        <w:t>（3）优化设备冗余配置。建议对关键变电站的防火墙设备配置双机热备或负载均衡，提高网络安全防护的可靠性，同时为特征库升级提供不中断业务的升级条件。</w:t>
      </w:r>
    </w:p>
    <w:p w14:paraId="5632D315">
      <w:pPr>
        <w:pStyle w:val="5"/>
      </w:pPr>
      <w:r>
        <w:rPr>
          <w:rFonts w:ascii="黑体" w:hAnsi="黑体" w:eastAsia="黑体"/>
          <w:b/>
        </w:rPr>
        <w:t>6.4 升级效率提升建议</w:t>
      </w:r>
    </w:p>
    <w:p w14:paraId="24B4CEC4">
      <w:pPr>
        <w:spacing w:line="360" w:lineRule="auto"/>
        <w:ind w:firstLine="480"/>
      </w:pPr>
      <w:r>
        <w:rPr>
          <w:rFonts w:ascii="宋体" w:hAnsi="宋体" w:eastAsia="宋体"/>
          <w:b w:val="0"/>
          <w:sz w:val="24"/>
        </w:rPr>
        <w:t>（1）区域化分组升级。建议将19座变电站按照地理区域划分为若干升级组，每组变电站由专人负责，实现区域化批量升级，提高整体升级效率。</w:t>
      </w:r>
    </w:p>
    <w:p w14:paraId="4EE1B3E9">
      <w:pPr>
        <w:spacing w:line="360" w:lineRule="auto"/>
        <w:ind w:firstLine="480"/>
      </w:pPr>
      <w:r>
        <w:rPr>
          <w:rFonts w:ascii="宋体" w:hAnsi="宋体" w:eastAsia="宋体"/>
          <w:b w:val="0"/>
          <w:sz w:val="24"/>
        </w:rPr>
        <w:t>（2）标准化工具包。建议配备标准化的升级工具包，包含各型号设备的操作手册、升级工具、验证脚本等，减少现场操作准备时间。</w:t>
      </w:r>
    </w:p>
    <w:p w14:paraId="6B67472F">
      <w:pPr>
        <w:spacing w:line="360" w:lineRule="auto"/>
        <w:ind w:firstLine="480"/>
      </w:pPr>
      <w:r>
        <w:rPr>
          <w:rFonts w:ascii="宋体" w:hAnsi="宋体" w:eastAsia="宋体"/>
          <w:b w:val="0"/>
          <w:sz w:val="24"/>
        </w:rPr>
        <w:t>（3）远程技术支持。建议建立与设备厂商的远程技术支持渠道，在升级过程中遇到技术问题时能够快速获取厂商技术支持。</w:t>
      </w:r>
    </w:p>
    <w:p w14:paraId="3D6ADCEA">
      <w:r>
        <w:br w:type="page"/>
      </w:r>
    </w:p>
    <w:p w14:paraId="1B0C11D3">
      <w:pPr>
        <w:pStyle w:val="4"/>
      </w:pPr>
      <w:r>
        <w:rPr>
          <w:rFonts w:ascii="黑体" w:hAnsi="黑体" w:eastAsia="黑体"/>
          <w:b/>
        </w:rPr>
        <w:t>七、项目意义与展望</w:t>
      </w:r>
    </w:p>
    <w:p w14:paraId="1EB0EFCF">
      <w:pPr>
        <w:pStyle w:val="5"/>
      </w:pPr>
      <w:r>
        <w:rPr>
          <w:rFonts w:ascii="黑体" w:hAnsi="黑体" w:eastAsia="黑体"/>
          <w:b/>
        </w:rPr>
        <w:t>7.1 项目实施意义</w:t>
      </w:r>
    </w:p>
    <w:p w14:paraId="5BC9B953">
      <w:pPr>
        <w:spacing w:line="360" w:lineRule="auto"/>
        <w:ind w:firstLine="480"/>
      </w:pPr>
      <w:r>
        <w:rPr>
          <w:rFonts w:ascii="宋体" w:hAnsi="宋体" w:eastAsia="宋体"/>
          <w:b/>
          <w:sz w:val="24"/>
        </w:rPr>
        <w:t>7.1.1 保障电力监控系统安全</w:t>
      </w:r>
    </w:p>
    <w:p w14:paraId="60BC9C47">
      <w:pPr>
        <w:spacing w:line="360" w:lineRule="auto"/>
        <w:ind w:firstLine="480"/>
      </w:pPr>
      <w:r>
        <w:rPr>
          <w:rFonts w:ascii="宋体" w:hAnsi="宋体" w:eastAsia="宋体"/>
          <w:b w:val="0"/>
          <w:sz w:val="24"/>
        </w:rPr>
        <w:t>防火墙特征库是识别和防御网络攻击的核心要素。通过及时升级特征库，可以确保防火墙能够识别最新的病毒特征和攻击特征，有效阻断针对电力监控系统的网络攻击，保障电力监控系统的安全稳定运行。在当前网络安全威胁日益严峻的形势下，特征库的及时更新对于维护电力系统网络安全具有不可替代的重要作用。</w:t>
      </w:r>
    </w:p>
    <w:p w14:paraId="7DF37251">
      <w:pPr>
        <w:spacing w:line="360" w:lineRule="auto"/>
        <w:ind w:firstLine="480"/>
      </w:pPr>
      <w:r>
        <w:rPr>
          <w:rFonts w:ascii="宋体" w:hAnsi="宋体" w:eastAsia="宋体"/>
          <w:b/>
          <w:sz w:val="24"/>
        </w:rPr>
        <w:t>7.1.2 满足合规管理要求</w:t>
      </w:r>
    </w:p>
    <w:p w14:paraId="5FD55D4A">
      <w:pPr>
        <w:spacing w:line="360" w:lineRule="auto"/>
        <w:ind w:firstLine="480"/>
      </w:pPr>
      <w:r>
        <w:rPr>
          <w:rFonts w:ascii="宋体" w:hAnsi="宋体" w:eastAsia="宋体"/>
          <w:b w:val="0"/>
          <w:sz w:val="24"/>
        </w:rPr>
        <w:t>Q/GDW 11807-2024标准明确要求特征库版本时间差不超过6个月。通过本项目的实施，可以确保昌吉供电公司19座变电站的防火墙特征库持续满足标准要求，在各类安全检查和审计中保持合规状态，避免因不合规产生的管理风险和处罚风险。</w:t>
      </w:r>
    </w:p>
    <w:p w14:paraId="6CBA77E1">
      <w:pPr>
        <w:spacing w:line="360" w:lineRule="auto"/>
        <w:ind w:firstLine="480"/>
      </w:pPr>
      <w:r>
        <w:rPr>
          <w:rFonts w:ascii="宋体" w:hAnsi="宋体" w:eastAsia="宋体"/>
          <w:b/>
          <w:sz w:val="24"/>
        </w:rPr>
        <w:t>7.1.3 提升整体防护水平</w:t>
      </w:r>
    </w:p>
    <w:p w14:paraId="48E30EC6">
      <w:pPr>
        <w:spacing w:line="360" w:lineRule="auto"/>
        <w:ind w:firstLine="480"/>
      </w:pPr>
      <w:r>
        <w:rPr>
          <w:rFonts w:ascii="宋体" w:hAnsi="宋体" w:eastAsia="宋体"/>
          <w:b w:val="0"/>
          <w:sz w:val="24"/>
        </w:rPr>
        <w:t>本项目通过系统性地对19座变电站的防火墙进行特征库升级，消除了因特征库过旧导致的防护盲区，使全部变电站的网络安全防护水平达到统一的高标准。这种系统性升级比零散的、被动的升级方式更加全面和有效，能够整体提升昌吉电网的网络安全防护水平。</w:t>
      </w:r>
    </w:p>
    <w:p w14:paraId="75C8E019">
      <w:pPr>
        <w:spacing w:line="360" w:lineRule="auto"/>
        <w:ind w:firstLine="480"/>
      </w:pPr>
      <w:r>
        <w:rPr>
          <w:rFonts w:ascii="宋体" w:hAnsi="宋体" w:eastAsia="宋体"/>
          <w:b/>
          <w:sz w:val="24"/>
        </w:rPr>
        <w:t>7.1.4 积累运维管理经验</w:t>
      </w:r>
    </w:p>
    <w:p w14:paraId="2711D141">
      <w:pPr>
        <w:spacing w:line="360" w:lineRule="auto"/>
        <w:ind w:firstLine="480"/>
      </w:pPr>
      <w:r>
        <w:rPr>
          <w:rFonts w:ascii="宋体" w:hAnsi="宋体" w:eastAsia="宋体"/>
          <w:b w:val="0"/>
          <w:sz w:val="24"/>
        </w:rPr>
        <w:t>通过项目实施，可以建立起规范化的特征库升级操作流程和管理制度，积累宝贵的实施经验。这些经验和制度可以推广应用到后续的设备运维管理工作中，持续提升网络安全设备的管理水平。</w:t>
      </w:r>
    </w:p>
    <w:p w14:paraId="03A0D69E">
      <w:pPr>
        <w:pStyle w:val="5"/>
      </w:pPr>
      <w:r>
        <w:rPr>
          <w:rFonts w:ascii="黑体" w:hAnsi="黑体" w:eastAsia="黑体"/>
          <w:b/>
        </w:rPr>
        <w:t>7.2 未来展望</w:t>
      </w:r>
    </w:p>
    <w:p w14:paraId="37B91438">
      <w:pPr>
        <w:spacing w:line="360" w:lineRule="auto"/>
        <w:ind w:firstLine="480"/>
      </w:pPr>
      <w:r>
        <w:rPr>
          <w:rFonts w:ascii="宋体" w:hAnsi="宋体" w:eastAsia="宋体"/>
          <w:b w:val="0"/>
          <w:sz w:val="24"/>
        </w:rPr>
        <w:t>展望未来，随着电力系统数字化转型的深入推进和网络安全威胁的持续演变，变电站网络安全防护工作将朝着以下方向发展：</w:t>
      </w:r>
    </w:p>
    <w:p w14:paraId="4CA5EC31">
      <w:pPr>
        <w:spacing w:line="360" w:lineRule="auto"/>
        <w:ind w:firstLine="480"/>
      </w:pPr>
      <w:r>
        <w:rPr>
          <w:rFonts w:ascii="宋体" w:hAnsi="宋体" w:eastAsia="宋体"/>
          <w:b w:val="0"/>
          <w:sz w:val="24"/>
        </w:rPr>
        <w:t>（1）智能化升级管理。随着技术的进步，未来可能实现特征库的智能化管理，通过安全可控的方式实现特征库版本的自动监控和半自动化升级，提高升级效率和及时性。</w:t>
      </w:r>
    </w:p>
    <w:p w14:paraId="687E0EDE">
      <w:pPr>
        <w:spacing w:line="360" w:lineRule="auto"/>
        <w:ind w:firstLine="480"/>
      </w:pPr>
      <w:r>
        <w:rPr>
          <w:rFonts w:ascii="宋体" w:hAnsi="宋体" w:eastAsia="宋体"/>
          <w:b w:val="0"/>
          <w:sz w:val="24"/>
        </w:rPr>
        <w:t>（2）一体化安全管控。未来将实现变电站网络安全设备的统一管控平台建设，实现设备状态监控、策略管理、特征库管理、安全事件分析的一体化运营。</w:t>
      </w:r>
    </w:p>
    <w:p w14:paraId="13A289AA">
      <w:pPr>
        <w:spacing w:line="360" w:lineRule="auto"/>
        <w:ind w:firstLine="480"/>
      </w:pPr>
      <w:r>
        <w:rPr>
          <w:rFonts w:ascii="宋体" w:hAnsi="宋体" w:eastAsia="宋体"/>
          <w:b w:val="0"/>
          <w:sz w:val="24"/>
        </w:rPr>
        <w:t>（3）主动防御体系。从被动防御向主动防御转变，通过威胁情报共享、攻击行为预测等手段，实现对网络安全威胁的提前感知和主动应对。</w:t>
      </w:r>
    </w:p>
    <w:p w14:paraId="3FFD3977">
      <w:pPr>
        <w:spacing w:line="360" w:lineRule="auto"/>
        <w:ind w:firstLine="480"/>
      </w:pPr>
      <w:r>
        <w:rPr>
          <w:rFonts w:ascii="宋体" w:hAnsi="宋体" w:eastAsia="宋体"/>
          <w:b w:val="0"/>
          <w:sz w:val="24"/>
        </w:rPr>
        <w:t>（4）零信任架构。逐步引入零信任安全理念，实现基于身份的细粒度访问控制和持续验证，进一步提升电力监控系统的安全防护水平。</w:t>
      </w:r>
    </w:p>
    <w:p w14:paraId="38D0027F">
      <w:pPr>
        <w:spacing w:line="360" w:lineRule="auto"/>
        <w:ind w:firstLine="480"/>
      </w:pPr>
      <w:r>
        <w:rPr>
          <w:rFonts w:ascii="宋体" w:hAnsi="宋体" w:eastAsia="宋体"/>
          <w:b w:val="0"/>
          <w:sz w:val="24"/>
        </w:rPr>
        <w:t>我们相信，通过本项目的扎实推进和后续工作的持续深化，昌吉供电公司的变电站网络安全防护体系将不断完善，为电网安全稳定运行提供坚实的网络安全保障。</w:t>
      </w:r>
    </w:p>
    <w:p w14:paraId="7357CBB2">
      <w:r>
        <w:br w:type="page"/>
      </w:r>
    </w:p>
    <w:p w14:paraId="50B16355">
      <w:pPr>
        <w:pStyle w:val="4"/>
      </w:pPr>
      <w:r>
        <w:rPr>
          <w:rFonts w:ascii="黑体" w:hAnsi="黑体" w:eastAsia="黑体"/>
          <w:b/>
        </w:rPr>
        <w:t>八、工作规划描述</w:t>
      </w:r>
    </w:p>
    <w:p w14:paraId="4B832057">
      <w:pPr>
        <w:pStyle w:val="5"/>
      </w:pPr>
      <w:r>
        <w:rPr>
          <w:rFonts w:ascii="黑体" w:hAnsi="黑体" w:eastAsia="黑体"/>
          <w:b/>
        </w:rPr>
        <w:t>8.1 工作总体规划</w:t>
      </w:r>
    </w:p>
    <w:p w14:paraId="67D77105">
      <w:pPr>
        <w:spacing w:line="360" w:lineRule="auto"/>
        <w:ind w:firstLine="480"/>
      </w:pPr>
      <w:r>
        <w:rPr>
          <w:rFonts w:ascii="宋体" w:hAnsi="宋体" w:eastAsia="宋体"/>
          <w:b w:val="0"/>
          <w:sz w:val="24"/>
        </w:rPr>
        <w:t>本项目工作规划按照"分批实施、全面覆盖、规范操作、确保质量"的原则，将19座变电站的防火墙特征库升级工作合理安排在全年两个升级周期内完成。每个升级周期覆盖全部19座变电站38台防火墙，确保所有设备的特征库版本持续满足标准要求。</w:t>
      </w:r>
    </w:p>
    <w:p w14:paraId="09742182">
      <w:pPr>
        <w:spacing w:line="360" w:lineRule="auto"/>
        <w:ind w:firstLine="480"/>
      </w:pPr>
      <w:r>
        <w:rPr>
          <w:rFonts w:ascii="宋体" w:hAnsi="宋体" w:eastAsia="宋体"/>
          <w:b/>
          <w:sz w:val="24"/>
        </w:rPr>
        <w:t>第一次升级周期（上半年）</w:t>
      </w:r>
    </w:p>
    <w:p w14:paraId="3CB4E899">
      <w:pPr>
        <w:spacing w:line="360" w:lineRule="auto"/>
        <w:ind w:firstLine="480"/>
      </w:pPr>
      <w:r>
        <w:rPr>
          <w:rFonts w:ascii="宋体" w:hAnsi="宋体" w:eastAsia="宋体"/>
          <w:b w:val="0"/>
          <w:sz w:val="24"/>
        </w:rPr>
        <w:t>计划在每年3-4月期间完成第一次全面升级。此时段为冬季运行方式向夏季运行方式过渡期，电网负荷相对平稳，适合开展升级工作。具体安排：</w:t>
      </w:r>
    </w:p>
    <w:p w14:paraId="2726B6A8">
      <w:pPr>
        <w:spacing w:line="360" w:lineRule="auto"/>
        <w:ind w:firstLine="480"/>
      </w:pPr>
      <w:r>
        <w:rPr>
          <w:rFonts w:ascii="宋体" w:hAnsi="宋体" w:eastAsia="宋体"/>
          <w:b w:val="0"/>
          <w:sz w:val="24"/>
        </w:rPr>
        <w:t>- 第1周：升级准备，获取最新特征库升级包，进行兼容性验证和安全检测</w:t>
      </w:r>
    </w:p>
    <w:p w14:paraId="5E923F16">
      <w:pPr>
        <w:spacing w:line="360" w:lineRule="auto"/>
        <w:ind w:firstLine="480"/>
      </w:pPr>
      <w:r>
        <w:rPr>
          <w:rFonts w:ascii="宋体" w:hAnsi="宋体" w:eastAsia="宋体"/>
          <w:b w:val="0"/>
          <w:sz w:val="24"/>
        </w:rPr>
        <w:t>- 第2-3周：分批对19座变电站进行现场升级，每日完成3-4座变电站</w:t>
      </w:r>
    </w:p>
    <w:p w14:paraId="572A307D">
      <w:pPr>
        <w:spacing w:line="360" w:lineRule="auto"/>
        <w:ind w:firstLine="480"/>
      </w:pPr>
      <w:r>
        <w:rPr>
          <w:rFonts w:ascii="宋体" w:hAnsi="宋体" w:eastAsia="宋体"/>
          <w:b w:val="0"/>
          <w:sz w:val="24"/>
        </w:rPr>
        <w:t>- 第4周：升级验证、问题处理和文档整理归档</w:t>
      </w:r>
    </w:p>
    <w:p w14:paraId="34054F54">
      <w:pPr>
        <w:spacing w:line="360" w:lineRule="auto"/>
        <w:ind w:firstLine="480"/>
      </w:pPr>
      <w:r>
        <w:rPr>
          <w:rFonts w:ascii="宋体" w:hAnsi="宋体" w:eastAsia="宋体"/>
          <w:b/>
          <w:sz w:val="24"/>
        </w:rPr>
        <w:t>第二次升级周期（下半年）</w:t>
      </w:r>
    </w:p>
    <w:p w14:paraId="22579EFB">
      <w:pPr>
        <w:spacing w:line="360" w:lineRule="auto"/>
        <w:ind w:firstLine="480"/>
      </w:pPr>
      <w:r>
        <w:rPr>
          <w:rFonts w:ascii="宋体" w:hAnsi="宋体" w:eastAsia="宋体"/>
          <w:b w:val="0"/>
          <w:sz w:val="24"/>
        </w:rPr>
        <w:t>计划在每年9-10月期间完成第二次全面升级。此时段为夏季运行高峰后的过渡期，电网运行压力有所缓解。具体安排：</w:t>
      </w:r>
    </w:p>
    <w:p w14:paraId="25592452">
      <w:pPr>
        <w:spacing w:line="360" w:lineRule="auto"/>
        <w:ind w:firstLine="480"/>
      </w:pPr>
      <w:r>
        <w:rPr>
          <w:rFonts w:ascii="宋体" w:hAnsi="宋体" w:eastAsia="宋体"/>
          <w:b w:val="0"/>
          <w:sz w:val="24"/>
        </w:rPr>
        <w:t>- 第1周：升级准备，获取最新特征库升级包，进行兼容性验证和安全检测</w:t>
      </w:r>
    </w:p>
    <w:p w14:paraId="19656FD3">
      <w:pPr>
        <w:spacing w:line="360" w:lineRule="auto"/>
        <w:ind w:firstLine="480"/>
      </w:pPr>
      <w:r>
        <w:rPr>
          <w:rFonts w:ascii="宋体" w:hAnsi="宋体" w:eastAsia="宋体"/>
          <w:b w:val="0"/>
          <w:sz w:val="24"/>
        </w:rPr>
        <w:t>- 第2-3周：分批对19座变电站进行现场升级，每日完成3-4座变电站</w:t>
      </w:r>
    </w:p>
    <w:p w14:paraId="6A3ADD44">
      <w:pPr>
        <w:spacing w:line="360" w:lineRule="auto"/>
        <w:ind w:firstLine="480"/>
      </w:pPr>
      <w:r>
        <w:rPr>
          <w:rFonts w:ascii="宋体" w:hAnsi="宋体" w:eastAsia="宋体"/>
          <w:b w:val="0"/>
          <w:sz w:val="24"/>
        </w:rPr>
        <w:t>- 第4周：升级验证、问题处理和文档整理归档</w:t>
      </w:r>
    </w:p>
    <w:p w14:paraId="5A268DB7">
      <w:pPr>
        <w:pStyle w:val="5"/>
      </w:pPr>
      <w:r>
        <w:rPr>
          <w:rFonts w:ascii="黑体" w:hAnsi="黑体" w:eastAsia="黑体"/>
          <w:b/>
        </w:rPr>
        <w:t>8.2 人员配置规划</w:t>
      </w:r>
    </w:p>
    <w:p w14:paraId="58908ED0">
      <w:pPr>
        <w:spacing w:line="360" w:lineRule="auto"/>
        <w:ind w:firstLine="480"/>
      </w:pPr>
      <w:r>
        <w:rPr>
          <w:rFonts w:ascii="宋体" w:hAnsi="宋体" w:eastAsia="宋体"/>
          <w:b w:val="0"/>
          <w:sz w:val="24"/>
        </w:rPr>
        <w:t>本项目拟配置以下专业技术人员：</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729"/>
        <w:gridCol w:w="1729"/>
        <w:gridCol w:w="1729"/>
      </w:tblGrid>
      <w:tr w14:paraId="7BAB1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4A030C25">
            <w:pPr>
              <w:spacing w:after="0"/>
              <w:jc w:val="center"/>
            </w:pPr>
            <w:r>
              <w:rPr>
                <w:rFonts w:ascii="宋体" w:hAnsi="宋体" w:eastAsia="宋体"/>
                <w:b/>
                <w:sz w:val="22"/>
              </w:rPr>
              <w:t>序号</w:t>
            </w:r>
          </w:p>
        </w:tc>
        <w:tc>
          <w:tcPr>
            <w:tcW w:w="1729" w:type="dxa"/>
          </w:tcPr>
          <w:p w14:paraId="23D8E7B4">
            <w:pPr>
              <w:spacing w:after="0"/>
              <w:jc w:val="center"/>
            </w:pPr>
            <w:r>
              <w:rPr>
                <w:rFonts w:ascii="宋体" w:hAnsi="宋体" w:eastAsia="宋体"/>
                <w:b/>
                <w:sz w:val="22"/>
              </w:rPr>
              <w:t>岗位</w:t>
            </w:r>
          </w:p>
        </w:tc>
        <w:tc>
          <w:tcPr>
            <w:tcW w:w="1729" w:type="dxa"/>
          </w:tcPr>
          <w:p w14:paraId="0B433475">
            <w:pPr>
              <w:spacing w:after="0"/>
              <w:jc w:val="center"/>
            </w:pPr>
            <w:r>
              <w:rPr>
                <w:rFonts w:ascii="宋体" w:hAnsi="宋体" w:eastAsia="宋体"/>
                <w:b/>
                <w:sz w:val="22"/>
              </w:rPr>
              <w:t>人数</w:t>
            </w:r>
          </w:p>
        </w:tc>
        <w:tc>
          <w:tcPr>
            <w:tcW w:w="1729" w:type="dxa"/>
          </w:tcPr>
          <w:p w14:paraId="7B524B1B">
            <w:pPr>
              <w:spacing w:after="0"/>
              <w:jc w:val="center"/>
            </w:pPr>
            <w:r>
              <w:rPr>
                <w:rFonts w:ascii="宋体" w:hAnsi="宋体" w:eastAsia="宋体"/>
                <w:b/>
                <w:sz w:val="22"/>
              </w:rPr>
              <w:t>主要职责</w:t>
            </w:r>
          </w:p>
        </w:tc>
        <w:tc>
          <w:tcPr>
            <w:tcW w:w="1729" w:type="dxa"/>
          </w:tcPr>
          <w:p w14:paraId="6D162AED">
            <w:pPr>
              <w:spacing w:after="0"/>
              <w:jc w:val="center"/>
            </w:pPr>
            <w:r>
              <w:rPr>
                <w:rFonts w:ascii="宋体" w:hAnsi="宋体" w:eastAsia="宋体"/>
                <w:b/>
                <w:sz w:val="22"/>
              </w:rPr>
              <w:t>资质要求</w:t>
            </w:r>
          </w:p>
        </w:tc>
      </w:tr>
      <w:tr w14:paraId="5DD89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671E6386">
            <w:pPr>
              <w:spacing w:after="0"/>
            </w:pPr>
            <w:r>
              <w:rPr>
                <w:rFonts w:ascii="宋体" w:hAnsi="宋体" w:eastAsia="宋体"/>
                <w:sz w:val="22"/>
              </w:rPr>
              <w:t>1</w:t>
            </w:r>
          </w:p>
        </w:tc>
        <w:tc>
          <w:tcPr>
            <w:tcW w:w="1729" w:type="dxa"/>
          </w:tcPr>
          <w:p w14:paraId="03960923">
            <w:pPr>
              <w:spacing w:after="0"/>
            </w:pPr>
            <w:r>
              <w:rPr>
                <w:rFonts w:ascii="宋体" w:hAnsi="宋体" w:eastAsia="宋体"/>
                <w:sz w:val="22"/>
              </w:rPr>
              <w:t>项目负责人</w:t>
            </w:r>
          </w:p>
        </w:tc>
        <w:tc>
          <w:tcPr>
            <w:tcW w:w="1729" w:type="dxa"/>
          </w:tcPr>
          <w:p w14:paraId="4498BF87">
            <w:pPr>
              <w:spacing w:after="0"/>
            </w:pPr>
            <w:r>
              <w:rPr>
                <w:rFonts w:ascii="宋体" w:hAnsi="宋体" w:eastAsia="宋体"/>
                <w:sz w:val="22"/>
              </w:rPr>
              <w:t>1</w:t>
            </w:r>
          </w:p>
        </w:tc>
        <w:tc>
          <w:tcPr>
            <w:tcW w:w="1729" w:type="dxa"/>
          </w:tcPr>
          <w:p w14:paraId="428D205B">
            <w:pPr>
              <w:spacing w:after="0"/>
            </w:pPr>
            <w:r>
              <w:rPr>
                <w:rFonts w:ascii="宋体" w:hAnsi="宋体" w:eastAsia="宋体"/>
                <w:sz w:val="22"/>
              </w:rPr>
              <w:t>项目整体管理和协调</w:t>
            </w:r>
          </w:p>
        </w:tc>
        <w:tc>
          <w:tcPr>
            <w:tcW w:w="1729" w:type="dxa"/>
          </w:tcPr>
          <w:p w14:paraId="7B22926F">
            <w:pPr>
              <w:spacing w:after="0"/>
            </w:pPr>
            <w:r>
              <w:rPr>
                <w:rFonts w:ascii="宋体" w:hAnsi="宋体" w:eastAsia="宋体"/>
                <w:sz w:val="22"/>
              </w:rPr>
              <w:t>高级工程师，网络安全专业</w:t>
            </w:r>
          </w:p>
        </w:tc>
      </w:tr>
      <w:tr w14:paraId="388FC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79C4BB22">
            <w:pPr>
              <w:spacing w:after="0"/>
            </w:pPr>
            <w:r>
              <w:rPr>
                <w:rFonts w:ascii="宋体" w:hAnsi="宋体" w:eastAsia="宋体"/>
                <w:sz w:val="22"/>
              </w:rPr>
              <w:t>2</w:t>
            </w:r>
          </w:p>
        </w:tc>
        <w:tc>
          <w:tcPr>
            <w:tcW w:w="1729" w:type="dxa"/>
          </w:tcPr>
          <w:p w14:paraId="77E30874">
            <w:pPr>
              <w:spacing w:after="0"/>
            </w:pPr>
            <w:r>
              <w:rPr>
                <w:rFonts w:ascii="宋体" w:hAnsi="宋体" w:eastAsia="宋体"/>
                <w:sz w:val="22"/>
              </w:rPr>
              <w:t>技术负责人</w:t>
            </w:r>
          </w:p>
        </w:tc>
        <w:tc>
          <w:tcPr>
            <w:tcW w:w="1729" w:type="dxa"/>
          </w:tcPr>
          <w:p w14:paraId="6DDB0FD6">
            <w:pPr>
              <w:spacing w:after="0"/>
            </w:pPr>
            <w:r>
              <w:rPr>
                <w:rFonts w:ascii="宋体" w:hAnsi="宋体" w:eastAsia="宋体"/>
                <w:sz w:val="22"/>
              </w:rPr>
              <w:t>1</w:t>
            </w:r>
          </w:p>
        </w:tc>
        <w:tc>
          <w:tcPr>
            <w:tcW w:w="1729" w:type="dxa"/>
          </w:tcPr>
          <w:p w14:paraId="130AD3FA">
            <w:pPr>
              <w:spacing w:after="0"/>
            </w:pPr>
            <w:r>
              <w:rPr>
                <w:rFonts w:ascii="宋体" w:hAnsi="宋体" w:eastAsia="宋体"/>
                <w:sz w:val="22"/>
              </w:rPr>
              <w:t>技术方案把关，质量控制</w:t>
            </w:r>
          </w:p>
        </w:tc>
        <w:tc>
          <w:tcPr>
            <w:tcW w:w="1729" w:type="dxa"/>
          </w:tcPr>
          <w:p w14:paraId="3DB66383">
            <w:pPr>
              <w:spacing w:after="0"/>
            </w:pPr>
            <w:r>
              <w:rPr>
                <w:rFonts w:ascii="宋体" w:hAnsi="宋体" w:eastAsia="宋体"/>
                <w:sz w:val="22"/>
              </w:rPr>
              <w:t>网络安全高级工程师</w:t>
            </w:r>
          </w:p>
        </w:tc>
      </w:tr>
      <w:tr w14:paraId="7CE7C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1DBF1148">
            <w:pPr>
              <w:spacing w:after="0"/>
            </w:pPr>
            <w:r>
              <w:rPr>
                <w:rFonts w:ascii="宋体" w:hAnsi="宋体" w:eastAsia="宋体"/>
                <w:sz w:val="22"/>
              </w:rPr>
              <w:t>3</w:t>
            </w:r>
          </w:p>
        </w:tc>
        <w:tc>
          <w:tcPr>
            <w:tcW w:w="1729" w:type="dxa"/>
          </w:tcPr>
          <w:p w14:paraId="1B2BEE66">
            <w:pPr>
              <w:spacing w:after="0"/>
            </w:pPr>
            <w:r>
              <w:rPr>
                <w:rFonts w:ascii="宋体" w:hAnsi="宋体" w:eastAsia="宋体"/>
                <w:sz w:val="22"/>
              </w:rPr>
              <w:t>升级操作工程师</w:t>
            </w:r>
          </w:p>
        </w:tc>
        <w:tc>
          <w:tcPr>
            <w:tcW w:w="1729" w:type="dxa"/>
          </w:tcPr>
          <w:p w14:paraId="1F6BF2E2">
            <w:pPr>
              <w:spacing w:after="0"/>
            </w:pPr>
            <w:r>
              <w:rPr>
                <w:rFonts w:ascii="宋体" w:hAnsi="宋体" w:eastAsia="宋体"/>
                <w:sz w:val="22"/>
              </w:rPr>
              <w:t>4</w:t>
            </w:r>
          </w:p>
        </w:tc>
        <w:tc>
          <w:tcPr>
            <w:tcW w:w="1729" w:type="dxa"/>
          </w:tcPr>
          <w:p w14:paraId="683AB097">
            <w:pPr>
              <w:spacing w:after="0"/>
            </w:pPr>
            <w:r>
              <w:rPr>
                <w:rFonts w:ascii="宋体" w:hAnsi="宋体" w:eastAsia="宋体"/>
                <w:sz w:val="22"/>
              </w:rPr>
              <w:t>现场升级操作执行</w:t>
            </w:r>
          </w:p>
        </w:tc>
        <w:tc>
          <w:tcPr>
            <w:tcW w:w="1729" w:type="dxa"/>
          </w:tcPr>
          <w:p w14:paraId="12825529">
            <w:pPr>
              <w:spacing w:after="0"/>
            </w:pPr>
            <w:r>
              <w:rPr>
                <w:rFonts w:ascii="宋体" w:hAnsi="宋体" w:eastAsia="宋体"/>
                <w:sz w:val="22"/>
              </w:rPr>
              <w:t>持有网络安全相关证书</w:t>
            </w:r>
          </w:p>
        </w:tc>
      </w:tr>
      <w:tr w14:paraId="1FFFE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0F4CB095">
            <w:pPr>
              <w:spacing w:after="0"/>
            </w:pPr>
            <w:r>
              <w:rPr>
                <w:rFonts w:ascii="宋体" w:hAnsi="宋体" w:eastAsia="宋体"/>
                <w:sz w:val="22"/>
              </w:rPr>
              <w:t>4</w:t>
            </w:r>
          </w:p>
        </w:tc>
        <w:tc>
          <w:tcPr>
            <w:tcW w:w="1729" w:type="dxa"/>
          </w:tcPr>
          <w:p w14:paraId="2D31E41B">
            <w:pPr>
              <w:spacing w:after="0"/>
            </w:pPr>
            <w:r>
              <w:rPr>
                <w:rFonts w:ascii="宋体" w:hAnsi="宋体" w:eastAsia="宋体"/>
                <w:sz w:val="22"/>
              </w:rPr>
              <w:t>质量验证工程师</w:t>
            </w:r>
          </w:p>
        </w:tc>
        <w:tc>
          <w:tcPr>
            <w:tcW w:w="1729" w:type="dxa"/>
          </w:tcPr>
          <w:p w14:paraId="06927A32">
            <w:pPr>
              <w:spacing w:after="0"/>
            </w:pPr>
            <w:r>
              <w:rPr>
                <w:rFonts w:ascii="宋体" w:hAnsi="宋体" w:eastAsia="宋体"/>
                <w:sz w:val="22"/>
              </w:rPr>
              <w:t>2</w:t>
            </w:r>
          </w:p>
        </w:tc>
        <w:tc>
          <w:tcPr>
            <w:tcW w:w="1729" w:type="dxa"/>
          </w:tcPr>
          <w:p w14:paraId="78390EE5">
            <w:pPr>
              <w:spacing w:after="0"/>
            </w:pPr>
            <w:r>
              <w:rPr>
                <w:rFonts w:ascii="宋体" w:hAnsi="宋体" w:eastAsia="宋体"/>
                <w:sz w:val="22"/>
              </w:rPr>
              <w:t>升级后功能验证</w:t>
            </w:r>
          </w:p>
        </w:tc>
        <w:tc>
          <w:tcPr>
            <w:tcW w:w="1729" w:type="dxa"/>
          </w:tcPr>
          <w:p w14:paraId="29BDA09C">
            <w:pPr>
              <w:spacing w:after="0"/>
            </w:pPr>
            <w:r>
              <w:rPr>
                <w:rFonts w:ascii="宋体" w:hAnsi="宋体" w:eastAsia="宋体"/>
                <w:sz w:val="22"/>
              </w:rPr>
              <w:t>熟悉防火墙设备运维</w:t>
            </w:r>
          </w:p>
        </w:tc>
      </w:tr>
      <w:tr w14:paraId="7EB07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4B4ED65D">
            <w:pPr>
              <w:spacing w:after="0"/>
            </w:pPr>
            <w:r>
              <w:rPr>
                <w:rFonts w:ascii="宋体" w:hAnsi="宋体" w:eastAsia="宋体"/>
                <w:sz w:val="22"/>
              </w:rPr>
              <w:t>5</w:t>
            </w:r>
          </w:p>
        </w:tc>
        <w:tc>
          <w:tcPr>
            <w:tcW w:w="1729" w:type="dxa"/>
          </w:tcPr>
          <w:p w14:paraId="510BC990">
            <w:pPr>
              <w:spacing w:after="0"/>
            </w:pPr>
            <w:r>
              <w:rPr>
                <w:rFonts w:ascii="宋体" w:hAnsi="宋体" w:eastAsia="宋体"/>
                <w:sz w:val="22"/>
              </w:rPr>
              <w:t>文档管理员</w:t>
            </w:r>
          </w:p>
        </w:tc>
        <w:tc>
          <w:tcPr>
            <w:tcW w:w="1729" w:type="dxa"/>
          </w:tcPr>
          <w:p w14:paraId="61BDE2BD">
            <w:pPr>
              <w:spacing w:after="0"/>
            </w:pPr>
            <w:r>
              <w:rPr>
                <w:rFonts w:ascii="宋体" w:hAnsi="宋体" w:eastAsia="宋体"/>
                <w:sz w:val="22"/>
              </w:rPr>
              <w:t>1</w:t>
            </w:r>
          </w:p>
        </w:tc>
        <w:tc>
          <w:tcPr>
            <w:tcW w:w="1729" w:type="dxa"/>
          </w:tcPr>
          <w:p w14:paraId="2EEB1DE8">
            <w:pPr>
              <w:spacing w:after="0"/>
            </w:pPr>
            <w:r>
              <w:rPr>
                <w:rFonts w:ascii="宋体" w:hAnsi="宋体" w:eastAsia="宋体"/>
                <w:sz w:val="22"/>
              </w:rPr>
              <w:t>升级记录和文档归档</w:t>
            </w:r>
          </w:p>
        </w:tc>
        <w:tc>
          <w:tcPr>
            <w:tcW w:w="1729" w:type="dxa"/>
          </w:tcPr>
          <w:p w14:paraId="68F7D3AA">
            <w:pPr>
              <w:spacing w:after="0"/>
            </w:pPr>
            <w:r>
              <w:rPr>
                <w:rFonts w:ascii="宋体" w:hAnsi="宋体" w:eastAsia="宋体"/>
                <w:sz w:val="22"/>
              </w:rPr>
              <w:t>具备文档管理经验</w:t>
            </w:r>
          </w:p>
        </w:tc>
      </w:tr>
    </w:tbl>
    <w:p w14:paraId="06933B96"/>
    <w:p w14:paraId="5E5FA973">
      <w:pPr>
        <w:pStyle w:val="5"/>
      </w:pPr>
      <w:r>
        <w:rPr>
          <w:rFonts w:ascii="黑体" w:hAnsi="黑体" w:eastAsia="黑体"/>
          <w:b/>
        </w:rPr>
        <w:t>8.3 质量保障措施</w:t>
      </w:r>
    </w:p>
    <w:p w14:paraId="127BD464">
      <w:pPr>
        <w:spacing w:line="360" w:lineRule="auto"/>
        <w:ind w:firstLine="480"/>
      </w:pPr>
      <w:r>
        <w:rPr>
          <w:rFonts w:ascii="宋体" w:hAnsi="宋体" w:eastAsia="宋体"/>
          <w:b w:val="0"/>
          <w:sz w:val="24"/>
        </w:rPr>
        <w:t>（1）双人操作制度。每座变电站的升级操作由2名技术人员共同执行，一人操作一人监督核对，确保操作正确性。</w:t>
      </w:r>
    </w:p>
    <w:p w14:paraId="177D6121">
      <w:pPr>
        <w:spacing w:line="360" w:lineRule="auto"/>
        <w:ind w:firstLine="480"/>
      </w:pPr>
      <w:r>
        <w:rPr>
          <w:rFonts w:ascii="宋体" w:hAnsi="宋体" w:eastAsia="宋体"/>
          <w:b w:val="0"/>
          <w:sz w:val="24"/>
        </w:rPr>
        <w:t>（2）操作前确认制度。每次操作前，操作人员需确认操作对象、操作内容、操作步骤与工作票一致，确认无误后方可开始操作。</w:t>
      </w:r>
    </w:p>
    <w:p w14:paraId="61101496">
      <w:pPr>
        <w:spacing w:line="360" w:lineRule="auto"/>
        <w:ind w:firstLine="480"/>
      </w:pPr>
      <w:r>
        <w:rPr>
          <w:rFonts w:ascii="宋体" w:hAnsi="宋体" w:eastAsia="宋体"/>
          <w:b w:val="0"/>
          <w:sz w:val="24"/>
        </w:rPr>
        <w:t>（3）全过程记录制度。升级操作全过程进行详细记录，关键操作步骤进行截屏保存，形成完整的操作记录档案。</w:t>
      </w:r>
    </w:p>
    <w:p w14:paraId="1D2E4B70">
      <w:pPr>
        <w:spacing w:line="360" w:lineRule="auto"/>
        <w:ind w:firstLine="480"/>
      </w:pPr>
      <w:r>
        <w:rPr>
          <w:rFonts w:ascii="宋体" w:hAnsi="宋体" w:eastAsia="宋体"/>
          <w:b w:val="0"/>
          <w:sz w:val="24"/>
        </w:rPr>
        <w:t>（4）升级后验证制度。每台设备升级完成后，必须按照验证清单逐项进行功能验证，全部验证项通过后方可确认升级成功。</w:t>
      </w:r>
    </w:p>
    <w:p w14:paraId="3155CCB5">
      <w:pPr>
        <w:spacing w:line="360" w:lineRule="auto"/>
        <w:ind w:firstLine="480"/>
      </w:pPr>
      <w:r>
        <w:rPr>
          <w:rFonts w:ascii="宋体" w:hAnsi="宋体" w:eastAsia="宋体"/>
          <w:b w:val="0"/>
          <w:sz w:val="24"/>
        </w:rPr>
        <w:t>（5）问题闭环管理。升级过程中发现的任何问题均需记录在案，分析原因，制定措施，跟踪闭环。</w:t>
      </w:r>
    </w:p>
    <w:p w14:paraId="5D566F07">
      <w:r>
        <w:br w:type="page"/>
      </w:r>
    </w:p>
    <w:p w14:paraId="259B2DFE">
      <w:pPr>
        <w:pStyle w:val="4"/>
      </w:pPr>
      <w:r>
        <w:rPr>
          <w:rFonts w:ascii="黑体" w:hAnsi="黑体" w:eastAsia="黑体"/>
          <w:b/>
        </w:rPr>
        <w:t>九、项目实施规模、范围</w:t>
      </w:r>
    </w:p>
    <w:p w14:paraId="00A6EA91">
      <w:pPr>
        <w:pStyle w:val="5"/>
      </w:pPr>
      <w:r>
        <w:rPr>
          <w:rFonts w:ascii="黑体" w:hAnsi="黑体" w:eastAsia="黑体"/>
          <w:b/>
        </w:rPr>
        <w:t>9.1 项目实施规模</w:t>
      </w:r>
    </w:p>
    <w:p w14:paraId="19CE541E">
      <w:pPr>
        <w:spacing w:line="360" w:lineRule="auto"/>
        <w:ind w:firstLine="480"/>
      </w:pPr>
      <w:r>
        <w:rPr>
          <w:rFonts w:ascii="宋体" w:hAnsi="宋体" w:eastAsia="宋体"/>
          <w:b w:val="0"/>
          <w:sz w:val="24"/>
        </w:rPr>
        <w:t>本项目的实施规模如下：</w:t>
      </w:r>
    </w:p>
    <w:p w14:paraId="1D2FCDF4">
      <w:pPr>
        <w:spacing w:line="360" w:lineRule="auto"/>
        <w:ind w:firstLine="480"/>
      </w:pPr>
      <w:r>
        <w:rPr>
          <w:rFonts w:ascii="宋体" w:hAnsi="宋体" w:eastAsia="宋体"/>
          <w:b w:val="0"/>
          <w:sz w:val="24"/>
        </w:rPr>
        <w:t>（1）变电站数量：19座（包括彩北开关站、彩虹变、彩霞变、昌吉变、阜东变、呼图壁工业园变、火烧岩变、吉木萨尔变、锦华变、凯旋变、乐土驿变、宁州户变、奇台变、石钱滩变、兴盛变、幸福变、瑶池变、长宁变、昭阳变）</w:t>
      </w:r>
    </w:p>
    <w:p w14:paraId="4D053117">
      <w:pPr>
        <w:spacing w:line="360" w:lineRule="auto"/>
        <w:ind w:firstLine="480"/>
      </w:pPr>
      <w:r>
        <w:rPr>
          <w:rFonts w:ascii="宋体" w:hAnsi="宋体" w:eastAsia="宋体"/>
          <w:b w:val="0"/>
          <w:sz w:val="24"/>
        </w:rPr>
        <w:t>（2）防火墙设备数量：38台（每座变电站2台）</w:t>
      </w:r>
    </w:p>
    <w:p w14:paraId="2940D911">
      <w:pPr>
        <w:spacing w:line="360" w:lineRule="auto"/>
        <w:ind w:firstLine="480"/>
      </w:pPr>
      <w:r>
        <w:rPr>
          <w:rFonts w:ascii="宋体" w:hAnsi="宋体" w:eastAsia="宋体"/>
          <w:b w:val="0"/>
          <w:sz w:val="24"/>
        </w:rPr>
        <w:t>（3）升级内容：防病毒特征库升级 + IDS入侵检测规则库升级</w:t>
      </w:r>
    </w:p>
    <w:p w14:paraId="2DFB4308">
      <w:pPr>
        <w:spacing w:line="360" w:lineRule="auto"/>
        <w:ind w:firstLine="480"/>
      </w:pPr>
      <w:r>
        <w:rPr>
          <w:rFonts w:ascii="宋体" w:hAnsi="宋体" w:eastAsia="宋体"/>
          <w:b w:val="0"/>
          <w:sz w:val="24"/>
        </w:rPr>
        <w:t>（4）年升级次数：2次/年</w:t>
      </w:r>
    </w:p>
    <w:p w14:paraId="3E473586">
      <w:pPr>
        <w:spacing w:line="360" w:lineRule="auto"/>
        <w:ind w:firstLine="480"/>
      </w:pPr>
      <w:r>
        <w:rPr>
          <w:rFonts w:ascii="宋体" w:hAnsi="宋体" w:eastAsia="宋体"/>
          <w:b w:val="0"/>
          <w:sz w:val="24"/>
        </w:rPr>
        <w:t>（5）单次升级工作量：38台设备 × 2项升级内容 = 76项升级任务</w:t>
      </w:r>
    </w:p>
    <w:p w14:paraId="20238C29">
      <w:pPr>
        <w:spacing w:line="360" w:lineRule="auto"/>
        <w:ind w:firstLine="480"/>
      </w:pPr>
      <w:r>
        <w:rPr>
          <w:rFonts w:ascii="宋体" w:hAnsi="宋体" w:eastAsia="宋体"/>
          <w:b w:val="0"/>
          <w:sz w:val="24"/>
        </w:rPr>
        <w:t>（6）年总工作量：76项 × 2次 = 152项升级任务</w:t>
      </w:r>
    </w:p>
    <w:p w14:paraId="67BD0F8B">
      <w:pPr>
        <w:pStyle w:val="5"/>
      </w:pPr>
      <w:r>
        <w:rPr>
          <w:rFonts w:ascii="黑体" w:hAnsi="黑体" w:eastAsia="黑体"/>
          <w:b/>
        </w:rPr>
        <w:t>9.2 项目实施范围</w:t>
      </w:r>
    </w:p>
    <w:p w14:paraId="03067593">
      <w:pPr>
        <w:spacing w:line="360" w:lineRule="auto"/>
        <w:ind w:firstLine="480"/>
      </w:pPr>
      <w:r>
        <w:rPr>
          <w:rFonts w:ascii="宋体" w:hAnsi="宋体" w:eastAsia="宋体"/>
          <w:b w:val="0"/>
          <w:sz w:val="24"/>
        </w:rPr>
        <w:t>本项目的实施范围涵盖以下内容：</w:t>
      </w:r>
    </w:p>
    <w:p w14:paraId="420FEDE0">
      <w:pPr>
        <w:spacing w:line="360" w:lineRule="auto"/>
        <w:ind w:firstLine="480"/>
      </w:pPr>
      <w:r>
        <w:rPr>
          <w:rFonts w:ascii="宋体" w:hAnsi="宋体" w:eastAsia="宋体"/>
          <w:b w:val="0"/>
          <w:sz w:val="24"/>
        </w:rPr>
        <w:t>（1）升级前服务范围</w:t>
      </w:r>
    </w:p>
    <w:p w14:paraId="748E47BE">
      <w:pPr>
        <w:spacing w:line="360" w:lineRule="auto"/>
        <w:ind w:firstLine="480"/>
      </w:pPr>
      <w:r>
        <w:rPr>
          <w:rFonts w:ascii="宋体" w:hAnsi="宋体" w:eastAsia="宋体"/>
          <w:b w:val="0"/>
          <w:sz w:val="24"/>
        </w:rPr>
        <w:t>- 各站防火墙设备信息收集和台账建立</w:t>
      </w:r>
    </w:p>
    <w:p w14:paraId="70900B4D">
      <w:pPr>
        <w:spacing w:line="360" w:lineRule="auto"/>
        <w:ind w:firstLine="480"/>
      </w:pPr>
      <w:r>
        <w:rPr>
          <w:rFonts w:ascii="宋体" w:hAnsi="宋体" w:eastAsia="宋体"/>
          <w:b w:val="0"/>
          <w:sz w:val="24"/>
        </w:rPr>
        <w:t>- 升级方案和操作手册编制</w:t>
      </w:r>
    </w:p>
    <w:p w14:paraId="5FC7D3D3">
      <w:pPr>
        <w:spacing w:line="360" w:lineRule="auto"/>
        <w:ind w:firstLine="480"/>
      </w:pPr>
      <w:r>
        <w:rPr>
          <w:rFonts w:ascii="宋体" w:hAnsi="宋体" w:eastAsia="宋体"/>
          <w:b w:val="0"/>
          <w:sz w:val="24"/>
        </w:rPr>
        <w:t>- 特征库升级包获取、验证和安全检测</w:t>
      </w:r>
    </w:p>
    <w:p w14:paraId="5BBE1FF7">
      <w:pPr>
        <w:spacing w:line="360" w:lineRule="auto"/>
        <w:ind w:firstLine="480"/>
      </w:pPr>
      <w:r>
        <w:rPr>
          <w:rFonts w:ascii="宋体" w:hAnsi="宋体" w:eastAsia="宋体"/>
          <w:b w:val="0"/>
          <w:sz w:val="24"/>
        </w:rPr>
        <w:t>- 升级计划编排和协调安排</w:t>
      </w:r>
    </w:p>
    <w:p w14:paraId="65864505">
      <w:pPr>
        <w:spacing w:line="360" w:lineRule="auto"/>
        <w:ind w:firstLine="480"/>
      </w:pPr>
      <w:r>
        <w:rPr>
          <w:rFonts w:ascii="宋体" w:hAnsi="宋体" w:eastAsia="宋体"/>
          <w:b w:val="0"/>
          <w:sz w:val="24"/>
        </w:rPr>
        <w:t>- 人员培训和工具准备</w:t>
      </w:r>
    </w:p>
    <w:p w14:paraId="73EEA6F8">
      <w:pPr>
        <w:spacing w:line="360" w:lineRule="auto"/>
        <w:ind w:firstLine="480"/>
      </w:pPr>
      <w:r>
        <w:rPr>
          <w:rFonts w:ascii="宋体" w:hAnsi="宋体" w:eastAsia="宋体"/>
          <w:b w:val="0"/>
          <w:sz w:val="24"/>
        </w:rPr>
        <w:t>（2）升级实施服务范围</w:t>
      </w:r>
    </w:p>
    <w:p w14:paraId="05417124">
      <w:pPr>
        <w:spacing w:line="360" w:lineRule="auto"/>
        <w:ind w:firstLine="480"/>
      </w:pPr>
      <w:r>
        <w:rPr>
          <w:rFonts w:ascii="宋体" w:hAnsi="宋体" w:eastAsia="宋体"/>
          <w:b w:val="0"/>
          <w:sz w:val="24"/>
        </w:rPr>
        <w:t>- 升级前设备配置完整备份</w:t>
      </w:r>
    </w:p>
    <w:p w14:paraId="459B18D0">
      <w:pPr>
        <w:spacing w:line="360" w:lineRule="auto"/>
        <w:ind w:firstLine="480"/>
      </w:pPr>
      <w:r>
        <w:rPr>
          <w:rFonts w:ascii="宋体" w:hAnsi="宋体" w:eastAsia="宋体"/>
          <w:b w:val="0"/>
          <w:sz w:val="24"/>
        </w:rPr>
        <w:t>- 防病毒特征库离线升级操作</w:t>
      </w:r>
    </w:p>
    <w:p w14:paraId="4E947A02">
      <w:pPr>
        <w:spacing w:line="360" w:lineRule="auto"/>
        <w:ind w:firstLine="480"/>
      </w:pPr>
      <w:r>
        <w:rPr>
          <w:rFonts w:ascii="宋体" w:hAnsi="宋体" w:eastAsia="宋体"/>
          <w:b w:val="0"/>
          <w:sz w:val="24"/>
        </w:rPr>
        <w:t>- IDS入侵检测规则库离线升级操作</w:t>
      </w:r>
    </w:p>
    <w:p w14:paraId="1E2F150F">
      <w:pPr>
        <w:spacing w:line="360" w:lineRule="auto"/>
        <w:ind w:firstLine="480"/>
      </w:pPr>
      <w:r>
        <w:rPr>
          <w:rFonts w:ascii="宋体" w:hAnsi="宋体" w:eastAsia="宋体"/>
          <w:b w:val="0"/>
          <w:sz w:val="24"/>
        </w:rPr>
        <w:t>- 升级后功能验证和策略核对</w:t>
      </w:r>
    </w:p>
    <w:p w14:paraId="1E891821">
      <w:pPr>
        <w:spacing w:line="360" w:lineRule="auto"/>
        <w:ind w:firstLine="480"/>
      </w:pPr>
      <w:r>
        <w:rPr>
          <w:rFonts w:ascii="宋体" w:hAnsi="宋体" w:eastAsia="宋体"/>
          <w:b w:val="0"/>
          <w:sz w:val="24"/>
        </w:rPr>
        <w:t>- 异常情况处置和回退操作</w:t>
      </w:r>
    </w:p>
    <w:p w14:paraId="1C8348E9">
      <w:pPr>
        <w:spacing w:line="360" w:lineRule="auto"/>
        <w:ind w:firstLine="480"/>
      </w:pPr>
      <w:r>
        <w:rPr>
          <w:rFonts w:ascii="宋体" w:hAnsi="宋体" w:eastAsia="宋体"/>
          <w:b w:val="0"/>
          <w:sz w:val="24"/>
        </w:rPr>
        <w:t>（3）升级后服务范围</w:t>
      </w:r>
    </w:p>
    <w:p w14:paraId="155DF905">
      <w:pPr>
        <w:spacing w:line="360" w:lineRule="auto"/>
        <w:ind w:firstLine="480"/>
      </w:pPr>
      <w:r>
        <w:rPr>
          <w:rFonts w:ascii="宋体" w:hAnsi="宋体" w:eastAsia="宋体"/>
          <w:b w:val="0"/>
          <w:sz w:val="24"/>
        </w:rPr>
        <w:t>- 升级记录和验证报告编制</w:t>
      </w:r>
    </w:p>
    <w:p w14:paraId="0461917C">
      <w:pPr>
        <w:spacing w:line="360" w:lineRule="auto"/>
        <w:ind w:firstLine="480"/>
      </w:pPr>
      <w:r>
        <w:rPr>
          <w:rFonts w:ascii="宋体" w:hAnsi="宋体" w:eastAsia="宋体"/>
          <w:b w:val="0"/>
          <w:sz w:val="24"/>
        </w:rPr>
        <w:t>- 备份文件和文档资料归档</w:t>
      </w:r>
    </w:p>
    <w:p w14:paraId="2A8F006B">
      <w:pPr>
        <w:spacing w:line="360" w:lineRule="auto"/>
        <w:ind w:firstLine="480"/>
      </w:pPr>
      <w:r>
        <w:rPr>
          <w:rFonts w:ascii="宋体" w:hAnsi="宋体" w:eastAsia="宋体"/>
          <w:b w:val="0"/>
          <w:sz w:val="24"/>
        </w:rPr>
        <w:t>- 项目升级总结报告编制</w:t>
      </w:r>
    </w:p>
    <w:p w14:paraId="3E5ACF20">
      <w:pPr>
        <w:spacing w:line="360" w:lineRule="auto"/>
        <w:ind w:firstLine="480"/>
      </w:pPr>
      <w:r>
        <w:rPr>
          <w:rFonts w:ascii="宋体" w:hAnsi="宋体" w:eastAsia="宋体"/>
          <w:b w:val="0"/>
          <w:sz w:val="24"/>
        </w:rPr>
        <w:t>- 后续技术支持和问题跟踪</w:t>
      </w:r>
    </w:p>
    <w:p w14:paraId="06AA84C4">
      <w:pPr>
        <w:pStyle w:val="5"/>
      </w:pPr>
      <w:r>
        <w:rPr>
          <w:rFonts w:ascii="黑体" w:hAnsi="黑体" w:eastAsia="黑体"/>
          <w:b/>
        </w:rPr>
        <w:t>9.3 实施边界说明</w:t>
      </w:r>
    </w:p>
    <w:p w14:paraId="52BFDF33">
      <w:pPr>
        <w:spacing w:line="360" w:lineRule="auto"/>
        <w:ind w:firstLine="480"/>
      </w:pPr>
      <w:r>
        <w:rPr>
          <w:rFonts w:ascii="宋体" w:hAnsi="宋体" w:eastAsia="宋体"/>
          <w:b w:val="0"/>
          <w:sz w:val="24"/>
        </w:rPr>
        <w:t>（1）本项目服务范围为防火墙设备的防病毒特征库和IDS规则库升级，不包含设备固件升级、硬件更换或安全策略调整等其他工作。</w:t>
      </w:r>
    </w:p>
    <w:p w14:paraId="53819D30">
      <w:pPr>
        <w:spacing w:line="360" w:lineRule="auto"/>
        <w:ind w:firstLine="480"/>
      </w:pPr>
      <w:r>
        <w:rPr>
          <w:rFonts w:ascii="宋体" w:hAnsi="宋体" w:eastAsia="宋体"/>
          <w:b w:val="0"/>
          <w:sz w:val="24"/>
        </w:rPr>
        <w:t>（2）升级过程中如发现设备硬件故障或其他需要厂商支持的问题，将及时通报昌吉供电公司，由其协调设备厂商处理。</w:t>
      </w:r>
    </w:p>
    <w:p w14:paraId="3EC840BF">
      <w:pPr>
        <w:spacing w:line="360" w:lineRule="auto"/>
        <w:ind w:firstLine="480"/>
      </w:pPr>
      <w:r>
        <w:rPr>
          <w:rFonts w:ascii="宋体" w:hAnsi="宋体" w:eastAsia="宋体"/>
          <w:b w:val="0"/>
          <w:sz w:val="24"/>
        </w:rPr>
        <w:t>（3）变电站进出审批、现场安全保障等由昌吉供电公司负责协调安排。</w:t>
      </w:r>
    </w:p>
    <w:p w14:paraId="45DE3666">
      <w:pPr>
        <w:spacing w:line="360" w:lineRule="auto"/>
        <w:ind w:firstLine="480"/>
      </w:pPr>
      <w:r>
        <w:rPr>
          <w:rFonts w:ascii="宋体" w:hAnsi="宋体" w:eastAsia="宋体"/>
          <w:b w:val="0"/>
          <w:sz w:val="24"/>
        </w:rPr>
        <w:t>（4）升级不涉及停电操作，在设备正常运行状态下完成全部升级工作。</w:t>
      </w:r>
    </w:p>
    <w:p w14:paraId="0E16B803">
      <w:r>
        <w:br w:type="page"/>
      </w:r>
    </w:p>
    <w:p w14:paraId="42204583">
      <w:pPr>
        <w:pStyle w:val="4"/>
      </w:pPr>
      <w:r>
        <w:rPr>
          <w:rFonts w:ascii="黑体" w:hAnsi="黑体" w:eastAsia="黑体"/>
          <w:b/>
        </w:rPr>
        <w:t>十、项目建设依据</w:t>
      </w:r>
    </w:p>
    <w:p w14:paraId="326DD9A9">
      <w:pPr>
        <w:pStyle w:val="5"/>
      </w:pPr>
      <w:r>
        <w:rPr>
          <w:rFonts w:ascii="黑体" w:hAnsi="黑体" w:eastAsia="黑体"/>
          <w:b/>
        </w:rPr>
        <w:t>10.1 国家法律法规</w:t>
      </w:r>
    </w:p>
    <w:p w14:paraId="3C58EB3A">
      <w:pPr>
        <w:spacing w:line="360" w:lineRule="auto"/>
        <w:ind w:firstLine="480"/>
      </w:pPr>
      <w:r>
        <w:rPr>
          <w:rFonts w:ascii="宋体" w:hAnsi="宋体" w:eastAsia="宋体"/>
          <w:b w:val="0"/>
          <w:sz w:val="24"/>
        </w:rPr>
        <w:t>（1）《中华人民共和国网络安全法》（2017年6月1日施行）——明确了关键信息基础设施运营者的网络安全保护义务和法律责任，要求采取技术措施防范网络安全风险。</w:t>
      </w:r>
    </w:p>
    <w:p w14:paraId="4F226333">
      <w:pPr>
        <w:spacing w:line="360" w:lineRule="auto"/>
        <w:ind w:firstLine="480"/>
      </w:pPr>
      <w:r>
        <w:rPr>
          <w:rFonts w:ascii="宋体" w:hAnsi="宋体" w:eastAsia="宋体"/>
          <w:b w:val="0"/>
          <w:sz w:val="24"/>
        </w:rPr>
        <w:t>（2）《中华人民共和国数据安全法》（2021年9月1日施行）——规定了数据处理活动的安全保护义务，要求保障关键信息基础设施数据安全。</w:t>
      </w:r>
    </w:p>
    <w:p w14:paraId="7B4ECF0D">
      <w:pPr>
        <w:spacing w:line="360" w:lineRule="auto"/>
        <w:ind w:firstLine="480"/>
      </w:pPr>
      <w:r>
        <w:rPr>
          <w:rFonts w:ascii="宋体" w:hAnsi="宋体" w:eastAsia="宋体"/>
          <w:b w:val="0"/>
          <w:sz w:val="24"/>
        </w:rPr>
        <w:t>（3）《关键信息基础设施安全保护条例》（2021年9月1日施行）——明确了关键信息基础设施安全保护的制度要求和具体措施。</w:t>
      </w:r>
    </w:p>
    <w:p w14:paraId="33CBBCA8">
      <w:pPr>
        <w:spacing w:line="360" w:lineRule="auto"/>
        <w:ind w:firstLine="480"/>
      </w:pPr>
      <w:r>
        <w:rPr>
          <w:rFonts w:ascii="宋体" w:hAnsi="宋体" w:eastAsia="宋体"/>
          <w:b w:val="0"/>
          <w:sz w:val="24"/>
        </w:rPr>
        <w:t>（4）《电力监控系统安全防护规定》（国家发展和改革委员会令第14号）——规定了电力监控系统安全防护的总体原则、防护措施和管理要求。</w:t>
      </w:r>
    </w:p>
    <w:p w14:paraId="017792F6">
      <w:pPr>
        <w:pStyle w:val="5"/>
      </w:pPr>
      <w:r>
        <w:rPr>
          <w:rFonts w:ascii="黑体" w:hAnsi="黑体" w:eastAsia="黑体"/>
          <w:b/>
        </w:rPr>
        <w:t>10.2 国家标准和行业标准</w:t>
      </w:r>
    </w:p>
    <w:p w14:paraId="06D12458">
      <w:pPr>
        <w:spacing w:line="360" w:lineRule="auto"/>
        <w:ind w:firstLine="480"/>
      </w:pPr>
      <w:r>
        <w:rPr>
          <w:rFonts w:ascii="宋体" w:hAnsi="宋体" w:eastAsia="宋体"/>
          <w:b w:val="0"/>
          <w:sz w:val="24"/>
        </w:rPr>
        <w:t>（1）GB/T 22239-2019《信息安全技术 网络安全等级保护基本要求》——规定了不同安全等级网络的安全保护基本要求。</w:t>
      </w:r>
    </w:p>
    <w:p w14:paraId="716D4AE8">
      <w:pPr>
        <w:spacing w:line="360" w:lineRule="auto"/>
        <w:ind w:firstLine="480"/>
      </w:pPr>
      <w:r>
        <w:rPr>
          <w:rFonts w:ascii="宋体" w:hAnsi="宋体" w:eastAsia="宋体"/>
          <w:b w:val="0"/>
          <w:sz w:val="24"/>
        </w:rPr>
        <w:t>（2）GB/T 36627-2018《信息安全技术 网络安全等级保护测试评估技术指南》——为网络安全等级测试评估提供技术指导。</w:t>
      </w:r>
    </w:p>
    <w:p w14:paraId="57EA06E4">
      <w:pPr>
        <w:spacing w:line="360" w:lineRule="auto"/>
        <w:ind w:firstLine="480"/>
      </w:pPr>
      <w:r>
        <w:rPr>
          <w:rFonts w:ascii="宋体" w:hAnsi="宋体" w:eastAsia="宋体"/>
          <w:b w:val="0"/>
          <w:sz w:val="24"/>
        </w:rPr>
        <w:t>（3）GB/T 25070-2019《信息安全技术 网络安全等级保护安全设计技术要求》——规定了安全设计的技术要求。</w:t>
      </w:r>
    </w:p>
    <w:p w14:paraId="4B313D84">
      <w:pPr>
        <w:spacing w:line="360" w:lineRule="auto"/>
        <w:ind w:firstLine="480"/>
      </w:pPr>
      <w:r>
        <w:rPr>
          <w:rFonts w:ascii="宋体" w:hAnsi="宋体" w:eastAsia="宋体"/>
          <w:b w:val="0"/>
          <w:sz w:val="24"/>
        </w:rPr>
        <w:t>（4）DL/T 2562-2022《电力监控系统网络安全防护技术监督规程》——规定了电力监控系统网络安全技术监督要求。</w:t>
      </w:r>
    </w:p>
    <w:p w14:paraId="3ADC363D">
      <w:pPr>
        <w:pStyle w:val="5"/>
      </w:pPr>
      <w:r>
        <w:rPr>
          <w:rFonts w:ascii="黑体" w:hAnsi="黑体" w:eastAsia="黑体"/>
          <w:b/>
        </w:rPr>
        <w:t>10.3 国家电网公司企业标准</w:t>
      </w:r>
    </w:p>
    <w:p w14:paraId="5469E3CE">
      <w:pPr>
        <w:spacing w:line="360" w:lineRule="auto"/>
        <w:ind w:firstLine="480"/>
      </w:pPr>
      <w:r>
        <w:rPr>
          <w:rFonts w:ascii="宋体" w:hAnsi="宋体" w:eastAsia="宋体"/>
          <w:b w:val="0"/>
          <w:sz w:val="24"/>
        </w:rPr>
        <w:t>（1）Q/GDW 11807-2024《电力监控系统网络安全特征库管理规范》——本项目最直接的执行标准，明确要求特征库版本与当前最新版本时间差不超过6个月，特征库升级采用离线方式进行。</w:t>
      </w:r>
    </w:p>
    <w:p w14:paraId="616772FC">
      <w:pPr>
        <w:spacing w:line="360" w:lineRule="auto"/>
        <w:ind w:firstLine="480"/>
      </w:pPr>
      <w:r>
        <w:rPr>
          <w:rFonts w:ascii="宋体" w:hAnsi="宋体" w:eastAsia="宋体"/>
          <w:b w:val="0"/>
          <w:sz w:val="24"/>
        </w:rPr>
        <w:t>（2）Q/GDW 10597-2020《电力监控系统安全防护管理办法》——规定了电力监控系统安全防护的管理要求和工作流程。</w:t>
      </w:r>
    </w:p>
    <w:p w14:paraId="00C712AA">
      <w:pPr>
        <w:spacing w:line="360" w:lineRule="auto"/>
        <w:ind w:firstLine="480"/>
      </w:pPr>
      <w:r>
        <w:rPr>
          <w:rFonts w:ascii="宋体" w:hAnsi="宋体" w:eastAsia="宋体"/>
          <w:b w:val="0"/>
          <w:sz w:val="24"/>
        </w:rPr>
        <w:t>（3）Q/GDW 11608-2017《变电站网络安全监测装置技术规范》——规定了变电站网络安全监测装置的技术要求。</w:t>
      </w:r>
    </w:p>
    <w:p w14:paraId="2A733F37">
      <w:pPr>
        <w:spacing w:line="360" w:lineRule="auto"/>
        <w:ind w:firstLine="480"/>
      </w:pPr>
      <w:r>
        <w:rPr>
          <w:rFonts w:ascii="宋体" w:hAnsi="宋体" w:eastAsia="宋体"/>
          <w:b w:val="0"/>
          <w:sz w:val="24"/>
        </w:rPr>
        <w:t>（4）Q/GDW 11602-2017《电力监控系统安全防护技术规范》——规定了电力监控系统安全防护的技术要求和实施要点。</w:t>
      </w:r>
    </w:p>
    <w:p w14:paraId="0EFAA6BD">
      <w:pPr>
        <w:pStyle w:val="5"/>
      </w:pPr>
      <w:r>
        <w:rPr>
          <w:rFonts w:ascii="黑体" w:hAnsi="黑体" w:eastAsia="黑体"/>
          <w:b/>
        </w:rPr>
        <w:t>10.4 其他依据</w:t>
      </w:r>
    </w:p>
    <w:p w14:paraId="0408E158">
      <w:pPr>
        <w:spacing w:line="360" w:lineRule="auto"/>
        <w:ind w:firstLine="480"/>
      </w:pPr>
      <w:r>
        <w:rPr>
          <w:rFonts w:ascii="宋体" w:hAnsi="宋体" w:eastAsia="宋体"/>
          <w:b w:val="0"/>
          <w:sz w:val="24"/>
        </w:rPr>
        <w:t>（1）国网新疆电力有限公司网络安全管理相关规定和工作要求。</w:t>
      </w:r>
    </w:p>
    <w:p w14:paraId="571AF2FB">
      <w:pPr>
        <w:spacing w:line="360" w:lineRule="auto"/>
        <w:ind w:firstLine="480"/>
      </w:pPr>
      <w:r>
        <w:rPr>
          <w:rFonts w:ascii="宋体" w:hAnsi="宋体" w:eastAsia="宋体"/>
          <w:b w:val="0"/>
          <w:sz w:val="24"/>
        </w:rPr>
        <w:t>（2）国网新疆昌吉供电公司变电站网络安全管理制度。</w:t>
      </w:r>
    </w:p>
    <w:p w14:paraId="25514F22">
      <w:pPr>
        <w:spacing w:line="360" w:lineRule="auto"/>
        <w:ind w:firstLine="480"/>
      </w:pPr>
      <w:r>
        <w:rPr>
          <w:rFonts w:ascii="宋体" w:hAnsi="宋体" w:eastAsia="宋体"/>
          <w:b w:val="0"/>
          <w:sz w:val="24"/>
        </w:rPr>
        <w:t>（3）各防火墙设备厂商的产品技术手册和升级操作指南。</w:t>
      </w:r>
    </w:p>
    <w:p w14:paraId="69BD9D18">
      <w:pPr>
        <w:spacing w:line="360" w:lineRule="auto"/>
        <w:ind w:firstLine="480"/>
      </w:pPr>
      <w:r>
        <w:rPr>
          <w:rFonts w:ascii="宋体" w:hAnsi="宋体" w:eastAsia="宋体"/>
          <w:b w:val="0"/>
          <w:sz w:val="24"/>
        </w:rPr>
        <w:t>（4）本项目技术规范书。</w:t>
      </w:r>
    </w:p>
    <w:p w14:paraId="3E90F9C3">
      <w:r>
        <w:br w:type="page"/>
      </w:r>
    </w:p>
    <w:p w14:paraId="716EC1A3">
      <w:pPr>
        <w:pStyle w:val="4"/>
      </w:pPr>
      <w:r>
        <w:rPr>
          <w:rFonts w:ascii="黑体" w:hAnsi="黑体" w:eastAsia="黑体"/>
          <w:b/>
        </w:rPr>
        <w:t>十一、项目服务目标</w:t>
      </w:r>
    </w:p>
    <w:p w14:paraId="6F6E157A">
      <w:pPr>
        <w:pStyle w:val="5"/>
      </w:pPr>
      <w:r>
        <w:rPr>
          <w:rFonts w:ascii="黑体" w:hAnsi="黑体" w:eastAsia="黑体"/>
          <w:b/>
        </w:rPr>
        <w:t>11.1 服务质量目标</w:t>
      </w:r>
    </w:p>
    <w:p w14:paraId="716050CB">
      <w:pPr>
        <w:spacing w:line="360" w:lineRule="auto"/>
        <w:ind w:firstLine="480"/>
      </w:pPr>
      <w:r>
        <w:rPr>
          <w:rFonts w:ascii="宋体" w:hAnsi="宋体" w:eastAsia="宋体"/>
          <w:b w:val="0"/>
          <w:sz w:val="24"/>
        </w:rPr>
        <w:t>本项目致力于为昌吉供电公司提供高质量、高标准的防火墙特征库升级技术服务，确保升级工作安全、规范、高效地完成。具体服务质量目标如下：</w:t>
      </w:r>
    </w:p>
    <w:p w14:paraId="3EFC5A31">
      <w:pPr>
        <w:spacing w:line="360" w:lineRule="auto"/>
        <w:ind w:firstLine="480"/>
      </w:pPr>
      <w:r>
        <w:rPr>
          <w:rFonts w:ascii="宋体" w:hAnsi="宋体" w:eastAsia="宋体"/>
          <w:b w:val="0"/>
          <w:sz w:val="24"/>
        </w:rPr>
        <w:t>（1）升级成功率目标：38台防火墙特征库升级一次性成功率不低于98%，因升级操作导致的设备异常为零。</w:t>
      </w:r>
    </w:p>
    <w:p w14:paraId="0408E5A0">
      <w:pPr>
        <w:spacing w:line="360" w:lineRule="auto"/>
        <w:ind w:firstLine="480"/>
      </w:pPr>
      <w:r>
        <w:rPr>
          <w:rFonts w:ascii="宋体" w:hAnsi="宋体" w:eastAsia="宋体"/>
          <w:b w:val="0"/>
          <w:sz w:val="24"/>
        </w:rPr>
        <w:t>（2）合规达标目标：升级后所有设备的特征库版本与当前最新版本时间差不超过6个月，100%满足Q/GDW 11807-2024标准要求。</w:t>
      </w:r>
    </w:p>
    <w:p w14:paraId="2B98EEA7">
      <w:pPr>
        <w:spacing w:line="360" w:lineRule="auto"/>
        <w:ind w:firstLine="480"/>
      </w:pPr>
      <w:r>
        <w:rPr>
          <w:rFonts w:ascii="宋体" w:hAnsi="宋体" w:eastAsia="宋体"/>
          <w:b w:val="0"/>
          <w:sz w:val="24"/>
        </w:rPr>
        <w:t>（3）安全运行目标：升级全过程不造成任何变电站业务中断、网络异常或安全事件，安全事故零发生。</w:t>
      </w:r>
    </w:p>
    <w:p w14:paraId="18DAC400">
      <w:pPr>
        <w:spacing w:line="360" w:lineRule="auto"/>
        <w:ind w:firstLine="480"/>
      </w:pPr>
      <w:r>
        <w:rPr>
          <w:rFonts w:ascii="宋体" w:hAnsi="宋体" w:eastAsia="宋体"/>
          <w:b w:val="0"/>
          <w:sz w:val="24"/>
        </w:rPr>
        <w:t>（4）进度控制目标：每次升级周期在计划时间内完成，单次全面升级不超过4周，单站升级不超过半个工作日。</w:t>
      </w:r>
    </w:p>
    <w:p w14:paraId="56C0A2C7">
      <w:pPr>
        <w:spacing w:line="360" w:lineRule="auto"/>
        <w:ind w:firstLine="480"/>
      </w:pPr>
      <w:r>
        <w:rPr>
          <w:rFonts w:ascii="宋体" w:hAnsi="宋体" w:eastAsia="宋体"/>
          <w:b w:val="0"/>
          <w:sz w:val="24"/>
        </w:rPr>
        <w:t>（5）文档完整目标：每次升级均产出完整规范的升级记录、验证报告和备份文件，文档完整率100%。</w:t>
      </w:r>
    </w:p>
    <w:p w14:paraId="5AB9C1CA">
      <w:pPr>
        <w:pStyle w:val="5"/>
      </w:pPr>
      <w:r>
        <w:rPr>
          <w:rFonts w:ascii="黑体" w:hAnsi="黑体" w:eastAsia="黑体"/>
          <w:b/>
        </w:rPr>
        <w:t>11.2 服务响应目标</w:t>
      </w:r>
    </w:p>
    <w:p w14:paraId="6245AAC0">
      <w:pPr>
        <w:spacing w:line="360" w:lineRule="auto"/>
        <w:ind w:firstLine="480"/>
      </w:pPr>
      <w:r>
        <w:rPr>
          <w:rFonts w:ascii="宋体" w:hAnsi="宋体" w:eastAsia="宋体"/>
          <w:b w:val="0"/>
          <w:sz w:val="24"/>
        </w:rPr>
        <w:t>（1）升级计划响应：在收到升级任务通知后3个工作日内完成升级准备工作，提交升级实施计划。</w:t>
      </w:r>
    </w:p>
    <w:p w14:paraId="1DAACE2F">
      <w:pPr>
        <w:spacing w:line="360" w:lineRule="auto"/>
        <w:ind w:firstLine="480"/>
      </w:pPr>
      <w:r>
        <w:rPr>
          <w:rFonts w:ascii="宋体" w:hAnsi="宋体" w:eastAsia="宋体"/>
          <w:b w:val="0"/>
          <w:sz w:val="24"/>
        </w:rPr>
        <w:t>（2）异常处置响应：升级过程中出现异常情况，30分钟内完成回退恢复；需要进一步分析的问题，4小时内提供初步分析报告。</w:t>
      </w:r>
    </w:p>
    <w:p w14:paraId="4B6618B7">
      <w:pPr>
        <w:spacing w:line="360" w:lineRule="auto"/>
        <w:ind w:firstLine="480"/>
      </w:pPr>
      <w:r>
        <w:rPr>
          <w:rFonts w:ascii="宋体" w:hAnsi="宋体" w:eastAsia="宋体"/>
          <w:b w:val="0"/>
          <w:sz w:val="24"/>
        </w:rPr>
        <w:t>（3）技术咨询响应：对于昌吉供电公司的技术咨询，工作时间内2小时内响应。</w:t>
      </w:r>
    </w:p>
    <w:p w14:paraId="7AE429E9">
      <w:pPr>
        <w:spacing w:line="360" w:lineRule="auto"/>
        <w:ind w:firstLine="480"/>
      </w:pPr>
      <w:r>
        <w:rPr>
          <w:rFonts w:ascii="宋体" w:hAnsi="宋体" w:eastAsia="宋体"/>
          <w:b w:val="0"/>
          <w:sz w:val="24"/>
        </w:rPr>
        <w:t>（4）后续支持响应：升级完成后30天内，对升级相关的任何技术问题提供免费技术支持。</w:t>
      </w:r>
    </w:p>
    <w:p w14:paraId="26ED426A">
      <w:pPr>
        <w:pStyle w:val="5"/>
      </w:pPr>
      <w:r>
        <w:rPr>
          <w:rFonts w:ascii="黑体" w:hAnsi="黑体" w:eastAsia="黑体"/>
          <w:b/>
        </w:rPr>
        <w:t>11.3 服务保障目标</w:t>
      </w:r>
    </w:p>
    <w:p w14:paraId="0D15C841">
      <w:pPr>
        <w:spacing w:line="360" w:lineRule="auto"/>
        <w:ind w:firstLine="480"/>
      </w:pPr>
      <w:r>
        <w:rPr>
          <w:rFonts w:ascii="宋体" w:hAnsi="宋体" w:eastAsia="宋体"/>
          <w:b w:val="0"/>
          <w:sz w:val="24"/>
        </w:rPr>
        <w:t>（1）人员保障：项目团队核心人员稳定，升级操作人员均具备相关专业资质和实际操作经验。</w:t>
      </w:r>
    </w:p>
    <w:p w14:paraId="6250DBBC">
      <w:pPr>
        <w:spacing w:line="360" w:lineRule="auto"/>
        <w:ind w:firstLine="480"/>
      </w:pPr>
      <w:r>
        <w:rPr>
          <w:rFonts w:ascii="宋体" w:hAnsi="宋体" w:eastAsia="宋体"/>
          <w:b w:val="0"/>
          <w:sz w:val="24"/>
        </w:rPr>
        <w:t>（2）安全保障：严格遵守电力监控系统安全防护规定，所有人员签订保密协议；移动存储介质专用专管，使用前后均进行安全检测。</w:t>
      </w:r>
    </w:p>
    <w:p w14:paraId="2B7A5D97">
      <w:pPr>
        <w:spacing w:line="360" w:lineRule="auto"/>
        <w:ind w:firstLine="480"/>
      </w:pPr>
      <w:r>
        <w:rPr>
          <w:rFonts w:ascii="宋体" w:hAnsi="宋体" w:eastAsia="宋体"/>
          <w:b w:val="0"/>
          <w:sz w:val="24"/>
        </w:rPr>
        <w:t>（3）工具保障：配备齐全的升级工具和备品备件，确保现场操作不因工具缺失影响进度。</w:t>
      </w:r>
    </w:p>
    <w:p w14:paraId="013219BD">
      <w:pPr>
        <w:spacing w:line="360" w:lineRule="auto"/>
        <w:ind w:firstLine="480"/>
      </w:pPr>
      <w:r>
        <w:rPr>
          <w:rFonts w:ascii="宋体" w:hAnsi="宋体" w:eastAsia="宋体"/>
          <w:b w:val="0"/>
          <w:sz w:val="24"/>
        </w:rPr>
        <w:t>（4）应急保障：制定完善的应急预案，配备应急联系通道，确保紧急情况下能够快速响应处置。</w:t>
      </w:r>
    </w:p>
    <w:p w14:paraId="729E5120">
      <w:pPr>
        <w:pStyle w:val="4"/>
      </w:pPr>
      <w:r>
        <w:rPr>
          <w:rFonts w:ascii="黑体" w:hAnsi="黑体" w:eastAsia="黑体"/>
          <w:b/>
        </w:rPr>
        <w:t>十二、项目服务内容</w:t>
      </w:r>
    </w:p>
    <w:p w14:paraId="780085A4">
      <w:pPr>
        <w:pStyle w:val="5"/>
      </w:pPr>
      <w:r>
        <w:rPr>
          <w:rFonts w:ascii="黑体" w:hAnsi="黑体" w:eastAsia="黑体"/>
          <w:b/>
        </w:rPr>
        <w:t>12.1 升级前准备服务</w:t>
      </w:r>
    </w:p>
    <w:p w14:paraId="47EE6746">
      <w:pPr>
        <w:spacing w:line="360" w:lineRule="auto"/>
        <w:ind w:firstLine="480"/>
      </w:pPr>
      <w:r>
        <w:rPr>
          <w:rFonts w:ascii="宋体" w:hAnsi="宋体" w:eastAsia="宋体"/>
          <w:b/>
          <w:sz w:val="24"/>
        </w:rPr>
        <w:t>12.1.1 设备信息调查</w:t>
      </w:r>
    </w:p>
    <w:p w14:paraId="524A9F3B">
      <w:pPr>
        <w:spacing w:line="360" w:lineRule="auto"/>
        <w:ind w:firstLine="480"/>
      </w:pPr>
      <w:r>
        <w:rPr>
          <w:rFonts w:ascii="宋体" w:hAnsi="宋体" w:eastAsia="宋体"/>
          <w:b w:val="0"/>
          <w:sz w:val="24"/>
        </w:rPr>
        <w:t>对19座变电站共计38台防火墙设备进行全面信息调查，收集包括设备品牌型号、序列号、当前固件版本、当前特征库版本（防病毒库版本和IDS规则库版本）、设备IP地址、管理方式等详细信息，建立完整的设备台账。设备台账为后续升级方案的制定和升级工作的实施提供基础数据支撑。</w:t>
      </w:r>
    </w:p>
    <w:p w14:paraId="14F5C043">
      <w:pPr>
        <w:spacing w:line="360" w:lineRule="auto"/>
        <w:ind w:firstLine="480"/>
      </w:pPr>
      <w:r>
        <w:rPr>
          <w:rFonts w:ascii="宋体" w:hAnsi="宋体" w:eastAsia="宋体"/>
          <w:b/>
          <w:sz w:val="24"/>
        </w:rPr>
        <w:t>12.1.2 升级方案编制</w:t>
      </w:r>
    </w:p>
    <w:p w14:paraId="237497BC">
      <w:pPr>
        <w:spacing w:line="360" w:lineRule="auto"/>
        <w:ind w:firstLine="480"/>
      </w:pPr>
      <w:r>
        <w:rPr>
          <w:rFonts w:ascii="宋体" w:hAnsi="宋体" w:eastAsia="宋体"/>
          <w:b w:val="0"/>
          <w:sz w:val="24"/>
        </w:rPr>
        <w:t>根据设备调查结果，针对不同品牌型号的防火墙设备分别编制升级操作方案。方案内容包括：升级前检查事项、配置备份方法和步骤、特征库升级具体操作步骤（含截图说明）、升级后验证方法和验证标准、异常处置和回退步骤等。升级方案需经技术负责人审核后方可实施。</w:t>
      </w:r>
    </w:p>
    <w:p w14:paraId="3FE18FBB">
      <w:pPr>
        <w:spacing w:line="360" w:lineRule="auto"/>
        <w:ind w:firstLine="480"/>
      </w:pPr>
      <w:r>
        <w:rPr>
          <w:rFonts w:ascii="宋体" w:hAnsi="宋体" w:eastAsia="宋体"/>
          <w:b/>
          <w:sz w:val="24"/>
        </w:rPr>
        <w:t>12.1.3 升级包准备与验证</w:t>
      </w:r>
    </w:p>
    <w:p w14:paraId="581588AF">
      <w:pPr>
        <w:spacing w:line="360" w:lineRule="auto"/>
        <w:ind w:firstLine="480"/>
      </w:pPr>
      <w:r>
        <w:rPr>
          <w:rFonts w:ascii="宋体" w:hAnsi="宋体" w:eastAsia="宋体"/>
          <w:b w:val="0"/>
          <w:sz w:val="24"/>
        </w:rPr>
        <w:t>从防火墙设备厂商官方渠道获取最新版本的防病毒特征库升级包和IDS规则库升级包。对升级包进行完整性校验（MD5/SHA256哈希值验证）、病毒扫描、兼容性确认等多重安全验证。将验证通过的升级包写入经安全检测的专用U盘，做好标识和登记。</w:t>
      </w:r>
    </w:p>
    <w:p w14:paraId="6F7C7F34">
      <w:pPr>
        <w:spacing w:line="360" w:lineRule="auto"/>
        <w:ind w:firstLine="480"/>
      </w:pPr>
      <w:r>
        <w:rPr>
          <w:rFonts w:ascii="宋体" w:hAnsi="宋体" w:eastAsia="宋体"/>
          <w:b/>
          <w:sz w:val="24"/>
        </w:rPr>
        <w:t>12.1.4 升级计划安排</w:t>
      </w:r>
    </w:p>
    <w:p w14:paraId="74635C57">
      <w:pPr>
        <w:spacing w:line="360" w:lineRule="auto"/>
        <w:ind w:firstLine="480"/>
      </w:pPr>
      <w:r>
        <w:rPr>
          <w:rFonts w:ascii="宋体" w:hAnsi="宋体" w:eastAsia="宋体"/>
          <w:b w:val="0"/>
          <w:sz w:val="24"/>
        </w:rPr>
        <w:t>与昌吉供电公司运维部门协调确认各变电站的升级时间窗口，编制详细的升级进度计划。计划内容包括：各站升级日期和时间段、人员分配、路线安排、联络人信息等。升级计划报昌吉供电公司确认后执行。</w:t>
      </w:r>
    </w:p>
    <w:p w14:paraId="1C1D3A01">
      <w:pPr>
        <w:pStyle w:val="5"/>
      </w:pPr>
      <w:r>
        <w:rPr>
          <w:rFonts w:ascii="黑体" w:hAnsi="黑体" w:eastAsia="黑体"/>
          <w:b/>
        </w:rPr>
        <w:t>12.2 现场升级实施服务</w:t>
      </w:r>
    </w:p>
    <w:p w14:paraId="4A375FFB">
      <w:pPr>
        <w:spacing w:line="360" w:lineRule="auto"/>
        <w:ind w:firstLine="480"/>
      </w:pPr>
      <w:r>
        <w:rPr>
          <w:rFonts w:ascii="宋体" w:hAnsi="宋体" w:eastAsia="宋体"/>
          <w:b/>
          <w:sz w:val="24"/>
        </w:rPr>
        <w:t>12.2.1 升级前配置备份</w:t>
      </w:r>
    </w:p>
    <w:p w14:paraId="1CE175E8">
      <w:pPr>
        <w:spacing w:line="360" w:lineRule="auto"/>
        <w:ind w:firstLine="480"/>
      </w:pPr>
      <w:r>
        <w:rPr>
          <w:rFonts w:ascii="宋体" w:hAnsi="宋体" w:eastAsia="宋体"/>
          <w:b w:val="0"/>
          <w:sz w:val="24"/>
        </w:rPr>
        <w:t>在执行特征库升级操作之前，对每台防火墙的当前运行配置进行完整备份。备份内容包括：系统配置文件、安全策略规则集、网络接口配置、路由配置、NAT配置、日志配置等全部配置信息。备份文件保存到升级专用U盘，并验证备份文件的完整性和可恢复性。配置备份是升级操作的前提条件，只有备份成功且验证通过后方可进行后续升级操作。</w:t>
      </w:r>
    </w:p>
    <w:p w14:paraId="2FF0527D">
      <w:pPr>
        <w:spacing w:line="360" w:lineRule="auto"/>
        <w:ind w:firstLine="480"/>
      </w:pPr>
      <w:r>
        <w:rPr>
          <w:rFonts w:ascii="宋体" w:hAnsi="宋体" w:eastAsia="宋体"/>
          <w:b/>
          <w:sz w:val="24"/>
        </w:rPr>
        <w:t>12.2.2 离线升级执行</w:t>
      </w:r>
    </w:p>
    <w:p w14:paraId="42EADE8F">
      <w:pPr>
        <w:spacing w:line="360" w:lineRule="auto"/>
        <w:ind w:firstLine="480"/>
      </w:pPr>
      <w:r>
        <w:rPr>
          <w:rFonts w:ascii="宋体" w:hAnsi="宋体" w:eastAsia="宋体"/>
          <w:b w:val="0"/>
          <w:sz w:val="24"/>
        </w:rPr>
        <w:t>按照预定的操作方案，对每台防火墙执行特征库离线升级操作。具体步骤包括：通过Console口或管理口登录设备管理界面；确认当前设备运行状态正常；将升级U盘插入设备或通过本地管理终端导入升级包；按照设备操作界面提示执行防病毒特征库升级；完成后再执行IDS规则库升级；等待设备完成特征库加载和生效。整个操作过程严格按照双人操作制度执行，一人操作一人监督核对。</w:t>
      </w:r>
    </w:p>
    <w:p w14:paraId="1473FC5B">
      <w:pPr>
        <w:spacing w:line="360" w:lineRule="auto"/>
        <w:ind w:firstLine="480"/>
      </w:pPr>
      <w:r>
        <w:rPr>
          <w:rFonts w:ascii="宋体" w:hAnsi="宋体" w:eastAsia="宋体"/>
          <w:b/>
          <w:sz w:val="24"/>
        </w:rPr>
        <w:t>12.2.3 升级后验证</w:t>
      </w:r>
    </w:p>
    <w:p w14:paraId="0EC35EC1">
      <w:pPr>
        <w:spacing w:line="360" w:lineRule="auto"/>
        <w:ind w:firstLine="480"/>
      </w:pPr>
      <w:r>
        <w:rPr>
          <w:rFonts w:ascii="宋体" w:hAnsi="宋体" w:eastAsia="宋体"/>
          <w:b w:val="0"/>
          <w:sz w:val="24"/>
        </w:rPr>
        <w:t>升级完成后，对每台设备执行以下验证检查：（1）版本验证——确认特征库版本已更新到目标版本；（2）功能验证——测试防病毒功能、入侵检测功能、访问控制功能等各项安全功能正常工作；（3）策略验证——逐项核对安全策略规则，确认所有规则未受影响；（4）性能验证——确认设备CPU、内存等资源使用正常，无异常告警；（5）网络验证——确认各接口流量正常，业务通信不受影响。所有验证项均通过后，方可确认该设备升级成功。</w:t>
      </w:r>
    </w:p>
    <w:p w14:paraId="59319CA9">
      <w:pPr>
        <w:pStyle w:val="5"/>
      </w:pPr>
      <w:r>
        <w:rPr>
          <w:rFonts w:ascii="黑体" w:hAnsi="黑体" w:eastAsia="黑体"/>
          <w:b/>
        </w:rPr>
        <w:t>12.3 升级后归档服务</w:t>
      </w:r>
    </w:p>
    <w:p w14:paraId="36082365">
      <w:pPr>
        <w:spacing w:line="360" w:lineRule="auto"/>
        <w:ind w:firstLine="480"/>
      </w:pPr>
      <w:r>
        <w:rPr>
          <w:rFonts w:ascii="宋体" w:hAnsi="宋体" w:eastAsia="宋体"/>
          <w:b/>
          <w:sz w:val="24"/>
        </w:rPr>
        <w:t>12.3.1 升级记录编制</w:t>
      </w:r>
    </w:p>
    <w:p w14:paraId="64990FBD">
      <w:pPr>
        <w:spacing w:line="360" w:lineRule="auto"/>
        <w:ind w:firstLine="480"/>
      </w:pPr>
      <w:r>
        <w:rPr>
          <w:rFonts w:ascii="宋体" w:hAnsi="宋体" w:eastAsia="宋体"/>
          <w:b w:val="0"/>
          <w:sz w:val="24"/>
        </w:rPr>
        <w:t>为每台完成升级的防火墙设备编制详细的升级记录，内容包括：变电站名称、设备编号、升级日期时间、操作人员、升级前特征库版本、升级后特征库版本、验证结果、是否有异常及处理情况等。升级记录须经操作人员和验证人员共同签字确认。</w:t>
      </w:r>
    </w:p>
    <w:p w14:paraId="4226DAEA">
      <w:pPr>
        <w:spacing w:line="360" w:lineRule="auto"/>
        <w:ind w:firstLine="480"/>
      </w:pPr>
      <w:r>
        <w:rPr>
          <w:rFonts w:ascii="宋体" w:hAnsi="宋体" w:eastAsia="宋体"/>
          <w:b/>
          <w:sz w:val="24"/>
        </w:rPr>
        <w:t>12.3.2 验证报告编制</w:t>
      </w:r>
    </w:p>
    <w:p w14:paraId="3DA8D5D7">
      <w:pPr>
        <w:spacing w:line="360" w:lineRule="auto"/>
        <w:ind w:firstLine="480"/>
      </w:pPr>
      <w:r>
        <w:rPr>
          <w:rFonts w:ascii="宋体" w:hAnsi="宋体" w:eastAsia="宋体"/>
          <w:b w:val="0"/>
          <w:sz w:val="24"/>
        </w:rPr>
        <w:t>编制每次升级的验证报告，包含升级前后的设备截图对比、各项验证检查结果、升级效果总结等内容。验证报告作为项目交付成果之一，需按照规范格式编制。</w:t>
      </w:r>
    </w:p>
    <w:p w14:paraId="452C7373">
      <w:pPr>
        <w:spacing w:line="360" w:lineRule="auto"/>
        <w:ind w:firstLine="480"/>
      </w:pPr>
      <w:r>
        <w:rPr>
          <w:rFonts w:ascii="宋体" w:hAnsi="宋体" w:eastAsia="宋体"/>
          <w:b/>
          <w:sz w:val="24"/>
        </w:rPr>
        <w:t>12.3.3 项目总结报告</w:t>
      </w:r>
    </w:p>
    <w:p w14:paraId="30CFAC9A">
      <w:pPr>
        <w:spacing w:line="360" w:lineRule="auto"/>
        <w:ind w:firstLine="480"/>
      </w:pPr>
      <w:r>
        <w:rPr>
          <w:rFonts w:ascii="宋体" w:hAnsi="宋体" w:eastAsia="宋体"/>
          <w:b w:val="0"/>
          <w:sz w:val="24"/>
        </w:rPr>
        <w:t>每次全面升级完成后，编制升级总结报告，内容包括：本次升级概况、各站升级完成情况、遇到的问题及处理情况、经验教训总结、对下次升级的建议等。</w:t>
      </w:r>
    </w:p>
    <w:p w14:paraId="157D0044">
      <w:pPr>
        <w:spacing w:line="360" w:lineRule="auto"/>
        <w:ind w:firstLine="480"/>
      </w:pPr>
      <w:r>
        <w:rPr>
          <w:rFonts w:ascii="宋体" w:hAnsi="宋体" w:eastAsia="宋体"/>
          <w:b/>
          <w:sz w:val="24"/>
        </w:rPr>
        <w:t>12.3.4 文档资料归档</w:t>
      </w:r>
    </w:p>
    <w:p w14:paraId="0AF9CA5E">
      <w:pPr>
        <w:spacing w:line="360" w:lineRule="auto"/>
        <w:ind w:firstLine="480"/>
      </w:pPr>
      <w:r>
        <w:rPr>
          <w:rFonts w:ascii="宋体" w:hAnsi="宋体" w:eastAsia="宋体"/>
          <w:b w:val="0"/>
          <w:sz w:val="24"/>
        </w:rPr>
        <w:t>将所有升级相关文档资料进行整理归档，包括：升级方案、升级计划、配置备份文件、升级记录、验证报告、总结报告等。按照档案管理要求，纸质文档和电子文档分别归档保存。</w:t>
      </w:r>
    </w:p>
    <w:p w14:paraId="0BE85331">
      <w:r>
        <w:br w:type="page"/>
      </w:r>
    </w:p>
    <w:p w14:paraId="1F48E5B8">
      <w:pPr>
        <w:pStyle w:val="4"/>
      </w:pPr>
      <w:r>
        <w:rPr>
          <w:rFonts w:ascii="黑体" w:hAnsi="黑体" w:eastAsia="黑体"/>
          <w:b/>
        </w:rPr>
        <w:t>十三、工作计划安排</w:t>
      </w:r>
    </w:p>
    <w:p w14:paraId="5A24CB48">
      <w:pPr>
        <w:pStyle w:val="5"/>
      </w:pPr>
      <w:r>
        <w:rPr>
          <w:rFonts w:ascii="黑体" w:hAnsi="黑体" w:eastAsia="黑体"/>
          <w:b/>
        </w:rPr>
        <w:t>13.1 总体进度计划</w:t>
      </w:r>
    </w:p>
    <w:p w14:paraId="64F4D5B4">
      <w:pPr>
        <w:spacing w:line="360" w:lineRule="auto"/>
        <w:ind w:firstLine="480"/>
      </w:pPr>
      <w:r>
        <w:rPr>
          <w:rFonts w:ascii="宋体" w:hAnsi="宋体" w:eastAsia="宋体"/>
          <w:b w:val="0"/>
          <w:sz w:val="24"/>
        </w:rPr>
        <w:t>本项目服务期限为1年，计划完成2次全面升级。总体进度安排如下：</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67FB7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4C7FDB">
            <w:pPr>
              <w:spacing w:after="0"/>
              <w:jc w:val="center"/>
            </w:pPr>
            <w:r>
              <w:rPr>
                <w:rFonts w:ascii="宋体" w:hAnsi="宋体" w:eastAsia="宋体"/>
                <w:b/>
                <w:sz w:val="22"/>
              </w:rPr>
              <w:t>阶段</w:t>
            </w:r>
          </w:p>
        </w:tc>
        <w:tc>
          <w:tcPr>
            <w:tcW w:w="2161" w:type="dxa"/>
          </w:tcPr>
          <w:p w14:paraId="522EA849">
            <w:pPr>
              <w:spacing w:after="0"/>
              <w:jc w:val="center"/>
            </w:pPr>
            <w:r>
              <w:rPr>
                <w:rFonts w:ascii="宋体" w:hAnsi="宋体" w:eastAsia="宋体"/>
                <w:b/>
                <w:sz w:val="22"/>
              </w:rPr>
              <w:t>时间安排</w:t>
            </w:r>
          </w:p>
        </w:tc>
        <w:tc>
          <w:tcPr>
            <w:tcW w:w="2161" w:type="dxa"/>
          </w:tcPr>
          <w:p w14:paraId="0C1F5251">
            <w:pPr>
              <w:spacing w:after="0"/>
              <w:jc w:val="center"/>
            </w:pPr>
            <w:r>
              <w:rPr>
                <w:rFonts w:ascii="宋体" w:hAnsi="宋体" w:eastAsia="宋体"/>
                <w:b/>
                <w:sz w:val="22"/>
              </w:rPr>
              <w:t>主要工作内容</w:t>
            </w:r>
          </w:p>
        </w:tc>
        <w:tc>
          <w:tcPr>
            <w:tcW w:w="2161" w:type="dxa"/>
          </w:tcPr>
          <w:p w14:paraId="341AFD2C">
            <w:pPr>
              <w:spacing w:after="0"/>
              <w:jc w:val="center"/>
            </w:pPr>
            <w:r>
              <w:rPr>
                <w:rFonts w:ascii="宋体" w:hAnsi="宋体" w:eastAsia="宋体"/>
                <w:b/>
                <w:sz w:val="22"/>
              </w:rPr>
              <w:t>里程碑成果</w:t>
            </w:r>
          </w:p>
        </w:tc>
      </w:tr>
      <w:tr w14:paraId="4CDF8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363B8DC">
            <w:pPr>
              <w:spacing w:after="0"/>
            </w:pPr>
            <w:r>
              <w:rPr>
                <w:rFonts w:ascii="宋体" w:hAnsi="宋体" w:eastAsia="宋体"/>
                <w:sz w:val="22"/>
              </w:rPr>
              <w:t>准备阶段</w:t>
            </w:r>
          </w:p>
        </w:tc>
        <w:tc>
          <w:tcPr>
            <w:tcW w:w="2161" w:type="dxa"/>
          </w:tcPr>
          <w:p w14:paraId="666C3698">
            <w:pPr>
              <w:spacing w:after="0"/>
            </w:pPr>
            <w:r>
              <w:rPr>
                <w:rFonts w:ascii="宋体" w:hAnsi="宋体" w:eastAsia="宋体"/>
                <w:sz w:val="22"/>
              </w:rPr>
              <w:t>第1-2周</w:t>
            </w:r>
          </w:p>
        </w:tc>
        <w:tc>
          <w:tcPr>
            <w:tcW w:w="2161" w:type="dxa"/>
          </w:tcPr>
          <w:p w14:paraId="691E21E2">
            <w:pPr>
              <w:spacing w:after="0"/>
            </w:pPr>
            <w:r>
              <w:rPr>
                <w:rFonts w:ascii="宋体" w:hAnsi="宋体" w:eastAsia="宋体"/>
                <w:sz w:val="22"/>
              </w:rPr>
              <w:t>设备信息调查、方案编制、</w:t>
            </w:r>
            <w:r>
              <w:rPr>
                <w:rFonts w:ascii="宋体" w:hAnsi="宋体" w:eastAsia="宋体"/>
                <w:sz w:val="22"/>
              </w:rPr>
              <w:br w:type="textWrapping"/>
            </w:r>
            <w:r>
              <w:rPr>
                <w:rFonts w:ascii="宋体" w:hAnsi="宋体" w:eastAsia="宋体"/>
                <w:sz w:val="22"/>
              </w:rPr>
              <w:t>升级包准备</w:t>
            </w:r>
          </w:p>
        </w:tc>
        <w:tc>
          <w:tcPr>
            <w:tcW w:w="2161" w:type="dxa"/>
          </w:tcPr>
          <w:p w14:paraId="14FCE656">
            <w:pPr>
              <w:spacing w:after="0"/>
            </w:pPr>
            <w:r>
              <w:rPr>
                <w:rFonts w:ascii="宋体" w:hAnsi="宋体" w:eastAsia="宋体"/>
                <w:sz w:val="22"/>
              </w:rPr>
              <w:t>设备台账、升级方案</w:t>
            </w:r>
          </w:p>
        </w:tc>
      </w:tr>
      <w:tr w14:paraId="59279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A6AD057">
            <w:pPr>
              <w:spacing w:after="0"/>
            </w:pPr>
            <w:r>
              <w:rPr>
                <w:rFonts w:ascii="宋体" w:hAnsi="宋体" w:eastAsia="宋体"/>
                <w:sz w:val="22"/>
              </w:rPr>
              <w:t>第一次升级</w:t>
            </w:r>
          </w:p>
        </w:tc>
        <w:tc>
          <w:tcPr>
            <w:tcW w:w="2161" w:type="dxa"/>
          </w:tcPr>
          <w:p w14:paraId="6AB4BBB1">
            <w:pPr>
              <w:spacing w:after="0"/>
            </w:pPr>
            <w:r>
              <w:rPr>
                <w:rFonts w:ascii="宋体" w:hAnsi="宋体" w:eastAsia="宋体"/>
                <w:sz w:val="22"/>
              </w:rPr>
              <w:t>第3-6周</w:t>
            </w:r>
            <w:r>
              <w:rPr>
                <w:rFonts w:ascii="宋体" w:hAnsi="宋体" w:eastAsia="宋体"/>
                <w:sz w:val="22"/>
              </w:rPr>
              <w:br w:type="textWrapping"/>
            </w:r>
            <w:r>
              <w:rPr>
                <w:rFonts w:ascii="宋体" w:hAnsi="宋体" w:eastAsia="宋体"/>
                <w:sz w:val="22"/>
              </w:rPr>
              <w:t>（3-4月）</w:t>
            </w:r>
          </w:p>
        </w:tc>
        <w:tc>
          <w:tcPr>
            <w:tcW w:w="2161" w:type="dxa"/>
          </w:tcPr>
          <w:p w14:paraId="6E7664B3">
            <w:pPr>
              <w:spacing w:after="0"/>
            </w:pPr>
            <w:r>
              <w:rPr>
                <w:rFonts w:ascii="宋体" w:hAnsi="宋体" w:eastAsia="宋体"/>
                <w:sz w:val="22"/>
              </w:rPr>
              <w:t>19座变电站38台防火墙</w:t>
            </w:r>
            <w:r>
              <w:rPr>
                <w:rFonts w:ascii="宋体" w:hAnsi="宋体" w:eastAsia="宋体"/>
                <w:sz w:val="22"/>
              </w:rPr>
              <w:br w:type="textWrapping"/>
            </w:r>
            <w:r>
              <w:rPr>
                <w:rFonts w:ascii="宋体" w:hAnsi="宋体" w:eastAsia="宋体"/>
                <w:sz w:val="22"/>
              </w:rPr>
              <w:t>特征库第一次升级</w:t>
            </w:r>
          </w:p>
        </w:tc>
        <w:tc>
          <w:tcPr>
            <w:tcW w:w="2161" w:type="dxa"/>
          </w:tcPr>
          <w:p w14:paraId="4D408386">
            <w:pPr>
              <w:spacing w:after="0"/>
            </w:pPr>
            <w:r>
              <w:rPr>
                <w:rFonts w:ascii="宋体" w:hAnsi="宋体" w:eastAsia="宋体"/>
                <w:sz w:val="22"/>
              </w:rPr>
              <w:t>升级记录、验证报告</w:t>
            </w:r>
          </w:p>
        </w:tc>
      </w:tr>
      <w:tr w14:paraId="6B584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045CA85">
            <w:pPr>
              <w:spacing w:after="0"/>
            </w:pPr>
            <w:r>
              <w:rPr>
                <w:rFonts w:ascii="宋体" w:hAnsi="宋体" w:eastAsia="宋体"/>
                <w:sz w:val="22"/>
              </w:rPr>
              <w:t>中期维护</w:t>
            </w:r>
          </w:p>
        </w:tc>
        <w:tc>
          <w:tcPr>
            <w:tcW w:w="2161" w:type="dxa"/>
          </w:tcPr>
          <w:p w14:paraId="6C154E05">
            <w:pPr>
              <w:spacing w:after="0"/>
            </w:pPr>
            <w:r>
              <w:rPr>
                <w:rFonts w:ascii="宋体" w:hAnsi="宋体" w:eastAsia="宋体"/>
                <w:sz w:val="22"/>
              </w:rPr>
              <w:t>第7-24周</w:t>
            </w:r>
          </w:p>
        </w:tc>
        <w:tc>
          <w:tcPr>
            <w:tcW w:w="2161" w:type="dxa"/>
          </w:tcPr>
          <w:p w14:paraId="57DB84C1">
            <w:pPr>
              <w:spacing w:after="0"/>
            </w:pPr>
            <w:r>
              <w:rPr>
                <w:rFonts w:ascii="宋体" w:hAnsi="宋体" w:eastAsia="宋体"/>
                <w:sz w:val="22"/>
              </w:rPr>
              <w:t>跟踪升级效果、</w:t>
            </w:r>
            <w:r>
              <w:rPr>
                <w:rFonts w:ascii="宋体" w:hAnsi="宋体" w:eastAsia="宋体"/>
                <w:sz w:val="22"/>
              </w:rPr>
              <w:br w:type="textWrapping"/>
            </w:r>
            <w:r>
              <w:rPr>
                <w:rFonts w:ascii="宋体" w:hAnsi="宋体" w:eastAsia="宋体"/>
                <w:sz w:val="22"/>
              </w:rPr>
              <w:t>准备第二次升级</w:t>
            </w:r>
          </w:p>
        </w:tc>
        <w:tc>
          <w:tcPr>
            <w:tcW w:w="2161" w:type="dxa"/>
          </w:tcPr>
          <w:p w14:paraId="70FFC064">
            <w:pPr>
              <w:spacing w:after="0"/>
            </w:pPr>
            <w:r>
              <w:rPr>
                <w:rFonts w:ascii="宋体" w:hAnsi="宋体" w:eastAsia="宋体"/>
                <w:sz w:val="22"/>
              </w:rPr>
              <w:t>跟踪报告</w:t>
            </w:r>
          </w:p>
        </w:tc>
      </w:tr>
      <w:tr w14:paraId="7DDFE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EE61BDB">
            <w:pPr>
              <w:spacing w:after="0"/>
            </w:pPr>
            <w:r>
              <w:rPr>
                <w:rFonts w:ascii="宋体" w:hAnsi="宋体" w:eastAsia="宋体"/>
                <w:sz w:val="22"/>
              </w:rPr>
              <w:t>第二次升级</w:t>
            </w:r>
          </w:p>
        </w:tc>
        <w:tc>
          <w:tcPr>
            <w:tcW w:w="2161" w:type="dxa"/>
          </w:tcPr>
          <w:p w14:paraId="3DFB6079">
            <w:pPr>
              <w:spacing w:after="0"/>
            </w:pPr>
            <w:r>
              <w:rPr>
                <w:rFonts w:ascii="宋体" w:hAnsi="宋体" w:eastAsia="宋体"/>
                <w:sz w:val="22"/>
              </w:rPr>
              <w:t>第25-28周</w:t>
            </w:r>
            <w:r>
              <w:rPr>
                <w:rFonts w:ascii="宋体" w:hAnsi="宋体" w:eastAsia="宋体"/>
                <w:sz w:val="22"/>
              </w:rPr>
              <w:br w:type="textWrapping"/>
            </w:r>
            <w:r>
              <w:rPr>
                <w:rFonts w:ascii="宋体" w:hAnsi="宋体" w:eastAsia="宋体"/>
                <w:sz w:val="22"/>
              </w:rPr>
              <w:t>（9-10月）</w:t>
            </w:r>
          </w:p>
        </w:tc>
        <w:tc>
          <w:tcPr>
            <w:tcW w:w="2161" w:type="dxa"/>
          </w:tcPr>
          <w:p w14:paraId="626A4A98">
            <w:pPr>
              <w:spacing w:after="0"/>
            </w:pPr>
            <w:r>
              <w:rPr>
                <w:rFonts w:ascii="宋体" w:hAnsi="宋体" w:eastAsia="宋体"/>
                <w:sz w:val="22"/>
              </w:rPr>
              <w:t>19座变电站38台防火墙</w:t>
            </w:r>
            <w:r>
              <w:rPr>
                <w:rFonts w:ascii="宋体" w:hAnsi="宋体" w:eastAsia="宋体"/>
                <w:sz w:val="22"/>
              </w:rPr>
              <w:br w:type="textWrapping"/>
            </w:r>
            <w:r>
              <w:rPr>
                <w:rFonts w:ascii="宋体" w:hAnsi="宋体" w:eastAsia="宋体"/>
                <w:sz w:val="22"/>
              </w:rPr>
              <w:t>特征库第二次升级</w:t>
            </w:r>
          </w:p>
        </w:tc>
        <w:tc>
          <w:tcPr>
            <w:tcW w:w="2161" w:type="dxa"/>
          </w:tcPr>
          <w:p w14:paraId="74926611">
            <w:pPr>
              <w:spacing w:after="0"/>
            </w:pPr>
            <w:r>
              <w:rPr>
                <w:rFonts w:ascii="宋体" w:hAnsi="宋体" w:eastAsia="宋体"/>
                <w:sz w:val="22"/>
              </w:rPr>
              <w:t>升级记录、验证报告</w:t>
            </w:r>
          </w:p>
        </w:tc>
      </w:tr>
      <w:tr w14:paraId="3AC57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724176">
            <w:pPr>
              <w:spacing w:after="0"/>
            </w:pPr>
            <w:r>
              <w:rPr>
                <w:rFonts w:ascii="宋体" w:hAnsi="宋体" w:eastAsia="宋体"/>
                <w:sz w:val="22"/>
              </w:rPr>
              <w:t>总结归档</w:t>
            </w:r>
          </w:p>
        </w:tc>
        <w:tc>
          <w:tcPr>
            <w:tcW w:w="2161" w:type="dxa"/>
          </w:tcPr>
          <w:p w14:paraId="72666F69">
            <w:pPr>
              <w:spacing w:after="0"/>
            </w:pPr>
            <w:r>
              <w:rPr>
                <w:rFonts w:ascii="宋体" w:hAnsi="宋体" w:eastAsia="宋体"/>
                <w:sz w:val="22"/>
              </w:rPr>
              <w:t>第29-30周</w:t>
            </w:r>
          </w:p>
        </w:tc>
        <w:tc>
          <w:tcPr>
            <w:tcW w:w="2161" w:type="dxa"/>
          </w:tcPr>
          <w:p w14:paraId="09F6E59A">
            <w:pPr>
              <w:spacing w:after="0"/>
            </w:pPr>
            <w:r>
              <w:rPr>
                <w:rFonts w:ascii="宋体" w:hAnsi="宋体" w:eastAsia="宋体"/>
                <w:sz w:val="22"/>
              </w:rPr>
              <w:t>年度总结、文档归档</w:t>
            </w:r>
          </w:p>
        </w:tc>
        <w:tc>
          <w:tcPr>
            <w:tcW w:w="2161" w:type="dxa"/>
          </w:tcPr>
          <w:p w14:paraId="089B126D">
            <w:pPr>
              <w:spacing w:after="0"/>
            </w:pPr>
            <w:r>
              <w:rPr>
                <w:rFonts w:ascii="宋体" w:hAnsi="宋体" w:eastAsia="宋体"/>
                <w:sz w:val="22"/>
              </w:rPr>
              <w:t>年度总结报告</w:t>
            </w:r>
          </w:p>
        </w:tc>
      </w:tr>
    </w:tbl>
    <w:p w14:paraId="2A55FFC9"/>
    <w:p w14:paraId="4BAA8D04">
      <w:pPr>
        <w:pStyle w:val="5"/>
      </w:pPr>
      <w:r>
        <w:rPr>
          <w:rFonts w:ascii="黑体" w:hAnsi="黑体" w:eastAsia="黑体"/>
          <w:b/>
        </w:rPr>
        <w:t>13.2 单次升级详细计划</w:t>
      </w:r>
    </w:p>
    <w:p w14:paraId="06289EC9">
      <w:pPr>
        <w:spacing w:line="360" w:lineRule="auto"/>
        <w:ind w:firstLine="480"/>
      </w:pPr>
      <w:r>
        <w:rPr>
          <w:rFonts w:ascii="宋体" w:hAnsi="宋体" w:eastAsia="宋体"/>
          <w:b w:val="0"/>
          <w:sz w:val="24"/>
        </w:rPr>
        <w:t>每次全面升级的详细工作计划如下：</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2F918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1" w:type="dxa"/>
          </w:tcPr>
          <w:p w14:paraId="673D3C56">
            <w:pPr>
              <w:spacing w:after="0"/>
              <w:jc w:val="center"/>
            </w:pPr>
            <w:r>
              <w:rPr>
                <w:rFonts w:ascii="宋体" w:hAnsi="宋体" w:eastAsia="宋体"/>
                <w:b/>
                <w:sz w:val="22"/>
              </w:rPr>
              <w:t>日期</w:t>
            </w:r>
          </w:p>
        </w:tc>
        <w:tc>
          <w:tcPr>
            <w:tcW w:w="2161" w:type="dxa"/>
          </w:tcPr>
          <w:p w14:paraId="381C7BDE">
            <w:pPr>
              <w:spacing w:after="0"/>
              <w:jc w:val="center"/>
            </w:pPr>
            <w:r>
              <w:rPr>
                <w:rFonts w:ascii="宋体" w:hAnsi="宋体" w:eastAsia="宋体"/>
                <w:b/>
                <w:sz w:val="22"/>
              </w:rPr>
              <w:t>工作内容</w:t>
            </w:r>
          </w:p>
        </w:tc>
        <w:tc>
          <w:tcPr>
            <w:tcW w:w="2161" w:type="dxa"/>
          </w:tcPr>
          <w:p w14:paraId="5CCFE22A">
            <w:pPr>
              <w:spacing w:after="0"/>
              <w:jc w:val="center"/>
            </w:pPr>
            <w:r>
              <w:rPr>
                <w:rFonts w:ascii="宋体" w:hAnsi="宋体" w:eastAsia="宋体"/>
                <w:b/>
                <w:sz w:val="22"/>
              </w:rPr>
              <w:t>变电站</w:t>
            </w:r>
          </w:p>
        </w:tc>
        <w:tc>
          <w:tcPr>
            <w:tcW w:w="2161" w:type="dxa"/>
          </w:tcPr>
          <w:p w14:paraId="114EAA74">
            <w:pPr>
              <w:spacing w:after="0"/>
              <w:jc w:val="center"/>
            </w:pPr>
            <w:r>
              <w:rPr>
                <w:rFonts w:ascii="宋体" w:hAnsi="宋体" w:eastAsia="宋体"/>
                <w:b/>
                <w:sz w:val="22"/>
              </w:rPr>
              <w:t>人员安排</w:t>
            </w:r>
          </w:p>
        </w:tc>
      </w:tr>
      <w:tr w14:paraId="20749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A0CA4D">
            <w:pPr>
              <w:spacing w:after="0"/>
            </w:pPr>
            <w:r>
              <w:rPr>
                <w:rFonts w:ascii="宋体" w:hAnsi="宋体" w:eastAsia="宋体"/>
                <w:sz w:val="22"/>
              </w:rPr>
              <w:t>第1天</w:t>
            </w:r>
          </w:p>
        </w:tc>
        <w:tc>
          <w:tcPr>
            <w:tcW w:w="2161" w:type="dxa"/>
          </w:tcPr>
          <w:p w14:paraId="0374A800">
            <w:pPr>
              <w:spacing w:after="0"/>
            </w:pPr>
            <w:r>
              <w:rPr>
                <w:rFonts w:ascii="宋体" w:hAnsi="宋体" w:eastAsia="宋体"/>
                <w:sz w:val="22"/>
              </w:rPr>
              <w:t>升级包最终确认和工具准备</w:t>
            </w:r>
          </w:p>
        </w:tc>
        <w:tc>
          <w:tcPr>
            <w:tcW w:w="2161" w:type="dxa"/>
          </w:tcPr>
          <w:p w14:paraId="0EEA76DD">
            <w:pPr>
              <w:spacing w:after="0"/>
            </w:pPr>
            <w:r>
              <w:rPr>
                <w:rFonts w:ascii="宋体" w:hAnsi="宋体" w:eastAsia="宋体"/>
                <w:sz w:val="22"/>
              </w:rPr>
              <w:t>—</w:t>
            </w:r>
          </w:p>
        </w:tc>
        <w:tc>
          <w:tcPr>
            <w:tcW w:w="2161" w:type="dxa"/>
          </w:tcPr>
          <w:p w14:paraId="54EF4ABA">
            <w:pPr>
              <w:spacing w:after="0"/>
            </w:pPr>
            <w:r>
              <w:rPr>
                <w:rFonts w:ascii="宋体" w:hAnsi="宋体" w:eastAsia="宋体"/>
                <w:sz w:val="22"/>
              </w:rPr>
              <w:t>全体技术人员</w:t>
            </w:r>
          </w:p>
        </w:tc>
      </w:tr>
      <w:tr w14:paraId="2E682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3D6B6E7">
            <w:pPr>
              <w:spacing w:after="0"/>
            </w:pPr>
            <w:r>
              <w:rPr>
                <w:rFonts w:ascii="宋体" w:hAnsi="宋体" w:eastAsia="宋体"/>
                <w:sz w:val="22"/>
              </w:rPr>
              <w:t>第2天</w:t>
            </w:r>
          </w:p>
        </w:tc>
        <w:tc>
          <w:tcPr>
            <w:tcW w:w="2161" w:type="dxa"/>
          </w:tcPr>
          <w:p w14:paraId="0FF3C816">
            <w:pPr>
              <w:spacing w:after="0"/>
            </w:pPr>
            <w:r>
              <w:rPr>
                <w:rFonts w:ascii="宋体" w:hAnsi="宋体" w:eastAsia="宋体"/>
                <w:sz w:val="22"/>
              </w:rPr>
              <w:t>现场升级（第1批）</w:t>
            </w:r>
          </w:p>
        </w:tc>
        <w:tc>
          <w:tcPr>
            <w:tcW w:w="2161" w:type="dxa"/>
          </w:tcPr>
          <w:p w14:paraId="72103AAE">
            <w:pPr>
              <w:spacing w:after="0"/>
            </w:pPr>
            <w:r>
              <w:rPr>
                <w:rFonts w:ascii="宋体" w:hAnsi="宋体" w:eastAsia="宋体"/>
                <w:sz w:val="22"/>
              </w:rPr>
              <w:t>彩北开关站、彩虹变、彩霞变</w:t>
            </w:r>
          </w:p>
        </w:tc>
        <w:tc>
          <w:tcPr>
            <w:tcW w:w="2161" w:type="dxa"/>
          </w:tcPr>
          <w:p w14:paraId="74364F56">
            <w:pPr>
              <w:spacing w:after="0"/>
            </w:pPr>
            <w:r>
              <w:rPr>
                <w:rFonts w:ascii="宋体" w:hAnsi="宋体" w:eastAsia="宋体"/>
                <w:sz w:val="22"/>
              </w:rPr>
              <w:t>升级组A</w:t>
            </w:r>
          </w:p>
        </w:tc>
      </w:tr>
      <w:tr w14:paraId="6066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087205C">
            <w:pPr>
              <w:spacing w:after="0"/>
            </w:pPr>
            <w:r>
              <w:rPr>
                <w:rFonts w:ascii="宋体" w:hAnsi="宋体" w:eastAsia="宋体"/>
                <w:sz w:val="22"/>
              </w:rPr>
              <w:t>第3天</w:t>
            </w:r>
          </w:p>
        </w:tc>
        <w:tc>
          <w:tcPr>
            <w:tcW w:w="2161" w:type="dxa"/>
          </w:tcPr>
          <w:p w14:paraId="5159B135">
            <w:pPr>
              <w:spacing w:after="0"/>
            </w:pPr>
            <w:r>
              <w:rPr>
                <w:rFonts w:ascii="宋体" w:hAnsi="宋体" w:eastAsia="宋体"/>
                <w:sz w:val="22"/>
              </w:rPr>
              <w:t>现场升级（第2批）</w:t>
            </w:r>
          </w:p>
        </w:tc>
        <w:tc>
          <w:tcPr>
            <w:tcW w:w="2161" w:type="dxa"/>
          </w:tcPr>
          <w:p w14:paraId="5ED9BA68">
            <w:pPr>
              <w:spacing w:after="0"/>
            </w:pPr>
            <w:r>
              <w:rPr>
                <w:rFonts w:ascii="宋体" w:hAnsi="宋体" w:eastAsia="宋体"/>
                <w:sz w:val="22"/>
              </w:rPr>
              <w:t>昌吉变、阜东变、呼图壁工业园变</w:t>
            </w:r>
          </w:p>
        </w:tc>
        <w:tc>
          <w:tcPr>
            <w:tcW w:w="2161" w:type="dxa"/>
          </w:tcPr>
          <w:p w14:paraId="4D5BF430">
            <w:pPr>
              <w:spacing w:after="0"/>
            </w:pPr>
            <w:r>
              <w:rPr>
                <w:rFonts w:ascii="宋体" w:hAnsi="宋体" w:eastAsia="宋体"/>
                <w:sz w:val="22"/>
              </w:rPr>
              <w:t>升级组A</w:t>
            </w:r>
          </w:p>
        </w:tc>
      </w:tr>
      <w:tr w14:paraId="159D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2072C8">
            <w:pPr>
              <w:spacing w:after="0"/>
            </w:pPr>
            <w:r>
              <w:rPr>
                <w:rFonts w:ascii="宋体" w:hAnsi="宋体" w:eastAsia="宋体"/>
                <w:sz w:val="22"/>
              </w:rPr>
              <w:t>第4天</w:t>
            </w:r>
          </w:p>
        </w:tc>
        <w:tc>
          <w:tcPr>
            <w:tcW w:w="2161" w:type="dxa"/>
          </w:tcPr>
          <w:p w14:paraId="29EAEE44">
            <w:pPr>
              <w:spacing w:after="0"/>
            </w:pPr>
            <w:r>
              <w:rPr>
                <w:rFonts w:ascii="宋体" w:hAnsi="宋体" w:eastAsia="宋体"/>
                <w:sz w:val="22"/>
              </w:rPr>
              <w:t>现场升级（第3批）</w:t>
            </w:r>
          </w:p>
        </w:tc>
        <w:tc>
          <w:tcPr>
            <w:tcW w:w="2161" w:type="dxa"/>
          </w:tcPr>
          <w:p w14:paraId="7D47A266">
            <w:pPr>
              <w:spacing w:after="0"/>
            </w:pPr>
            <w:r>
              <w:rPr>
                <w:rFonts w:ascii="宋体" w:hAnsi="宋体" w:eastAsia="宋体"/>
                <w:sz w:val="22"/>
              </w:rPr>
              <w:t>火烧岩变、吉木萨尔变、锦华变</w:t>
            </w:r>
          </w:p>
        </w:tc>
        <w:tc>
          <w:tcPr>
            <w:tcW w:w="2161" w:type="dxa"/>
          </w:tcPr>
          <w:p w14:paraId="24888494">
            <w:pPr>
              <w:spacing w:after="0"/>
            </w:pPr>
            <w:r>
              <w:rPr>
                <w:rFonts w:ascii="宋体" w:hAnsi="宋体" w:eastAsia="宋体"/>
                <w:sz w:val="22"/>
              </w:rPr>
              <w:t>升级组B</w:t>
            </w:r>
          </w:p>
        </w:tc>
      </w:tr>
      <w:tr w14:paraId="1434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0064C0D">
            <w:pPr>
              <w:spacing w:after="0"/>
            </w:pPr>
            <w:r>
              <w:rPr>
                <w:rFonts w:ascii="宋体" w:hAnsi="宋体" w:eastAsia="宋体"/>
                <w:sz w:val="22"/>
              </w:rPr>
              <w:t>第5天</w:t>
            </w:r>
          </w:p>
        </w:tc>
        <w:tc>
          <w:tcPr>
            <w:tcW w:w="2161" w:type="dxa"/>
          </w:tcPr>
          <w:p w14:paraId="1A3484AB">
            <w:pPr>
              <w:spacing w:after="0"/>
            </w:pPr>
            <w:r>
              <w:rPr>
                <w:rFonts w:ascii="宋体" w:hAnsi="宋体" w:eastAsia="宋体"/>
                <w:sz w:val="22"/>
              </w:rPr>
              <w:t>现场升级（第4批）</w:t>
            </w:r>
          </w:p>
        </w:tc>
        <w:tc>
          <w:tcPr>
            <w:tcW w:w="2161" w:type="dxa"/>
          </w:tcPr>
          <w:p w14:paraId="2FCEF1A1">
            <w:pPr>
              <w:spacing w:after="0"/>
            </w:pPr>
            <w:r>
              <w:rPr>
                <w:rFonts w:ascii="宋体" w:hAnsi="宋体" w:eastAsia="宋体"/>
                <w:sz w:val="22"/>
              </w:rPr>
              <w:t>凯旋变、乐土驿变、宁州户变</w:t>
            </w:r>
          </w:p>
        </w:tc>
        <w:tc>
          <w:tcPr>
            <w:tcW w:w="2161" w:type="dxa"/>
          </w:tcPr>
          <w:p w14:paraId="6A3131F9">
            <w:pPr>
              <w:spacing w:after="0"/>
            </w:pPr>
            <w:r>
              <w:rPr>
                <w:rFonts w:ascii="宋体" w:hAnsi="宋体" w:eastAsia="宋体"/>
                <w:sz w:val="22"/>
              </w:rPr>
              <w:t>升级组B</w:t>
            </w:r>
          </w:p>
        </w:tc>
      </w:tr>
      <w:tr w14:paraId="5AC68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45AEC84">
            <w:pPr>
              <w:spacing w:after="0"/>
            </w:pPr>
            <w:r>
              <w:rPr>
                <w:rFonts w:ascii="宋体" w:hAnsi="宋体" w:eastAsia="宋体"/>
                <w:sz w:val="22"/>
              </w:rPr>
              <w:t>第6天</w:t>
            </w:r>
          </w:p>
        </w:tc>
        <w:tc>
          <w:tcPr>
            <w:tcW w:w="2161" w:type="dxa"/>
          </w:tcPr>
          <w:p w14:paraId="0F79F809">
            <w:pPr>
              <w:spacing w:after="0"/>
            </w:pPr>
            <w:r>
              <w:rPr>
                <w:rFonts w:ascii="宋体" w:hAnsi="宋体" w:eastAsia="宋体"/>
                <w:sz w:val="22"/>
              </w:rPr>
              <w:t>现场升级（第5批）</w:t>
            </w:r>
          </w:p>
        </w:tc>
        <w:tc>
          <w:tcPr>
            <w:tcW w:w="2161" w:type="dxa"/>
          </w:tcPr>
          <w:p w14:paraId="4D00564E">
            <w:pPr>
              <w:spacing w:after="0"/>
            </w:pPr>
            <w:r>
              <w:rPr>
                <w:rFonts w:ascii="宋体" w:hAnsi="宋体" w:eastAsia="宋体"/>
                <w:sz w:val="22"/>
              </w:rPr>
              <w:t>奇台变、石钱滩变、兴盛变</w:t>
            </w:r>
          </w:p>
        </w:tc>
        <w:tc>
          <w:tcPr>
            <w:tcW w:w="2161" w:type="dxa"/>
          </w:tcPr>
          <w:p w14:paraId="53CDFE0D">
            <w:pPr>
              <w:spacing w:after="0"/>
            </w:pPr>
            <w:r>
              <w:rPr>
                <w:rFonts w:ascii="宋体" w:hAnsi="宋体" w:eastAsia="宋体"/>
                <w:sz w:val="22"/>
              </w:rPr>
              <w:t>升级组A</w:t>
            </w:r>
          </w:p>
        </w:tc>
      </w:tr>
      <w:tr w14:paraId="7FC3D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6E9872">
            <w:pPr>
              <w:spacing w:after="0"/>
            </w:pPr>
            <w:r>
              <w:rPr>
                <w:rFonts w:ascii="宋体" w:hAnsi="宋体" w:eastAsia="宋体"/>
                <w:sz w:val="22"/>
              </w:rPr>
              <w:t>第7天</w:t>
            </w:r>
          </w:p>
        </w:tc>
        <w:tc>
          <w:tcPr>
            <w:tcW w:w="2161" w:type="dxa"/>
          </w:tcPr>
          <w:p w14:paraId="7087D889">
            <w:pPr>
              <w:spacing w:after="0"/>
            </w:pPr>
            <w:r>
              <w:rPr>
                <w:rFonts w:ascii="宋体" w:hAnsi="宋体" w:eastAsia="宋体"/>
                <w:sz w:val="22"/>
              </w:rPr>
              <w:t>现场升级（第6批）</w:t>
            </w:r>
          </w:p>
        </w:tc>
        <w:tc>
          <w:tcPr>
            <w:tcW w:w="2161" w:type="dxa"/>
          </w:tcPr>
          <w:p w14:paraId="2D256EB1">
            <w:pPr>
              <w:spacing w:after="0"/>
            </w:pPr>
            <w:r>
              <w:rPr>
                <w:rFonts w:ascii="宋体" w:hAnsi="宋体" w:eastAsia="宋体"/>
                <w:sz w:val="22"/>
              </w:rPr>
              <w:t>幸福变、瑶池变、长宁变</w:t>
            </w:r>
          </w:p>
        </w:tc>
        <w:tc>
          <w:tcPr>
            <w:tcW w:w="2161" w:type="dxa"/>
          </w:tcPr>
          <w:p w14:paraId="1FF125B4">
            <w:pPr>
              <w:spacing w:after="0"/>
            </w:pPr>
            <w:r>
              <w:rPr>
                <w:rFonts w:ascii="宋体" w:hAnsi="宋体" w:eastAsia="宋体"/>
                <w:sz w:val="22"/>
              </w:rPr>
              <w:t>升级组B</w:t>
            </w:r>
          </w:p>
        </w:tc>
      </w:tr>
      <w:tr w14:paraId="3183C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81991A">
            <w:pPr>
              <w:spacing w:after="0"/>
            </w:pPr>
            <w:r>
              <w:rPr>
                <w:rFonts w:ascii="宋体" w:hAnsi="宋体" w:eastAsia="宋体"/>
                <w:sz w:val="22"/>
              </w:rPr>
              <w:t>第8天</w:t>
            </w:r>
          </w:p>
        </w:tc>
        <w:tc>
          <w:tcPr>
            <w:tcW w:w="2161" w:type="dxa"/>
          </w:tcPr>
          <w:p w14:paraId="515EFC86">
            <w:pPr>
              <w:spacing w:after="0"/>
            </w:pPr>
            <w:r>
              <w:rPr>
                <w:rFonts w:ascii="宋体" w:hAnsi="宋体" w:eastAsia="宋体"/>
                <w:sz w:val="22"/>
              </w:rPr>
              <w:t>现场升级（第7批）</w:t>
            </w:r>
          </w:p>
        </w:tc>
        <w:tc>
          <w:tcPr>
            <w:tcW w:w="2161" w:type="dxa"/>
          </w:tcPr>
          <w:p w14:paraId="620A9F3F">
            <w:pPr>
              <w:spacing w:after="0"/>
            </w:pPr>
            <w:r>
              <w:rPr>
                <w:rFonts w:ascii="宋体" w:hAnsi="宋体" w:eastAsia="宋体"/>
                <w:sz w:val="22"/>
              </w:rPr>
              <w:t>昭阳变 + 补充升级</w:t>
            </w:r>
          </w:p>
        </w:tc>
        <w:tc>
          <w:tcPr>
            <w:tcW w:w="2161" w:type="dxa"/>
          </w:tcPr>
          <w:p w14:paraId="1D2DFAC6">
            <w:pPr>
              <w:spacing w:after="0"/>
            </w:pPr>
            <w:r>
              <w:rPr>
                <w:rFonts w:ascii="宋体" w:hAnsi="宋体" w:eastAsia="宋体"/>
                <w:sz w:val="22"/>
              </w:rPr>
              <w:t>升级组A</w:t>
            </w:r>
          </w:p>
        </w:tc>
      </w:tr>
      <w:tr w14:paraId="531BA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2884F0">
            <w:pPr>
              <w:spacing w:after="0"/>
            </w:pPr>
            <w:r>
              <w:rPr>
                <w:rFonts w:ascii="宋体" w:hAnsi="宋体" w:eastAsia="宋体"/>
                <w:sz w:val="22"/>
              </w:rPr>
              <w:t>第9-10天</w:t>
            </w:r>
          </w:p>
        </w:tc>
        <w:tc>
          <w:tcPr>
            <w:tcW w:w="2161" w:type="dxa"/>
          </w:tcPr>
          <w:p w14:paraId="27B6AA21">
            <w:pPr>
              <w:spacing w:after="0"/>
            </w:pPr>
            <w:r>
              <w:rPr>
                <w:rFonts w:ascii="宋体" w:hAnsi="宋体" w:eastAsia="宋体"/>
                <w:sz w:val="22"/>
              </w:rPr>
              <w:t>验证复核和文档整理</w:t>
            </w:r>
          </w:p>
        </w:tc>
        <w:tc>
          <w:tcPr>
            <w:tcW w:w="2161" w:type="dxa"/>
          </w:tcPr>
          <w:p w14:paraId="45ED9014">
            <w:pPr>
              <w:spacing w:after="0"/>
            </w:pPr>
            <w:r>
              <w:rPr>
                <w:rFonts w:ascii="宋体" w:hAnsi="宋体" w:eastAsia="宋体"/>
                <w:sz w:val="22"/>
              </w:rPr>
              <w:t>全部</w:t>
            </w:r>
          </w:p>
        </w:tc>
        <w:tc>
          <w:tcPr>
            <w:tcW w:w="2161" w:type="dxa"/>
          </w:tcPr>
          <w:p w14:paraId="677DE355">
            <w:pPr>
              <w:spacing w:after="0"/>
            </w:pPr>
            <w:r>
              <w:rPr>
                <w:rFonts w:ascii="宋体" w:hAnsi="宋体" w:eastAsia="宋体"/>
                <w:sz w:val="22"/>
              </w:rPr>
              <w:t>全体技术人员</w:t>
            </w:r>
          </w:p>
        </w:tc>
      </w:tr>
    </w:tbl>
    <w:p w14:paraId="6BD7A9DF"/>
    <w:p w14:paraId="4C12AFE6">
      <w:pPr>
        <w:pStyle w:val="5"/>
      </w:pPr>
      <w:r>
        <w:rPr>
          <w:rFonts w:ascii="黑体" w:hAnsi="黑体" w:eastAsia="黑体"/>
          <w:b/>
        </w:rPr>
        <w:t>13.3 沟通协调计划</w:t>
      </w:r>
    </w:p>
    <w:p w14:paraId="68B675F9">
      <w:pPr>
        <w:spacing w:line="360" w:lineRule="auto"/>
        <w:ind w:firstLine="480"/>
      </w:pPr>
      <w:r>
        <w:rPr>
          <w:rFonts w:ascii="宋体" w:hAnsi="宋体" w:eastAsia="宋体"/>
          <w:b w:val="0"/>
          <w:sz w:val="24"/>
        </w:rPr>
        <w:t>（1）升级前一周：与昌吉供电公司确认各站升级时间，通知相关变电站运维人员做好配合准备。</w:t>
      </w:r>
    </w:p>
    <w:p w14:paraId="410FA5C0">
      <w:pPr>
        <w:spacing w:line="360" w:lineRule="auto"/>
        <w:ind w:firstLine="480"/>
      </w:pPr>
      <w:r>
        <w:rPr>
          <w:rFonts w:ascii="宋体" w:hAnsi="宋体" w:eastAsia="宋体"/>
          <w:b w:val="0"/>
          <w:sz w:val="24"/>
        </w:rPr>
        <w:t>（2）升级当天：到达变电站后与值班人员对接，说明工作内容和预计用时。</w:t>
      </w:r>
    </w:p>
    <w:p w14:paraId="7EE79177">
      <w:pPr>
        <w:spacing w:line="360" w:lineRule="auto"/>
        <w:ind w:firstLine="480"/>
      </w:pPr>
      <w:r>
        <w:rPr>
          <w:rFonts w:ascii="宋体" w:hAnsi="宋体" w:eastAsia="宋体"/>
          <w:b w:val="0"/>
          <w:sz w:val="24"/>
        </w:rPr>
        <w:t>（3）升级完成当天：向昌吉供电公司报告当日升级完成情况和发现的问题。</w:t>
      </w:r>
    </w:p>
    <w:p w14:paraId="3A4348E8">
      <w:pPr>
        <w:spacing w:line="360" w:lineRule="auto"/>
        <w:ind w:firstLine="480"/>
      </w:pPr>
      <w:r>
        <w:rPr>
          <w:rFonts w:ascii="宋体" w:hAnsi="宋体" w:eastAsia="宋体"/>
          <w:b w:val="0"/>
          <w:sz w:val="24"/>
        </w:rPr>
        <w:t>（4）全部升级完成后：提交升级总结报告，如有需要组织项目验收会。</w:t>
      </w:r>
    </w:p>
    <w:p w14:paraId="19141ABA">
      <w:pPr>
        <w:pStyle w:val="5"/>
      </w:pPr>
      <w:r>
        <w:rPr>
          <w:rFonts w:ascii="黑体" w:hAnsi="黑体" w:eastAsia="黑体"/>
          <w:b/>
        </w:rPr>
        <w:t>13.4 应急预案</w:t>
      </w:r>
    </w:p>
    <w:p w14:paraId="6A3C8142">
      <w:pPr>
        <w:spacing w:line="360" w:lineRule="auto"/>
        <w:ind w:firstLine="480"/>
      </w:pPr>
      <w:r>
        <w:rPr>
          <w:rFonts w:ascii="宋体" w:hAnsi="宋体" w:eastAsia="宋体"/>
          <w:b w:val="0"/>
          <w:sz w:val="24"/>
        </w:rPr>
        <w:t>（1）设备升级失败：立即执行回退操作，恢复原配置；分析失败原因后制定修正方案，择日重新升级。</w:t>
      </w:r>
    </w:p>
    <w:p w14:paraId="0F384D4C">
      <w:pPr>
        <w:spacing w:line="360" w:lineRule="auto"/>
        <w:ind w:firstLine="480"/>
      </w:pPr>
      <w:r>
        <w:rPr>
          <w:rFonts w:ascii="宋体" w:hAnsi="宋体" w:eastAsia="宋体"/>
          <w:b w:val="0"/>
          <w:sz w:val="24"/>
        </w:rPr>
        <w:t>（2）设备异常重启：确认设备自动恢复正常后继续操作；如未恢复则执行应急恢复步骤。</w:t>
      </w:r>
    </w:p>
    <w:p w14:paraId="02B2F1DA">
      <w:pPr>
        <w:spacing w:line="360" w:lineRule="auto"/>
        <w:ind w:firstLine="480"/>
      </w:pPr>
      <w:r>
        <w:rPr>
          <w:rFonts w:ascii="宋体" w:hAnsi="宋体" w:eastAsia="宋体"/>
          <w:b w:val="0"/>
          <w:sz w:val="24"/>
        </w:rPr>
        <w:t>（3）网络中断：立即停止操作，检查是否与升级操作相关；如相关则执行回退操作。</w:t>
      </w:r>
    </w:p>
    <w:p w14:paraId="44F8B638">
      <w:pPr>
        <w:spacing w:line="360" w:lineRule="auto"/>
        <w:ind w:firstLine="480"/>
      </w:pPr>
      <w:r>
        <w:rPr>
          <w:rFonts w:ascii="宋体" w:hAnsi="宋体" w:eastAsia="宋体"/>
          <w:b w:val="0"/>
          <w:sz w:val="24"/>
        </w:rPr>
        <w:t>（4）升级包异常：停止使用当前升级包，联系厂商确认问题，更换正确的升级包后重新操作。</w:t>
      </w:r>
    </w:p>
    <w:p w14:paraId="1C0312C2">
      <w:pPr>
        <w:spacing w:line="360" w:lineRule="auto"/>
        <w:ind w:firstLine="480"/>
      </w:pPr>
      <w:r>
        <w:rPr>
          <w:rFonts w:ascii="宋体" w:hAnsi="宋体" w:eastAsia="宋体"/>
          <w:b w:val="0"/>
          <w:sz w:val="24"/>
        </w:rPr>
        <w:t>（5）恶劣天气影响：根据天气预报提前调整升级计划，确保人员出行安全。</w:t>
      </w:r>
    </w:p>
    <w:p w14:paraId="477CA54C">
      <w:pPr>
        <w:jc w:val="center"/>
        <w:outlineLvl w:val="0"/>
      </w:pPr>
      <w:r>
        <w:rPr>
          <w:rFonts w:ascii="黑体" w:hAnsi="黑体" w:eastAsia="黑体"/>
          <w:b/>
          <w:sz w:val="36"/>
        </w:rPr>
        <w:t>第二部分 国网新疆阿克苏供电公司220kV纺织园变电站网络安全监测功能提升项目技术方案</w:t>
      </w:r>
    </w:p>
    <w:p w14:paraId="66FEAEC5">
      <w:r>
        <w:br w:type="page"/>
      </w:r>
    </w:p>
    <w:p w14:paraId="01225BE5">
      <w:pPr>
        <w:pStyle w:val="4"/>
      </w:pPr>
      <w:r>
        <w:rPr>
          <w:rFonts w:ascii="黑体" w:hAnsi="黑体" w:eastAsia="黑体"/>
          <w:b/>
        </w:rPr>
        <w:t>一、对项目的理解</w:t>
      </w:r>
    </w:p>
    <w:p w14:paraId="75A04244">
      <w:pPr>
        <w:spacing w:line="360" w:lineRule="auto"/>
        <w:ind w:firstLine="480"/>
      </w:pPr>
      <w:r>
        <w:rPr>
          <w:rFonts w:ascii="宋体" w:hAnsi="宋体" w:eastAsia="宋体"/>
          <w:b w:val="0"/>
          <w:sz w:val="24"/>
        </w:rPr>
        <w:t>本项目为国网新疆阿克苏供电公司220kV纺织园变电站网络安全监测功能提升项目。项目旨在对纺织园变电站的网络安全监测体系进行全面优化和功能提升，通过设备接入安全监测系统、探针策略精细化调优、设备加固、漏洞扫描、二次辨识提升和端口封堵等综合技术手段，解决当前存在的告警采集不完整、代理软件接入策略不合规、高危漏洞等突出问题，全面提升纺织园变电站的网络安全监测能力和防护水平。</w:t>
      </w:r>
    </w:p>
    <w:p w14:paraId="04FCD90C">
      <w:pPr>
        <w:spacing w:line="360" w:lineRule="auto"/>
        <w:ind w:firstLine="480"/>
      </w:pPr>
      <w:r>
        <w:rPr>
          <w:rFonts w:ascii="宋体" w:hAnsi="宋体" w:eastAsia="宋体"/>
          <w:b w:val="0"/>
          <w:sz w:val="24"/>
        </w:rPr>
        <w:t>220kV纺织园变电站是阿克苏地区重要的电力输送节点，承担着为纺织产业园区及周边区域供电的重要任务。该站网络安全监测功能的完善程度直接关系到站内电力监控系统的安全可靠运行。当前，该站在网络安全监测方面存在若干不足之处，包括安全监测告警采集不够完整、部分设备未纳入统一安全监测管理、探针策略配置需要进一步优化、设备安全加固不够彻底等问题，这些问题影响了网络安全监测体系的整体效能，需要通过系统性的功能提升加以解决。</w:t>
      </w:r>
    </w:p>
    <w:p w14:paraId="3D3CF083">
      <w:pPr>
        <w:spacing w:line="360" w:lineRule="auto"/>
        <w:ind w:firstLine="480"/>
      </w:pPr>
      <w:r>
        <w:rPr>
          <w:rFonts w:ascii="宋体" w:hAnsi="宋体" w:eastAsia="宋体"/>
          <w:b w:val="0"/>
          <w:sz w:val="24"/>
        </w:rPr>
        <w:t>我们深刻理解本项目的核心目标是：通过对纺织园变电站网络安全监测体系的全面诊断和优化提升，实现安全监测覆盖范围的完整化、监测策略的精细化、安全防护的纵深化，使该站的网络安全监测能力达到电力监控系统安全防护规定的各项要求，有效消除当前存在的安全隐患，提升站端网络安全整体防护水平。</w:t>
      </w:r>
    </w:p>
    <w:p w14:paraId="055CFB38">
      <w:pPr>
        <w:spacing w:line="360" w:lineRule="auto"/>
        <w:ind w:firstLine="480"/>
      </w:pPr>
      <w:r>
        <w:rPr>
          <w:rFonts w:ascii="宋体" w:hAnsi="宋体" w:eastAsia="宋体"/>
          <w:b w:val="0"/>
          <w:sz w:val="24"/>
        </w:rPr>
        <w:t>本项目涉及的工作内容具有较强的专业性和系统性，需要综合运用网络安全监测、漏洞管理、安全加固、策略配置等多方面的专业知识和技术能力。我们作为专业的电力网络安全技术服务团队，具备丰富的变电站网络安全监测系统建设和运维经验，能够为阿克苏供电公司提供全面、专业、高效的技术服务支撑，确保项目目标的顺利实现。</w:t>
      </w:r>
    </w:p>
    <w:p w14:paraId="5278197D">
      <w:pPr>
        <w:spacing w:line="360" w:lineRule="auto"/>
        <w:ind w:firstLine="480"/>
      </w:pPr>
      <w:r>
        <w:rPr>
          <w:rFonts w:ascii="宋体" w:hAnsi="宋体" w:eastAsia="宋体"/>
          <w:b w:val="0"/>
          <w:sz w:val="24"/>
        </w:rPr>
        <w:t>我们将针对纺织园变电站网络安全监测的现存问题，制定科学合理的解决方案，按照统一规划、分步实施的原则有序推进各项工作，确保每一项提升措施都能够切实发挥作用，共同构建覆盖全面、监测精准、响应及时的网络安全监测体系。</w:t>
      </w:r>
    </w:p>
    <w:p w14:paraId="2972ADF4">
      <w:r>
        <w:br w:type="page"/>
      </w:r>
    </w:p>
    <w:p w14:paraId="7A0B46FD">
      <w:pPr>
        <w:pStyle w:val="4"/>
      </w:pPr>
      <w:r>
        <w:rPr>
          <w:rFonts w:ascii="黑体" w:hAnsi="黑体" w:eastAsia="黑体"/>
          <w:b/>
        </w:rPr>
        <w:t>二、项目背景</w:t>
      </w:r>
    </w:p>
    <w:p w14:paraId="7438180B">
      <w:pPr>
        <w:pStyle w:val="5"/>
      </w:pPr>
      <w:r>
        <w:rPr>
          <w:rFonts w:ascii="黑体" w:hAnsi="黑体" w:eastAsia="黑体"/>
          <w:b/>
        </w:rPr>
        <w:t>2.1 电力网络安全形势</w:t>
      </w:r>
    </w:p>
    <w:p w14:paraId="4AB9ED86">
      <w:pPr>
        <w:spacing w:line="360" w:lineRule="auto"/>
        <w:ind w:firstLine="480"/>
      </w:pPr>
      <w:r>
        <w:rPr>
          <w:rFonts w:ascii="宋体" w:hAnsi="宋体" w:eastAsia="宋体"/>
          <w:b w:val="0"/>
          <w:sz w:val="24"/>
        </w:rPr>
        <w:t>随着电力系统信息化和智能化水平的不断提升，变电站自动化系统、保护装置、测控设备等电力监控系统设备与网络的融合程度日益加深。同时，针对电力系统的网络安全攻击手段不断进化，APT攻击、零日漏洞利用、社会工程学攻击等威胁持续升级，对电力监控系统的安全防护提出了更高要求。</w:t>
      </w:r>
    </w:p>
    <w:p w14:paraId="207C61F3">
      <w:pPr>
        <w:spacing w:line="360" w:lineRule="auto"/>
        <w:ind w:firstLine="480"/>
      </w:pPr>
      <w:r>
        <w:rPr>
          <w:rFonts w:ascii="宋体" w:hAnsi="宋体" w:eastAsia="宋体"/>
          <w:b w:val="0"/>
          <w:sz w:val="24"/>
        </w:rPr>
        <w:t>变电站作为电力系统的重要节点，其网络安全防护不仅需要被动的边界防御手段（如防火墙、隔离装置等），更需要建立主动的安全监测和态势感知能力，能够实时发现和预警各类安全威胁和异常行为。网络安全监测系统作为安全防护体系的"眼睛"和"耳朵"，其监测能力的完善程度直接决定了安全防护的有效性。</w:t>
      </w:r>
    </w:p>
    <w:p w14:paraId="70738DFB">
      <w:pPr>
        <w:spacing w:line="360" w:lineRule="auto"/>
        <w:ind w:firstLine="480"/>
      </w:pPr>
      <w:r>
        <w:rPr>
          <w:rFonts w:ascii="宋体" w:hAnsi="宋体" w:eastAsia="宋体"/>
          <w:b w:val="0"/>
          <w:sz w:val="24"/>
        </w:rPr>
        <w:t>国家电网公司高度重视电力监控系统网络安全监测能力建设，要求各级供电企业不断完善网络安全监测体系，提升安全事件的发现能力和响应速度。2024年以来，国网公司进一步强调了站端网络安全监测装置的部署要求和监测策略的精细化管理要求，对各站的网络安全监测功能完善提出了明确的时间表和路线图。</w:t>
      </w:r>
    </w:p>
    <w:p w14:paraId="044C9008">
      <w:pPr>
        <w:pStyle w:val="5"/>
      </w:pPr>
      <w:r>
        <w:rPr>
          <w:rFonts w:ascii="黑体" w:hAnsi="黑体" w:eastAsia="黑体"/>
          <w:b/>
        </w:rPr>
        <w:t>2.2 纺织园变电站现状分析</w:t>
      </w:r>
    </w:p>
    <w:p w14:paraId="3BF1AAEC">
      <w:pPr>
        <w:spacing w:line="360" w:lineRule="auto"/>
        <w:ind w:firstLine="480"/>
      </w:pPr>
      <w:r>
        <w:rPr>
          <w:rFonts w:ascii="宋体" w:hAnsi="宋体" w:eastAsia="宋体"/>
          <w:b w:val="0"/>
          <w:sz w:val="24"/>
        </w:rPr>
        <w:t>220kV纺织园变电站位于阿克苏纺织工业城（开发区）内，是该区域的重要电源点之一，为纺织产业园区的工业用电和周边民用供电提供保障。该站已部署了网络安全监测相关设备，但在实际运行过程中暴露出以下问题：</w:t>
      </w:r>
    </w:p>
    <w:p w14:paraId="7855B3A4">
      <w:pPr>
        <w:spacing w:line="360" w:lineRule="auto"/>
        <w:ind w:firstLine="480"/>
      </w:pPr>
      <w:r>
        <w:rPr>
          <w:rFonts w:ascii="宋体" w:hAnsi="宋体" w:eastAsia="宋体"/>
          <w:b w:val="0"/>
          <w:sz w:val="24"/>
        </w:rPr>
        <w:t>（1）告警采集不完整。当前网络安全监测系统对站内设备产生的安全告警信息采集不够全面，部分设备的告警信息未能被有效采集和分析，导致安全事件存在监测盲区，影响了安全态势的完整掌握。</w:t>
      </w:r>
    </w:p>
    <w:p w14:paraId="59819F32">
      <w:pPr>
        <w:spacing w:line="360" w:lineRule="auto"/>
        <w:ind w:firstLine="480"/>
      </w:pPr>
      <w:r>
        <w:rPr>
          <w:rFonts w:ascii="宋体" w:hAnsi="宋体" w:eastAsia="宋体"/>
          <w:b w:val="0"/>
          <w:sz w:val="24"/>
        </w:rPr>
        <w:t>（2）代理软件接入策略不合规。站内部分设备安装的安全代理软件（Agent）的接入策略配置不符合国家电网公司的相关技术规范要求，存在策略配置不当、权限设置不合理等问题，可能影响安全监测数据的正确采集和传输。</w:t>
      </w:r>
    </w:p>
    <w:p w14:paraId="51721012">
      <w:pPr>
        <w:spacing w:line="360" w:lineRule="auto"/>
        <w:ind w:firstLine="480"/>
      </w:pPr>
      <w:r>
        <w:rPr>
          <w:rFonts w:ascii="宋体" w:hAnsi="宋体" w:eastAsia="宋体"/>
          <w:b w:val="0"/>
          <w:sz w:val="24"/>
        </w:rPr>
        <w:t>（3）高危漏洞风险。经初步安全评估，站内部分设备存在已知的高危安全漏洞，这些漏洞如果被恶意利用，可能对电力监控系统的安全运行构成严重威胁。需要通过漏洞扫描和安全加固加以消除。</w:t>
      </w:r>
    </w:p>
    <w:p w14:paraId="319588B9">
      <w:pPr>
        <w:spacing w:line="360" w:lineRule="auto"/>
        <w:ind w:firstLine="480"/>
      </w:pPr>
      <w:r>
        <w:rPr>
          <w:rFonts w:ascii="宋体" w:hAnsi="宋体" w:eastAsia="宋体"/>
          <w:b w:val="0"/>
          <w:sz w:val="24"/>
        </w:rPr>
        <w:t>（4）探针策略有待优化。网络安全监测探针的检测策略配置相对粗放，存在误报率偏高、漏报风险等问题，影响了安全监测的准确性和有效性。需要通过策略精细化调优提升监测质量。</w:t>
      </w:r>
    </w:p>
    <w:p w14:paraId="2B9BFE0D">
      <w:pPr>
        <w:spacing w:line="360" w:lineRule="auto"/>
        <w:ind w:firstLine="480"/>
      </w:pPr>
      <w:r>
        <w:rPr>
          <w:rFonts w:ascii="宋体" w:hAnsi="宋体" w:eastAsia="宋体"/>
          <w:b w:val="0"/>
          <w:sz w:val="24"/>
        </w:rPr>
        <w:t>（5）二次辨识能力不足。对站内部分二次设备的网络特征辨识不够准确，影响了安全监测系统对设备行为的正确识别和异常告警的精准判断。</w:t>
      </w:r>
    </w:p>
    <w:p w14:paraId="0EA35AB2">
      <w:pPr>
        <w:pStyle w:val="5"/>
      </w:pPr>
      <w:r>
        <w:rPr>
          <w:rFonts w:ascii="黑体" w:hAnsi="黑体" w:eastAsia="黑体"/>
          <w:b/>
        </w:rPr>
        <w:t>2.3 相关政策标准要求</w:t>
      </w:r>
    </w:p>
    <w:p w14:paraId="7B5FE6AC">
      <w:pPr>
        <w:spacing w:line="360" w:lineRule="auto"/>
        <w:ind w:firstLine="480"/>
      </w:pPr>
      <w:r>
        <w:rPr>
          <w:rFonts w:ascii="宋体" w:hAnsi="宋体" w:eastAsia="宋体"/>
          <w:b w:val="0"/>
          <w:sz w:val="24"/>
        </w:rPr>
        <w:t>本项目的实施需要遵循以下主要政策标准：</w:t>
      </w:r>
    </w:p>
    <w:p w14:paraId="1ABC894E">
      <w:pPr>
        <w:spacing w:line="360" w:lineRule="auto"/>
        <w:ind w:firstLine="480"/>
      </w:pPr>
      <w:r>
        <w:rPr>
          <w:rFonts w:ascii="宋体" w:hAnsi="宋体" w:eastAsia="宋体"/>
          <w:b w:val="0"/>
          <w:sz w:val="24"/>
        </w:rPr>
        <w:t>（1）《电力监控系统安全防护规定》（国家发展和改革委员会令第14号），明确了电力监控系统安全防护的总体原则和基本要求。</w:t>
      </w:r>
    </w:p>
    <w:p w14:paraId="55570AF0">
      <w:pPr>
        <w:spacing w:line="360" w:lineRule="auto"/>
        <w:ind w:firstLine="480"/>
      </w:pPr>
      <w:r>
        <w:rPr>
          <w:rFonts w:ascii="宋体" w:hAnsi="宋体" w:eastAsia="宋体"/>
          <w:b w:val="0"/>
          <w:sz w:val="24"/>
        </w:rPr>
        <w:t>（2）《电力监控系统安全防护总体方案》，规定了电力监控系统安全防护的技术架构和实施要求。</w:t>
      </w:r>
    </w:p>
    <w:p w14:paraId="47003352">
      <w:pPr>
        <w:spacing w:line="360" w:lineRule="auto"/>
        <w:ind w:firstLine="480"/>
      </w:pPr>
      <w:r>
        <w:rPr>
          <w:rFonts w:ascii="宋体" w:hAnsi="宋体" w:eastAsia="宋体"/>
          <w:b w:val="0"/>
          <w:sz w:val="24"/>
        </w:rPr>
        <w:t>（3）《关于加强电力行业网络安全工作的指导意见》（国能发安全〔2018〕72号），提出了加强电力行业网络安全的政策要求。</w:t>
      </w:r>
    </w:p>
    <w:p w14:paraId="7D05ACEB">
      <w:pPr>
        <w:spacing w:line="360" w:lineRule="auto"/>
        <w:ind w:firstLine="480"/>
      </w:pPr>
      <w:r>
        <w:rPr>
          <w:rFonts w:ascii="宋体" w:hAnsi="宋体" w:eastAsia="宋体"/>
          <w:b w:val="0"/>
          <w:sz w:val="24"/>
        </w:rPr>
        <w:t>（4）GB/T 22239-2019《信息安全技术 网络安全等级保护基本要求》，规定了网络安全等级保护的技术和管理要求。</w:t>
      </w:r>
    </w:p>
    <w:p w14:paraId="5B74B7E9">
      <w:pPr>
        <w:spacing w:line="360" w:lineRule="auto"/>
        <w:ind w:firstLine="480"/>
      </w:pPr>
      <w:r>
        <w:rPr>
          <w:rFonts w:ascii="宋体" w:hAnsi="宋体" w:eastAsia="宋体"/>
          <w:b w:val="0"/>
          <w:sz w:val="24"/>
        </w:rPr>
        <w:t>（5）国家电网公司关于电力监控系统网络安全监测装置部署和管理的相关技术规范和管理制度。</w:t>
      </w:r>
    </w:p>
    <w:p w14:paraId="6744DD28">
      <w:pPr>
        <w:pStyle w:val="5"/>
      </w:pPr>
      <w:r>
        <w:rPr>
          <w:rFonts w:ascii="黑体" w:hAnsi="黑体" w:eastAsia="黑体"/>
          <w:b/>
        </w:rPr>
        <w:t>2.4 项目提出的必要性</w:t>
      </w:r>
    </w:p>
    <w:p w14:paraId="19A6B4CB">
      <w:pPr>
        <w:spacing w:line="360" w:lineRule="auto"/>
        <w:ind w:firstLine="480"/>
      </w:pPr>
      <w:r>
        <w:rPr>
          <w:rFonts w:ascii="宋体" w:hAnsi="宋体" w:eastAsia="宋体"/>
          <w:b w:val="0"/>
          <w:sz w:val="24"/>
        </w:rPr>
        <w:t>（1）消除安全监测盲区的迫切需要。当前告警采集不完整的问题使得安全监测存在盲区，可能导致安全事件无法被及时发现和处置，给电力监控系统安全带来风险。通过本项目实施，可以全面消除监测盲区。</w:t>
      </w:r>
    </w:p>
    <w:p w14:paraId="6B93824C">
      <w:pPr>
        <w:spacing w:line="360" w:lineRule="auto"/>
        <w:ind w:firstLine="480"/>
      </w:pPr>
      <w:r>
        <w:rPr>
          <w:rFonts w:ascii="宋体" w:hAnsi="宋体" w:eastAsia="宋体"/>
          <w:b w:val="0"/>
          <w:sz w:val="24"/>
        </w:rPr>
        <w:t>（2）满足合规管理要求的客观需要。代理软件接入策略不合规的问题不仅影响安全监测效果，也不符合国家电网公司的相关管理要求。通过整改可以实现合规运行。</w:t>
      </w:r>
    </w:p>
    <w:p w14:paraId="705588FD">
      <w:pPr>
        <w:spacing w:line="360" w:lineRule="auto"/>
        <w:ind w:firstLine="480"/>
      </w:pPr>
      <w:r>
        <w:rPr>
          <w:rFonts w:ascii="宋体" w:hAnsi="宋体" w:eastAsia="宋体"/>
          <w:b w:val="0"/>
          <w:sz w:val="24"/>
        </w:rPr>
        <w:t>（3）消除安全漏洞风险的紧迫需要。高危漏洞的存在使变电站面临被攻击利用的现实风险，必须尽快通过漏洞扫描和安全加固加以消除。</w:t>
      </w:r>
    </w:p>
    <w:p w14:paraId="655516D8">
      <w:pPr>
        <w:spacing w:line="360" w:lineRule="auto"/>
        <w:ind w:firstLine="480"/>
      </w:pPr>
      <w:r>
        <w:rPr>
          <w:rFonts w:ascii="宋体" w:hAnsi="宋体" w:eastAsia="宋体"/>
          <w:b w:val="0"/>
          <w:sz w:val="24"/>
        </w:rPr>
        <w:t>（4）提升监测质量的现实需要。探针策略粗放、二次辨识不准确等问题影响了安全监测的质量和效率，需要通过精细化优化提升监测能力。</w:t>
      </w:r>
    </w:p>
    <w:p w14:paraId="104B61FA">
      <w:r>
        <w:br w:type="page"/>
      </w:r>
    </w:p>
    <w:p w14:paraId="7C071311">
      <w:pPr>
        <w:pStyle w:val="4"/>
      </w:pPr>
      <w:r>
        <w:rPr>
          <w:rFonts w:ascii="黑体" w:hAnsi="黑体" w:eastAsia="黑体"/>
          <w:b/>
        </w:rPr>
        <w:t>三、项目目标</w:t>
      </w:r>
    </w:p>
    <w:p w14:paraId="2A48DA0B">
      <w:pPr>
        <w:pStyle w:val="5"/>
      </w:pPr>
      <w:r>
        <w:rPr>
          <w:rFonts w:ascii="黑体" w:hAnsi="黑体" w:eastAsia="黑体"/>
          <w:b/>
        </w:rPr>
        <w:t>3.1 总体目标</w:t>
      </w:r>
    </w:p>
    <w:p w14:paraId="1457F9F7">
      <w:pPr>
        <w:spacing w:line="360" w:lineRule="auto"/>
        <w:ind w:firstLine="480"/>
      </w:pPr>
      <w:r>
        <w:rPr>
          <w:rFonts w:ascii="宋体" w:hAnsi="宋体" w:eastAsia="宋体"/>
          <w:b w:val="0"/>
          <w:sz w:val="24"/>
        </w:rPr>
        <w:t>本项目的总体目标是：通过系统性的网络安全监测功能提升工作，全面解决220kV纺织园变电站在网络安全监测方面存在的各项问题，使该站的网络安全监测能力达到国家电网公司相关技术标准要求，实现安全监测的全覆盖、告警的精准化、防护的纵深化，有效保障电力监控系统的安全稳定运行。</w:t>
      </w:r>
    </w:p>
    <w:p w14:paraId="3B9DB0B0">
      <w:pPr>
        <w:pStyle w:val="5"/>
      </w:pPr>
      <w:r>
        <w:rPr>
          <w:rFonts w:ascii="黑体" w:hAnsi="黑体" w:eastAsia="黑体"/>
          <w:b/>
        </w:rPr>
        <w:t>3.2 具体目标</w:t>
      </w:r>
    </w:p>
    <w:p w14:paraId="2C0E74AE">
      <w:pPr>
        <w:spacing w:line="360" w:lineRule="auto"/>
        <w:ind w:firstLine="480"/>
      </w:pPr>
      <w:r>
        <w:rPr>
          <w:rFonts w:ascii="宋体" w:hAnsi="宋体" w:eastAsia="宋体"/>
          <w:b w:val="0"/>
          <w:sz w:val="24"/>
        </w:rPr>
        <w:t>（1）设备接入完整性目标：将站内所有应纳入安全监测的设备100%接入安全监测系统，消除监测盲区，实现安全告警的全面采集。</w:t>
      </w:r>
    </w:p>
    <w:p w14:paraId="23097A88">
      <w:pPr>
        <w:spacing w:line="360" w:lineRule="auto"/>
        <w:ind w:firstLine="480"/>
      </w:pPr>
      <w:r>
        <w:rPr>
          <w:rFonts w:ascii="宋体" w:hAnsi="宋体" w:eastAsia="宋体"/>
          <w:b w:val="0"/>
          <w:sz w:val="24"/>
        </w:rPr>
        <w:t>（2）探针策略优化目标：完成网络安全监测探针的策略精细化调优，将误报率降低80%以上，漏报率趋近于零，显著提升安全监测的准确性。</w:t>
      </w:r>
    </w:p>
    <w:p w14:paraId="6982D4B8">
      <w:pPr>
        <w:spacing w:line="360" w:lineRule="auto"/>
        <w:ind w:firstLine="480"/>
      </w:pPr>
      <w:r>
        <w:rPr>
          <w:rFonts w:ascii="宋体" w:hAnsi="宋体" w:eastAsia="宋体"/>
          <w:b w:val="0"/>
          <w:sz w:val="24"/>
        </w:rPr>
        <w:t>（3）设备加固目标：完成站内相关设备的安全加固工作，消除已知高危安全漏洞，设备安全基线合规率达到100%。</w:t>
      </w:r>
    </w:p>
    <w:p w14:paraId="18A6CF0E">
      <w:pPr>
        <w:spacing w:line="360" w:lineRule="auto"/>
        <w:ind w:firstLine="480"/>
      </w:pPr>
      <w:r>
        <w:rPr>
          <w:rFonts w:ascii="宋体" w:hAnsi="宋体" w:eastAsia="宋体"/>
          <w:b w:val="0"/>
          <w:sz w:val="24"/>
        </w:rPr>
        <w:t>（4）漏洞消除目标：通过全面漏洞扫描发现并修复所有高危和中危漏洞，漏洞修复率达到100%（高危）和95%以上（中危）。</w:t>
      </w:r>
    </w:p>
    <w:p w14:paraId="4C485634">
      <w:pPr>
        <w:spacing w:line="360" w:lineRule="auto"/>
        <w:ind w:firstLine="480"/>
      </w:pPr>
      <w:r>
        <w:rPr>
          <w:rFonts w:ascii="宋体" w:hAnsi="宋体" w:eastAsia="宋体"/>
          <w:b w:val="0"/>
          <w:sz w:val="24"/>
        </w:rPr>
        <w:t>（5）二次辨识提升目标：完善站内二次设备的网络特征识别，设备识别准确率达到99%以上，确保安全监测系统能够准确辨识各设备的网络行为。</w:t>
      </w:r>
    </w:p>
    <w:p w14:paraId="0DCA4EA6">
      <w:pPr>
        <w:spacing w:line="360" w:lineRule="auto"/>
        <w:ind w:firstLine="480"/>
      </w:pPr>
      <w:r>
        <w:rPr>
          <w:rFonts w:ascii="宋体" w:hAnsi="宋体" w:eastAsia="宋体"/>
          <w:b w:val="0"/>
          <w:sz w:val="24"/>
        </w:rPr>
        <w:t>（6）端口管控目标：完成站内设备不必要端口和服务的封堵关闭，减少攻击暴露面，端口合规率达到100%。</w:t>
      </w:r>
    </w:p>
    <w:p w14:paraId="6912CA10">
      <w:pPr>
        <w:pStyle w:val="5"/>
      </w:pPr>
      <w:r>
        <w:rPr>
          <w:rFonts w:ascii="黑体" w:hAnsi="黑体" w:eastAsia="黑体"/>
          <w:b/>
        </w:rPr>
        <w:t>3.3 目标衡量标准</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5892A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49A8321">
            <w:pPr>
              <w:spacing w:after="0"/>
              <w:jc w:val="center"/>
            </w:pPr>
            <w:r>
              <w:rPr>
                <w:rFonts w:ascii="宋体" w:hAnsi="宋体" w:eastAsia="宋体"/>
                <w:b/>
                <w:sz w:val="22"/>
              </w:rPr>
              <w:t>序号</w:t>
            </w:r>
          </w:p>
        </w:tc>
        <w:tc>
          <w:tcPr>
            <w:tcW w:w="2161" w:type="dxa"/>
          </w:tcPr>
          <w:p w14:paraId="06587DCB">
            <w:pPr>
              <w:spacing w:after="0"/>
              <w:jc w:val="center"/>
            </w:pPr>
            <w:r>
              <w:rPr>
                <w:rFonts w:ascii="宋体" w:hAnsi="宋体" w:eastAsia="宋体"/>
                <w:b/>
                <w:sz w:val="22"/>
              </w:rPr>
              <w:t>目标项</w:t>
            </w:r>
          </w:p>
        </w:tc>
        <w:tc>
          <w:tcPr>
            <w:tcW w:w="2161" w:type="dxa"/>
          </w:tcPr>
          <w:p w14:paraId="7E0B1152">
            <w:pPr>
              <w:spacing w:after="0"/>
              <w:jc w:val="center"/>
            </w:pPr>
            <w:r>
              <w:rPr>
                <w:rFonts w:ascii="宋体" w:hAnsi="宋体" w:eastAsia="宋体"/>
                <w:b/>
                <w:sz w:val="22"/>
              </w:rPr>
              <w:t>衡量标准</w:t>
            </w:r>
          </w:p>
        </w:tc>
        <w:tc>
          <w:tcPr>
            <w:tcW w:w="2161" w:type="dxa"/>
          </w:tcPr>
          <w:p w14:paraId="2A078D44">
            <w:pPr>
              <w:spacing w:after="0"/>
              <w:jc w:val="center"/>
            </w:pPr>
            <w:r>
              <w:rPr>
                <w:rFonts w:ascii="宋体" w:hAnsi="宋体" w:eastAsia="宋体"/>
                <w:b/>
                <w:sz w:val="22"/>
              </w:rPr>
              <w:t>目标值</w:t>
            </w:r>
          </w:p>
        </w:tc>
      </w:tr>
      <w:tr w14:paraId="176B4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62AF597">
            <w:pPr>
              <w:spacing w:after="0"/>
            </w:pPr>
            <w:r>
              <w:rPr>
                <w:rFonts w:ascii="宋体" w:hAnsi="宋体" w:eastAsia="宋体"/>
                <w:sz w:val="22"/>
              </w:rPr>
              <w:t>1</w:t>
            </w:r>
          </w:p>
        </w:tc>
        <w:tc>
          <w:tcPr>
            <w:tcW w:w="2161" w:type="dxa"/>
          </w:tcPr>
          <w:p w14:paraId="4112EDD5">
            <w:pPr>
              <w:spacing w:after="0"/>
            </w:pPr>
            <w:r>
              <w:rPr>
                <w:rFonts w:ascii="宋体" w:hAnsi="宋体" w:eastAsia="宋体"/>
                <w:sz w:val="22"/>
              </w:rPr>
              <w:t>设备接入覆盖率</w:t>
            </w:r>
          </w:p>
        </w:tc>
        <w:tc>
          <w:tcPr>
            <w:tcW w:w="2161" w:type="dxa"/>
          </w:tcPr>
          <w:p w14:paraId="04B3904E">
            <w:pPr>
              <w:spacing w:after="0"/>
            </w:pPr>
            <w:r>
              <w:rPr>
                <w:rFonts w:ascii="宋体" w:hAnsi="宋体" w:eastAsia="宋体"/>
                <w:sz w:val="22"/>
              </w:rPr>
              <w:t>已接入设备数/应接入设备数</w:t>
            </w:r>
          </w:p>
        </w:tc>
        <w:tc>
          <w:tcPr>
            <w:tcW w:w="2161" w:type="dxa"/>
          </w:tcPr>
          <w:p w14:paraId="609BB406">
            <w:pPr>
              <w:spacing w:after="0"/>
            </w:pPr>
            <w:r>
              <w:rPr>
                <w:rFonts w:ascii="宋体" w:hAnsi="宋体" w:eastAsia="宋体"/>
                <w:sz w:val="22"/>
              </w:rPr>
              <w:t>100%</w:t>
            </w:r>
          </w:p>
        </w:tc>
      </w:tr>
      <w:tr w14:paraId="67E82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9967FD">
            <w:pPr>
              <w:spacing w:after="0"/>
            </w:pPr>
            <w:r>
              <w:rPr>
                <w:rFonts w:ascii="宋体" w:hAnsi="宋体" w:eastAsia="宋体"/>
                <w:sz w:val="22"/>
              </w:rPr>
              <w:t>2</w:t>
            </w:r>
          </w:p>
        </w:tc>
        <w:tc>
          <w:tcPr>
            <w:tcW w:w="2161" w:type="dxa"/>
          </w:tcPr>
          <w:p w14:paraId="492F40F4">
            <w:pPr>
              <w:spacing w:after="0"/>
            </w:pPr>
            <w:r>
              <w:rPr>
                <w:rFonts w:ascii="宋体" w:hAnsi="宋体" w:eastAsia="宋体"/>
                <w:sz w:val="22"/>
              </w:rPr>
              <w:t>告警采集完整率</w:t>
            </w:r>
          </w:p>
        </w:tc>
        <w:tc>
          <w:tcPr>
            <w:tcW w:w="2161" w:type="dxa"/>
          </w:tcPr>
          <w:p w14:paraId="1B2670C5">
            <w:pPr>
              <w:spacing w:after="0"/>
            </w:pPr>
            <w:r>
              <w:rPr>
                <w:rFonts w:ascii="宋体" w:hAnsi="宋体" w:eastAsia="宋体"/>
                <w:sz w:val="22"/>
              </w:rPr>
              <w:t>成功采集告警数/应采集告警数</w:t>
            </w:r>
          </w:p>
        </w:tc>
        <w:tc>
          <w:tcPr>
            <w:tcW w:w="2161" w:type="dxa"/>
          </w:tcPr>
          <w:p w14:paraId="030A40EF">
            <w:pPr>
              <w:spacing w:after="0"/>
            </w:pPr>
            <w:r>
              <w:rPr>
                <w:rFonts w:ascii="宋体" w:hAnsi="宋体" w:eastAsia="宋体"/>
                <w:sz w:val="22"/>
              </w:rPr>
              <w:t>≥99%</w:t>
            </w:r>
          </w:p>
        </w:tc>
      </w:tr>
      <w:tr w14:paraId="1BB58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D33F43">
            <w:pPr>
              <w:spacing w:after="0"/>
            </w:pPr>
            <w:r>
              <w:rPr>
                <w:rFonts w:ascii="宋体" w:hAnsi="宋体" w:eastAsia="宋体"/>
                <w:sz w:val="22"/>
              </w:rPr>
              <w:t>3</w:t>
            </w:r>
          </w:p>
        </w:tc>
        <w:tc>
          <w:tcPr>
            <w:tcW w:w="2161" w:type="dxa"/>
          </w:tcPr>
          <w:p w14:paraId="3EA3462A">
            <w:pPr>
              <w:spacing w:after="0"/>
            </w:pPr>
            <w:r>
              <w:rPr>
                <w:rFonts w:ascii="宋体" w:hAnsi="宋体" w:eastAsia="宋体"/>
                <w:sz w:val="22"/>
              </w:rPr>
              <w:t>探针策略误报率</w:t>
            </w:r>
          </w:p>
        </w:tc>
        <w:tc>
          <w:tcPr>
            <w:tcW w:w="2161" w:type="dxa"/>
          </w:tcPr>
          <w:p w14:paraId="06015EF8">
            <w:pPr>
              <w:spacing w:after="0"/>
            </w:pPr>
            <w:r>
              <w:rPr>
                <w:rFonts w:ascii="宋体" w:hAnsi="宋体" w:eastAsia="宋体"/>
                <w:sz w:val="22"/>
              </w:rPr>
              <w:t>误报告警数/总告警数</w:t>
            </w:r>
          </w:p>
        </w:tc>
        <w:tc>
          <w:tcPr>
            <w:tcW w:w="2161" w:type="dxa"/>
          </w:tcPr>
          <w:p w14:paraId="395E672C">
            <w:pPr>
              <w:spacing w:after="0"/>
            </w:pPr>
            <w:r>
              <w:rPr>
                <w:rFonts w:ascii="宋体" w:hAnsi="宋体" w:eastAsia="宋体"/>
                <w:sz w:val="22"/>
              </w:rPr>
              <w:t>降低80%以上</w:t>
            </w:r>
          </w:p>
        </w:tc>
      </w:tr>
      <w:tr w14:paraId="481A0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D44D87A">
            <w:pPr>
              <w:spacing w:after="0"/>
            </w:pPr>
            <w:r>
              <w:rPr>
                <w:rFonts w:ascii="宋体" w:hAnsi="宋体" w:eastAsia="宋体"/>
                <w:sz w:val="22"/>
              </w:rPr>
              <w:t>4</w:t>
            </w:r>
          </w:p>
        </w:tc>
        <w:tc>
          <w:tcPr>
            <w:tcW w:w="2161" w:type="dxa"/>
          </w:tcPr>
          <w:p w14:paraId="417C2B9C">
            <w:pPr>
              <w:spacing w:after="0"/>
            </w:pPr>
            <w:r>
              <w:rPr>
                <w:rFonts w:ascii="宋体" w:hAnsi="宋体" w:eastAsia="宋体"/>
                <w:sz w:val="22"/>
              </w:rPr>
              <w:t>高危漏洞修复率</w:t>
            </w:r>
          </w:p>
        </w:tc>
        <w:tc>
          <w:tcPr>
            <w:tcW w:w="2161" w:type="dxa"/>
          </w:tcPr>
          <w:p w14:paraId="68202ACD">
            <w:pPr>
              <w:spacing w:after="0"/>
            </w:pPr>
            <w:r>
              <w:rPr>
                <w:rFonts w:ascii="宋体" w:hAnsi="宋体" w:eastAsia="宋体"/>
                <w:sz w:val="22"/>
              </w:rPr>
              <w:t>已修复漏洞数/发现漏洞数</w:t>
            </w:r>
          </w:p>
        </w:tc>
        <w:tc>
          <w:tcPr>
            <w:tcW w:w="2161" w:type="dxa"/>
          </w:tcPr>
          <w:p w14:paraId="404479E6">
            <w:pPr>
              <w:spacing w:after="0"/>
            </w:pPr>
            <w:r>
              <w:rPr>
                <w:rFonts w:ascii="宋体" w:hAnsi="宋体" w:eastAsia="宋体"/>
                <w:sz w:val="22"/>
              </w:rPr>
              <w:t>100%</w:t>
            </w:r>
          </w:p>
        </w:tc>
      </w:tr>
      <w:tr w14:paraId="58130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3C4B0F">
            <w:pPr>
              <w:spacing w:after="0"/>
            </w:pPr>
            <w:r>
              <w:rPr>
                <w:rFonts w:ascii="宋体" w:hAnsi="宋体" w:eastAsia="宋体"/>
                <w:sz w:val="22"/>
              </w:rPr>
              <w:t>5</w:t>
            </w:r>
          </w:p>
        </w:tc>
        <w:tc>
          <w:tcPr>
            <w:tcW w:w="2161" w:type="dxa"/>
          </w:tcPr>
          <w:p w14:paraId="34A35505">
            <w:pPr>
              <w:spacing w:after="0"/>
            </w:pPr>
            <w:r>
              <w:rPr>
                <w:rFonts w:ascii="宋体" w:hAnsi="宋体" w:eastAsia="宋体"/>
                <w:sz w:val="22"/>
              </w:rPr>
              <w:t>设备安全基线合规率</w:t>
            </w:r>
          </w:p>
        </w:tc>
        <w:tc>
          <w:tcPr>
            <w:tcW w:w="2161" w:type="dxa"/>
          </w:tcPr>
          <w:p w14:paraId="6909E8BF">
            <w:pPr>
              <w:spacing w:after="0"/>
            </w:pPr>
            <w:r>
              <w:rPr>
                <w:rFonts w:ascii="宋体" w:hAnsi="宋体" w:eastAsia="宋体"/>
                <w:sz w:val="22"/>
              </w:rPr>
              <w:t>合规设备数/总设备数</w:t>
            </w:r>
          </w:p>
        </w:tc>
        <w:tc>
          <w:tcPr>
            <w:tcW w:w="2161" w:type="dxa"/>
          </w:tcPr>
          <w:p w14:paraId="1194AE2C">
            <w:pPr>
              <w:spacing w:after="0"/>
            </w:pPr>
            <w:r>
              <w:rPr>
                <w:rFonts w:ascii="宋体" w:hAnsi="宋体" w:eastAsia="宋体"/>
                <w:sz w:val="22"/>
              </w:rPr>
              <w:t>100%</w:t>
            </w:r>
          </w:p>
        </w:tc>
      </w:tr>
      <w:tr w14:paraId="5FE8E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E2AC96">
            <w:pPr>
              <w:spacing w:after="0"/>
            </w:pPr>
            <w:r>
              <w:rPr>
                <w:rFonts w:ascii="宋体" w:hAnsi="宋体" w:eastAsia="宋体"/>
                <w:sz w:val="22"/>
              </w:rPr>
              <w:t>6</w:t>
            </w:r>
          </w:p>
        </w:tc>
        <w:tc>
          <w:tcPr>
            <w:tcW w:w="2161" w:type="dxa"/>
          </w:tcPr>
          <w:p w14:paraId="751E1F6E">
            <w:pPr>
              <w:spacing w:after="0"/>
            </w:pPr>
            <w:r>
              <w:rPr>
                <w:rFonts w:ascii="宋体" w:hAnsi="宋体" w:eastAsia="宋体"/>
                <w:sz w:val="22"/>
              </w:rPr>
              <w:t>二次设备识别准确率</w:t>
            </w:r>
          </w:p>
        </w:tc>
        <w:tc>
          <w:tcPr>
            <w:tcW w:w="2161" w:type="dxa"/>
          </w:tcPr>
          <w:p w14:paraId="0A65A6CA">
            <w:pPr>
              <w:spacing w:after="0"/>
            </w:pPr>
            <w:r>
              <w:rPr>
                <w:rFonts w:ascii="宋体" w:hAnsi="宋体" w:eastAsia="宋体"/>
                <w:sz w:val="22"/>
              </w:rPr>
              <w:t>正确识别数/总设备数</w:t>
            </w:r>
          </w:p>
        </w:tc>
        <w:tc>
          <w:tcPr>
            <w:tcW w:w="2161" w:type="dxa"/>
          </w:tcPr>
          <w:p w14:paraId="4F1AE7ED">
            <w:pPr>
              <w:spacing w:after="0"/>
            </w:pPr>
            <w:r>
              <w:rPr>
                <w:rFonts w:ascii="宋体" w:hAnsi="宋体" w:eastAsia="宋体"/>
                <w:sz w:val="22"/>
              </w:rPr>
              <w:t>≥99%</w:t>
            </w:r>
          </w:p>
        </w:tc>
      </w:tr>
      <w:tr w14:paraId="6FA86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2FC53C">
            <w:pPr>
              <w:spacing w:after="0"/>
            </w:pPr>
            <w:r>
              <w:rPr>
                <w:rFonts w:ascii="宋体" w:hAnsi="宋体" w:eastAsia="宋体"/>
                <w:sz w:val="22"/>
              </w:rPr>
              <w:t>7</w:t>
            </w:r>
          </w:p>
        </w:tc>
        <w:tc>
          <w:tcPr>
            <w:tcW w:w="2161" w:type="dxa"/>
          </w:tcPr>
          <w:p w14:paraId="34711E84">
            <w:pPr>
              <w:spacing w:after="0"/>
            </w:pPr>
            <w:r>
              <w:rPr>
                <w:rFonts w:ascii="宋体" w:hAnsi="宋体" w:eastAsia="宋体"/>
                <w:sz w:val="22"/>
              </w:rPr>
              <w:t>端口合规率</w:t>
            </w:r>
          </w:p>
        </w:tc>
        <w:tc>
          <w:tcPr>
            <w:tcW w:w="2161" w:type="dxa"/>
          </w:tcPr>
          <w:p w14:paraId="09B57213">
            <w:pPr>
              <w:spacing w:after="0"/>
            </w:pPr>
            <w:r>
              <w:rPr>
                <w:rFonts w:ascii="宋体" w:hAnsi="宋体" w:eastAsia="宋体"/>
                <w:sz w:val="22"/>
              </w:rPr>
              <w:t>合规端口配置数/应检查端口数</w:t>
            </w:r>
          </w:p>
        </w:tc>
        <w:tc>
          <w:tcPr>
            <w:tcW w:w="2161" w:type="dxa"/>
          </w:tcPr>
          <w:p w14:paraId="5FB79902">
            <w:pPr>
              <w:spacing w:after="0"/>
            </w:pPr>
            <w:r>
              <w:rPr>
                <w:rFonts w:ascii="宋体" w:hAnsi="宋体" w:eastAsia="宋体"/>
                <w:sz w:val="22"/>
              </w:rPr>
              <w:t>100%</w:t>
            </w:r>
          </w:p>
        </w:tc>
      </w:tr>
    </w:tbl>
    <w:p w14:paraId="2F087FDB"/>
    <w:p w14:paraId="76B76154">
      <w:r>
        <w:br w:type="page"/>
      </w:r>
    </w:p>
    <w:p w14:paraId="0EDAA43D">
      <w:pPr>
        <w:pStyle w:val="4"/>
      </w:pPr>
      <w:r>
        <w:rPr>
          <w:rFonts w:ascii="黑体" w:hAnsi="黑体" w:eastAsia="黑体"/>
          <w:b/>
        </w:rPr>
        <w:t>四、项目重难点分析</w:t>
      </w:r>
    </w:p>
    <w:p w14:paraId="0D2B02B1">
      <w:pPr>
        <w:pStyle w:val="5"/>
      </w:pPr>
      <w:r>
        <w:rPr>
          <w:rFonts w:ascii="黑体" w:hAnsi="黑体" w:eastAsia="黑体"/>
          <w:b/>
        </w:rPr>
        <w:t>4.1 技术难点</w:t>
      </w:r>
    </w:p>
    <w:p w14:paraId="24CD98B6">
      <w:pPr>
        <w:spacing w:line="360" w:lineRule="auto"/>
        <w:ind w:firstLine="480"/>
      </w:pPr>
      <w:r>
        <w:rPr>
          <w:rFonts w:ascii="宋体" w:hAnsi="宋体" w:eastAsia="宋体"/>
          <w:b/>
          <w:sz w:val="24"/>
        </w:rPr>
        <w:t>4.1.1 多类型设备的统一接入难度</w:t>
      </w:r>
    </w:p>
    <w:p w14:paraId="6F293152">
      <w:pPr>
        <w:spacing w:line="360" w:lineRule="auto"/>
        <w:ind w:firstLine="480"/>
      </w:pPr>
      <w:r>
        <w:rPr>
          <w:rFonts w:ascii="宋体" w:hAnsi="宋体" w:eastAsia="宋体"/>
          <w:b w:val="0"/>
          <w:sz w:val="24"/>
        </w:rPr>
        <w:t>纺织园变电站内部署了多种类型的电力监控系统设备，包括保护装置、测控装置、故障录波器、网络设备、安全装置等，各类设备的通信协议、接口方式、数据格式各不相同。将所有设备统一接入安全监测系统，需要针对不同设备类型开发或配置相应的数据采集接口和协议适配方案。</w:t>
      </w:r>
    </w:p>
    <w:p w14:paraId="5730DBA1">
      <w:pPr>
        <w:spacing w:line="360" w:lineRule="auto"/>
        <w:ind w:firstLine="480"/>
      </w:pPr>
      <w:r>
        <w:rPr>
          <w:rFonts w:ascii="宋体" w:hAnsi="宋体" w:eastAsia="宋体"/>
          <w:b w:val="0"/>
          <w:sz w:val="24"/>
        </w:rPr>
        <w:t>应对策略：全面调研站内设备类型和通信方式，针对不同设备制定专项接入方案；利用安全监测系统的多协议适配能力，实现各类设备的统一接入管理。</w:t>
      </w:r>
    </w:p>
    <w:p w14:paraId="01192109">
      <w:pPr>
        <w:spacing w:line="360" w:lineRule="auto"/>
        <w:ind w:firstLine="480"/>
      </w:pPr>
      <w:r>
        <w:rPr>
          <w:rFonts w:ascii="宋体" w:hAnsi="宋体" w:eastAsia="宋体"/>
          <w:b/>
          <w:sz w:val="24"/>
        </w:rPr>
        <w:t>4.1.2 探针策略精细化调优复杂</w:t>
      </w:r>
    </w:p>
    <w:p w14:paraId="59ABE00F">
      <w:pPr>
        <w:spacing w:line="360" w:lineRule="auto"/>
        <w:ind w:firstLine="480"/>
      </w:pPr>
      <w:r>
        <w:rPr>
          <w:rFonts w:ascii="宋体" w:hAnsi="宋体" w:eastAsia="宋体"/>
          <w:b w:val="0"/>
          <w:sz w:val="24"/>
        </w:rPr>
        <w:t>网络安全监测探针的策略配置直接决定了监测的准确性和有效性。策略配置过于宽松会导致大量漏报，过于严格则会产生大量误报。在保证不遗漏真实安全事件的前提下，将误报率降低到合理水平，需要对变电站的正常网络流量模式、设备通信行为特征有深入的理解和精确的建模。</w:t>
      </w:r>
    </w:p>
    <w:p w14:paraId="6A1B261A">
      <w:pPr>
        <w:spacing w:line="360" w:lineRule="auto"/>
        <w:ind w:firstLine="480"/>
      </w:pPr>
      <w:r>
        <w:rPr>
          <w:rFonts w:ascii="宋体" w:hAnsi="宋体" w:eastAsia="宋体"/>
          <w:b w:val="0"/>
          <w:sz w:val="24"/>
        </w:rPr>
        <w:t>应对策略：首先进行为期数天的流量基线采集和分析，建立正常网络行为模型；然后基于基线模型逐步细化探针策略规则；通过持续观察和迭代调整，逐步收敛到最优策略配置。</w:t>
      </w:r>
    </w:p>
    <w:p w14:paraId="2C7BCB8D">
      <w:pPr>
        <w:spacing w:line="360" w:lineRule="auto"/>
        <w:ind w:firstLine="480"/>
      </w:pPr>
      <w:r>
        <w:rPr>
          <w:rFonts w:ascii="宋体" w:hAnsi="宋体" w:eastAsia="宋体"/>
          <w:b/>
          <w:sz w:val="24"/>
        </w:rPr>
        <w:t>4.1.3 安全加固与业务连续性平衡</w:t>
      </w:r>
    </w:p>
    <w:p w14:paraId="371FFDB4">
      <w:pPr>
        <w:spacing w:line="360" w:lineRule="auto"/>
        <w:ind w:firstLine="480"/>
      </w:pPr>
      <w:r>
        <w:rPr>
          <w:rFonts w:ascii="宋体" w:hAnsi="宋体" w:eastAsia="宋体"/>
          <w:b w:val="0"/>
          <w:sz w:val="24"/>
        </w:rPr>
        <w:t>设备安全加固工作（如关闭不必要端口和服务、修改安全配置等）可能对设备的正常功能和业务运行产生影响。如何在保障安全加固效果的同时确保设备功能不受影响、业务连续性不中断，是一个需要谨慎处理的技术难点。</w:t>
      </w:r>
    </w:p>
    <w:p w14:paraId="2474A932">
      <w:pPr>
        <w:spacing w:line="360" w:lineRule="auto"/>
        <w:ind w:firstLine="480"/>
      </w:pPr>
      <w:r>
        <w:rPr>
          <w:rFonts w:ascii="宋体" w:hAnsi="宋体" w:eastAsia="宋体"/>
          <w:b w:val="0"/>
          <w:sz w:val="24"/>
        </w:rPr>
        <w:t>应对策略：加固前全面评估每一项加固措施对设备功能的潜在影响；制定详细的加固方案并经过充分论证；加固操作分步实施，每步完成后验证设备功能正常；准备完善的回退方案。</w:t>
      </w:r>
    </w:p>
    <w:p w14:paraId="59442C68">
      <w:pPr>
        <w:spacing w:line="360" w:lineRule="auto"/>
        <w:ind w:firstLine="480"/>
      </w:pPr>
      <w:r>
        <w:rPr>
          <w:rFonts w:ascii="宋体" w:hAnsi="宋体" w:eastAsia="宋体"/>
          <w:b/>
          <w:sz w:val="24"/>
        </w:rPr>
        <w:t>4.1.4 漏洞修复的兼容性风险</w:t>
      </w:r>
    </w:p>
    <w:p w14:paraId="275962F4">
      <w:pPr>
        <w:spacing w:line="360" w:lineRule="auto"/>
        <w:ind w:firstLine="480"/>
      </w:pPr>
      <w:r>
        <w:rPr>
          <w:rFonts w:ascii="宋体" w:hAnsi="宋体" w:eastAsia="宋体"/>
          <w:b w:val="0"/>
          <w:sz w:val="24"/>
        </w:rPr>
        <w:t>漏洞修复通常涉及安装补丁、升级软件版本或修改系统配置等操作，这些操作可能与设备现有的其他软件或配置产生兼容性问题。特别是电力监控系统设备对稳定性要求极高，任何修复操作都必须确保不影响设备的正常功能。</w:t>
      </w:r>
    </w:p>
    <w:p w14:paraId="095D1F3E">
      <w:pPr>
        <w:spacing w:line="360" w:lineRule="auto"/>
        <w:ind w:firstLine="480"/>
      </w:pPr>
      <w:r>
        <w:rPr>
          <w:rFonts w:ascii="宋体" w:hAnsi="宋体" w:eastAsia="宋体"/>
          <w:b w:val="0"/>
          <w:sz w:val="24"/>
        </w:rPr>
        <w:t>应对策略：对每一个漏洞的修复方案进行兼容性评估；优先采用配置调整或访问控制等影响较小的缓解措施；对于必须打补丁的情况，确认补丁已通过厂商验证；加固过程全程做好备份和回退准备。</w:t>
      </w:r>
    </w:p>
    <w:p w14:paraId="67424B51">
      <w:pPr>
        <w:pStyle w:val="5"/>
      </w:pPr>
      <w:r>
        <w:rPr>
          <w:rFonts w:ascii="黑体" w:hAnsi="黑体" w:eastAsia="黑体"/>
          <w:b/>
        </w:rPr>
        <w:t>4.2 管理难点</w:t>
      </w:r>
    </w:p>
    <w:p w14:paraId="7A4C2D1A">
      <w:pPr>
        <w:spacing w:line="360" w:lineRule="auto"/>
        <w:ind w:firstLine="480"/>
      </w:pPr>
      <w:r>
        <w:rPr>
          <w:rFonts w:ascii="宋体" w:hAnsi="宋体" w:eastAsia="宋体"/>
          <w:b/>
          <w:sz w:val="24"/>
        </w:rPr>
        <w:t>4.2.1 变电站现场工作协调</w:t>
      </w:r>
    </w:p>
    <w:p w14:paraId="0A917E89">
      <w:pPr>
        <w:spacing w:line="360" w:lineRule="auto"/>
        <w:ind w:firstLine="480"/>
      </w:pPr>
      <w:r>
        <w:rPr>
          <w:rFonts w:ascii="宋体" w:hAnsi="宋体" w:eastAsia="宋体"/>
          <w:b w:val="0"/>
          <w:sz w:val="24"/>
        </w:rPr>
        <w:t>项目实施过程中需要多次进入变电站现场开展工作，涉及进站审批、操作许可、运维配合等多个环节的协调。特别是涉及设备操作的工作，需要与变电站运维团队密切配合，确保操作安全。</w:t>
      </w:r>
    </w:p>
    <w:p w14:paraId="1570E699">
      <w:pPr>
        <w:spacing w:line="360" w:lineRule="auto"/>
        <w:ind w:firstLine="480"/>
      </w:pPr>
      <w:r>
        <w:rPr>
          <w:rFonts w:ascii="宋体" w:hAnsi="宋体" w:eastAsia="宋体"/>
          <w:b w:val="0"/>
          <w:sz w:val="24"/>
        </w:rPr>
        <w:t>应对策略：提前与阿克苏供电公司确认各项现场工作的审批流程和配合要求；制定详细的现场工作计划并提前报批；与变电站运维人员建立良好的沟通协作关系。</w:t>
      </w:r>
    </w:p>
    <w:p w14:paraId="41F45D16">
      <w:pPr>
        <w:spacing w:line="360" w:lineRule="auto"/>
        <w:ind w:firstLine="480"/>
      </w:pPr>
      <w:r>
        <w:rPr>
          <w:rFonts w:ascii="宋体" w:hAnsi="宋体" w:eastAsia="宋体"/>
          <w:b/>
          <w:sz w:val="24"/>
        </w:rPr>
        <w:t>4.2.2 多专业协同配合</w:t>
      </w:r>
    </w:p>
    <w:p w14:paraId="33B622C6">
      <w:pPr>
        <w:spacing w:line="360" w:lineRule="auto"/>
        <w:ind w:firstLine="480"/>
      </w:pPr>
      <w:r>
        <w:rPr>
          <w:rFonts w:ascii="宋体" w:hAnsi="宋体" w:eastAsia="宋体"/>
          <w:b w:val="0"/>
          <w:sz w:val="24"/>
        </w:rPr>
        <w:t>项目涉及网络安全、保护自动化、通信运维等多个专业领域，需要各专业人员的协同配合。特别是在进行设备加固和端口封堵时，需要确认操作不影响其他专业系统的正常功能。</w:t>
      </w:r>
    </w:p>
    <w:p w14:paraId="136C814B">
      <w:pPr>
        <w:spacing w:line="360" w:lineRule="auto"/>
        <w:ind w:firstLine="480"/>
      </w:pPr>
      <w:r>
        <w:rPr>
          <w:rFonts w:ascii="宋体" w:hAnsi="宋体" w:eastAsia="宋体"/>
          <w:b w:val="0"/>
          <w:sz w:val="24"/>
        </w:rPr>
        <w:t>应对策略：建立多专业协同工作机制，关键操作前征求相关专业意见；组建包含各专业背景的项目团队；重大操作执行联合会签制度。</w:t>
      </w:r>
    </w:p>
    <w:p w14:paraId="2A4A89BF">
      <w:pPr>
        <w:pStyle w:val="5"/>
      </w:pPr>
      <w:r>
        <w:rPr>
          <w:rFonts w:ascii="黑体" w:hAnsi="黑体" w:eastAsia="黑体"/>
          <w:b/>
        </w:rPr>
        <w:t>4.3 实施难点</w:t>
      </w:r>
    </w:p>
    <w:p w14:paraId="1E08831A">
      <w:pPr>
        <w:spacing w:line="360" w:lineRule="auto"/>
        <w:ind w:firstLine="480"/>
      </w:pPr>
      <w:r>
        <w:rPr>
          <w:rFonts w:ascii="宋体" w:hAnsi="宋体" w:eastAsia="宋体"/>
          <w:b/>
          <w:sz w:val="24"/>
        </w:rPr>
        <w:t>4.3.1 在线系统操作风险控制</w:t>
      </w:r>
    </w:p>
    <w:p w14:paraId="7FA13409">
      <w:pPr>
        <w:spacing w:line="360" w:lineRule="auto"/>
        <w:ind w:firstLine="480"/>
      </w:pPr>
      <w:r>
        <w:rPr>
          <w:rFonts w:ascii="宋体" w:hAnsi="宋体" w:eastAsia="宋体"/>
          <w:b w:val="0"/>
          <w:sz w:val="24"/>
        </w:rPr>
        <w:t>本项目的大部分工作需要在设备正常运行的状态下进行，属于在线操作。在线操作的风险在于任何操作失误都可能直接影响设备的正常运行。需要建立严格的操作管控机制，确保操作安全。</w:t>
      </w:r>
    </w:p>
    <w:p w14:paraId="179FC474">
      <w:pPr>
        <w:spacing w:line="360" w:lineRule="auto"/>
        <w:ind w:firstLine="480"/>
      </w:pPr>
      <w:r>
        <w:rPr>
          <w:rFonts w:ascii="宋体" w:hAnsi="宋体" w:eastAsia="宋体"/>
          <w:b w:val="0"/>
          <w:sz w:val="24"/>
        </w:rPr>
        <w:t>应对策略：所有操作执行双人制度；关键操作前进行风险评估和方案论证；制定详细的操作步骤和应急预案；操作过程中持续监控设备状态。</w:t>
      </w:r>
    </w:p>
    <w:p w14:paraId="567450D2">
      <w:pPr>
        <w:spacing w:line="360" w:lineRule="auto"/>
        <w:ind w:firstLine="480"/>
      </w:pPr>
      <w:r>
        <w:rPr>
          <w:rFonts w:ascii="宋体" w:hAnsi="宋体" w:eastAsia="宋体"/>
          <w:b/>
          <w:sz w:val="24"/>
        </w:rPr>
        <w:t>4.3.2 效果验证的全面性</w:t>
      </w:r>
    </w:p>
    <w:p w14:paraId="52764133">
      <w:pPr>
        <w:spacing w:line="360" w:lineRule="auto"/>
        <w:ind w:firstLine="480"/>
      </w:pPr>
      <w:r>
        <w:rPr>
          <w:rFonts w:ascii="宋体" w:hAnsi="宋体" w:eastAsia="宋体"/>
          <w:b w:val="0"/>
          <w:sz w:val="24"/>
        </w:rPr>
        <w:t>项目完成后需要全面验证各项提升措施的实际效果，包括设备接入的完整性、告警采集的准确性、策略配置的有效性等。验证工作需要一定的观察周期才能充分评估效果。</w:t>
      </w:r>
    </w:p>
    <w:p w14:paraId="66989184">
      <w:pPr>
        <w:spacing w:line="360" w:lineRule="auto"/>
        <w:ind w:firstLine="480"/>
      </w:pPr>
      <w:r>
        <w:rPr>
          <w:rFonts w:ascii="宋体" w:hAnsi="宋体" w:eastAsia="宋体"/>
          <w:b w:val="0"/>
          <w:sz w:val="24"/>
        </w:rPr>
        <w:t>应对策略：制定详细的验证方案和验收标准；设置合理的观察周期（不少于7天）；通过构造测试场景主动验证各项功能的有效性。</w:t>
      </w:r>
    </w:p>
    <w:p w14:paraId="4F7EA733">
      <w:r>
        <w:br w:type="page"/>
      </w:r>
    </w:p>
    <w:p w14:paraId="2E642F39">
      <w:pPr>
        <w:pStyle w:val="4"/>
      </w:pPr>
      <w:r>
        <w:rPr>
          <w:rFonts w:ascii="黑体" w:hAnsi="黑体" w:eastAsia="黑体"/>
          <w:b/>
        </w:rPr>
        <w:t>五、项目实施路径</w:t>
      </w:r>
    </w:p>
    <w:p w14:paraId="6543F2E2">
      <w:pPr>
        <w:pStyle w:val="5"/>
      </w:pPr>
      <w:r>
        <w:rPr>
          <w:rFonts w:ascii="黑体" w:hAnsi="黑体" w:eastAsia="黑体"/>
          <w:b/>
        </w:rPr>
        <w:t>5.1 总体实施路径</w:t>
      </w:r>
    </w:p>
    <w:p w14:paraId="05C6B9B7">
      <w:pPr>
        <w:spacing w:line="360" w:lineRule="auto"/>
        <w:ind w:firstLine="480"/>
      </w:pPr>
      <w:r>
        <w:rPr>
          <w:rFonts w:ascii="宋体" w:hAnsi="宋体" w:eastAsia="宋体"/>
          <w:b w:val="0"/>
          <w:sz w:val="24"/>
        </w:rPr>
        <w:t>本项目采用"现状评估—方案设计—分步实施—效果验证"的四阶段实施路径，确保各项提升工作有序推进、安全可控。</w:t>
      </w:r>
    </w:p>
    <w:p w14:paraId="07487481">
      <w:pPr>
        <w:spacing w:line="360" w:lineRule="auto"/>
        <w:ind w:firstLine="480"/>
      </w:pPr>
      <w:r>
        <w:rPr>
          <w:rFonts w:ascii="宋体" w:hAnsi="宋体" w:eastAsia="宋体"/>
          <w:b/>
          <w:sz w:val="24"/>
        </w:rPr>
        <w:t>第一阶段：现状评估阶段</w:t>
      </w:r>
    </w:p>
    <w:p w14:paraId="134474DD">
      <w:pPr>
        <w:spacing w:line="360" w:lineRule="auto"/>
        <w:ind w:firstLine="480"/>
      </w:pPr>
      <w:r>
        <w:rPr>
          <w:rFonts w:ascii="宋体" w:hAnsi="宋体" w:eastAsia="宋体"/>
          <w:b w:val="0"/>
          <w:sz w:val="24"/>
        </w:rPr>
        <w:t>（1）对纺织园变电站网络安全监测系统的现状进行全面评估，包括设备清单核实、当前监测覆盖范围确认、探针策略现状分析等。</w:t>
      </w:r>
    </w:p>
    <w:p w14:paraId="3FFF824C">
      <w:pPr>
        <w:spacing w:line="360" w:lineRule="auto"/>
        <w:ind w:firstLine="480"/>
      </w:pPr>
      <w:r>
        <w:rPr>
          <w:rFonts w:ascii="宋体" w:hAnsi="宋体" w:eastAsia="宋体"/>
          <w:b w:val="0"/>
          <w:sz w:val="24"/>
        </w:rPr>
        <w:t>（2）开展全面漏洞扫描，识别站内设备存在的安全漏洞和风险。</w:t>
      </w:r>
    </w:p>
    <w:p w14:paraId="581A23FA">
      <w:pPr>
        <w:spacing w:line="360" w:lineRule="auto"/>
        <w:ind w:firstLine="480"/>
      </w:pPr>
      <w:r>
        <w:rPr>
          <w:rFonts w:ascii="宋体" w:hAnsi="宋体" w:eastAsia="宋体"/>
          <w:b w:val="0"/>
          <w:sz w:val="24"/>
        </w:rPr>
        <w:t>（3）对当前告警采集情况进行分析，明确告警缺失的具体设备和原因。</w:t>
      </w:r>
    </w:p>
    <w:p w14:paraId="47567F3E">
      <w:pPr>
        <w:spacing w:line="360" w:lineRule="auto"/>
        <w:ind w:firstLine="480"/>
      </w:pPr>
      <w:r>
        <w:rPr>
          <w:rFonts w:ascii="宋体" w:hAnsi="宋体" w:eastAsia="宋体"/>
          <w:b w:val="0"/>
          <w:sz w:val="24"/>
        </w:rPr>
        <w:t>（4）评估代理软件接入策略的合规性，列出不合规项目清单。</w:t>
      </w:r>
    </w:p>
    <w:p w14:paraId="3B44B00B">
      <w:pPr>
        <w:spacing w:line="360" w:lineRule="auto"/>
        <w:ind w:firstLine="480"/>
      </w:pPr>
      <w:r>
        <w:rPr>
          <w:rFonts w:ascii="宋体" w:hAnsi="宋体" w:eastAsia="宋体"/>
          <w:b w:val="0"/>
          <w:sz w:val="24"/>
        </w:rPr>
        <w:t>（5）检查站内设备端口和服务开放情况，识别不必要的暴露端口。</w:t>
      </w:r>
    </w:p>
    <w:p w14:paraId="5AA493F0">
      <w:pPr>
        <w:spacing w:line="360" w:lineRule="auto"/>
        <w:ind w:firstLine="480"/>
      </w:pPr>
      <w:r>
        <w:rPr>
          <w:rFonts w:ascii="宋体" w:hAnsi="宋体" w:eastAsia="宋体"/>
          <w:b w:val="0"/>
          <w:sz w:val="24"/>
        </w:rPr>
        <w:t>（6）评估二次设备网络特征辨识的准确性，识别辨识不准确的设备。</w:t>
      </w:r>
    </w:p>
    <w:p w14:paraId="7D73141F">
      <w:pPr>
        <w:spacing w:line="360" w:lineRule="auto"/>
        <w:ind w:firstLine="480"/>
      </w:pPr>
      <w:r>
        <w:rPr>
          <w:rFonts w:ascii="宋体" w:hAnsi="宋体" w:eastAsia="宋体"/>
          <w:b/>
          <w:sz w:val="24"/>
        </w:rPr>
        <w:t>第二阶段：方案设计阶段</w:t>
      </w:r>
    </w:p>
    <w:p w14:paraId="32511219">
      <w:pPr>
        <w:spacing w:line="360" w:lineRule="auto"/>
        <w:ind w:firstLine="480"/>
      </w:pPr>
      <w:r>
        <w:rPr>
          <w:rFonts w:ascii="宋体" w:hAnsi="宋体" w:eastAsia="宋体"/>
          <w:b w:val="0"/>
          <w:sz w:val="24"/>
        </w:rPr>
        <w:t>（1）根据评估结果，制定设备接入安全监测系统的详细方案。</w:t>
      </w:r>
    </w:p>
    <w:p w14:paraId="5E858A1F">
      <w:pPr>
        <w:spacing w:line="360" w:lineRule="auto"/>
        <w:ind w:firstLine="480"/>
      </w:pPr>
      <w:r>
        <w:rPr>
          <w:rFonts w:ascii="宋体" w:hAnsi="宋体" w:eastAsia="宋体"/>
          <w:b w:val="0"/>
          <w:sz w:val="24"/>
        </w:rPr>
        <w:t>（2）设计探针策略精细化调优方案，包括基线采集计划、策略规则设计等。</w:t>
      </w:r>
    </w:p>
    <w:p w14:paraId="3C4CFF20">
      <w:pPr>
        <w:spacing w:line="360" w:lineRule="auto"/>
        <w:ind w:firstLine="480"/>
      </w:pPr>
      <w:r>
        <w:rPr>
          <w:rFonts w:ascii="宋体" w:hAnsi="宋体" w:eastAsia="宋体"/>
          <w:b w:val="0"/>
          <w:sz w:val="24"/>
        </w:rPr>
        <w:t>（3）制定设备安全加固方案，明确加固项目、操作步骤和影响评估。</w:t>
      </w:r>
    </w:p>
    <w:p w14:paraId="761CECE5">
      <w:pPr>
        <w:spacing w:line="360" w:lineRule="auto"/>
        <w:ind w:firstLine="480"/>
      </w:pPr>
      <w:r>
        <w:rPr>
          <w:rFonts w:ascii="宋体" w:hAnsi="宋体" w:eastAsia="宋体"/>
          <w:b w:val="0"/>
          <w:sz w:val="24"/>
        </w:rPr>
        <w:t>（4）制定漏洞修复方案，按照风险等级确定修复优先级和方法。</w:t>
      </w:r>
    </w:p>
    <w:p w14:paraId="669BC3F2">
      <w:pPr>
        <w:spacing w:line="360" w:lineRule="auto"/>
        <w:ind w:firstLine="480"/>
      </w:pPr>
      <w:r>
        <w:rPr>
          <w:rFonts w:ascii="宋体" w:hAnsi="宋体" w:eastAsia="宋体"/>
          <w:b w:val="0"/>
          <w:sz w:val="24"/>
        </w:rPr>
        <w:t>（5）设计二次辨识提升方案，完善设备特征库。</w:t>
      </w:r>
    </w:p>
    <w:p w14:paraId="4B17E11A">
      <w:pPr>
        <w:spacing w:line="360" w:lineRule="auto"/>
        <w:ind w:firstLine="480"/>
      </w:pPr>
      <w:r>
        <w:rPr>
          <w:rFonts w:ascii="宋体" w:hAnsi="宋体" w:eastAsia="宋体"/>
          <w:b w:val="0"/>
          <w:sz w:val="24"/>
        </w:rPr>
        <w:t>（6）制定端口封堵方案，明确需要关闭的端口和服务清单。</w:t>
      </w:r>
    </w:p>
    <w:p w14:paraId="027F81B8">
      <w:pPr>
        <w:spacing w:line="360" w:lineRule="auto"/>
        <w:ind w:firstLine="480"/>
      </w:pPr>
      <w:r>
        <w:rPr>
          <w:rFonts w:ascii="宋体" w:hAnsi="宋体" w:eastAsia="宋体"/>
          <w:b w:val="0"/>
          <w:sz w:val="24"/>
        </w:rPr>
        <w:t>（7）所有方案经过技术评审并报阿克苏供电公司批准后实施。</w:t>
      </w:r>
    </w:p>
    <w:p w14:paraId="32BBC2FA">
      <w:pPr>
        <w:spacing w:line="360" w:lineRule="auto"/>
        <w:ind w:firstLine="480"/>
      </w:pPr>
      <w:r>
        <w:rPr>
          <w:rFonts w:ascii="宋体" w:hAnsi="宋体" w:eastAsia="宋体"/>
          <w:b/>
          <w:sz w:val="24"/>
        </w:rPr>
        <w:t>第三阶段：分步实施阶段</w:t>
      </w:r>
    </w:p>
    <w:p w14:paraId="366C6385">
      <w:pPr>
        <w:spacing w:line="360" w:lineRule="auto"/>
        <w:ind w:firstLine="480"/>
      </w:pPr>
      <w:r>
        <w:rPr>
          <w:rFonts w:ascii="宋体" w:hAnsi="宋体" w:eastAsia="宋体"/>
          <w:b w:val="0"/>
          <w:sz w:val="24"/>
        </w:rPr>
        <w:t>（1）按照方案要求，依次开展设备接入、策略调优、安全加固、漏洞修复、辨识提升、端口封堵等工作。</w:t>
      </w:r>
    </w:p>
    <w:p w14:paraId="62437FAD">
      <w:pPr>
        <w:spacing w:line="360" w:lineRule="auto"/>
        <w:ind w:firstLine="480"/>
      </w:pPr>
      <w:r>
        <w:rPr>
          <w:rFonts w:ascii="宋体" w:hAnsi="宋体" w:eastAsia="宋体"/>
          <w:b w:val="0"/>
          <w:sz w:val="24"/>
        </w:rPr>
        <w:t>（2）各项工作按照风险等级由低到高的顺序实施，先易后难，逐步推进。</w:t>
      </w:r>
    </w:p>
    <w:p w14:paraId="21AEFD98">
      <w:pPr>
        <w:spacing w:line="360" w:lineRule="auto"/>
        <w:ind w:firstLine="480"/>
      </w:pPr>
      <w:r>
        <w:rPr>
          <w:rFonts w:ascii="宋体" w:hAnsi="宋体" w:eastAsia="宋体"/>
          <w:b w:val="0"/>
          <w:sz w:val="24"/>
        </w:rPr>
        <w:t>（3）每完成一项工作后进行即时验证，确认无异常后再进行下一项。</w:t>
      </w:r>
    </w:p>
    <w:p w14:paraId="7D14AFA1">
      <w:pPr>
        <w:spacing w:line="360" w:lineRule="auto"/>
        <w:ind w:firstLine="480"/>
      </w:pPr>
      <w:r>
        <w:rPr>
          <w:rFonts w:ascii="宋体" w:hAnsi="宋体" w:eastAsia="宋体"/>
          <w:b w:val="0"/>
          <w:sz w:val="24"/>
        </w:rPr>
        <w:t>（4）全程做好操作记录和问题跟踪，确保过程可追溯。</w:t>
      </w:r>
    </w:p>
    <w:p w14:paraId="22DA5589">
      <w:pPr>
        <w:spacing w:line="360" w:lineRule="auto"/>
        <w:ind w:firstLine="480"/>
      </w:pPr>
      <w:r>
        <w:rPr>
          <w:rFonts w:ascii="宋体" w:hAnsi="宋体" w:eastAsia="宋体"/>
          <w:b/>
          <w:sz w:val="24"/>
        </w:rPr>
        <w:t>第四阶段：效果验证阶段</w:t>
      </w:r>
    </w:p>
    <w:p w14:paraId="40A806CC">
      <w:pPr>
        <w:spacing w:line="360" w:lineRule="auto"/>
        <w:ind w:firstLine="480"/>
      </w:pPr>
      <w:r>
        <w:rPr>
          <w:rFonts w:ascii="宋体" w:hAnsi="宋体" w:eastAsia="宋体"/>
          <w:b w:val="0"/>
          <w:sz w:val="24"/>
        </w:rPr>
        <w:t>（1）全部实施工作完成后，进行系统性的效果验证。</w:t>
      </w:r>
    </w:p>
    <w:p w14:paraId="2E84D838">
      <w:pPr>
        <w:spacing w:line="360" w:lineRule="auto"/>
        <w:ind w:firstLine="480"/>
      </w:pPr>
      <w:r>
        <w:rPr>
          <w:rFonts w:ascii="宋体" w:hAnsi="宋体" w:eastAsia="宋体"/>
          <w:b w:val="0"/>
          <w:sz w:val="24"/>
        </w:rPr>
        <w:t>（2）设置不少于7天的观察期，监控安全监测系统的运行状况。</w:t>
      </w:r>
    </w:p>
    <w:p w14:paraId="386F41BB">
      <w:pPr>
        <w:spacing w:line="360" w:lineRule="auto"/>
        <w:ind w:firstLine="480"/>
      </w:pPr>
      <w:r>
        <w:rPr>
          <w:rFonts w:ascii="宋体" w:hAnsi="宋体" w:eastAsia="宋体"/>
          <w:b w:val="0"/>
          <w:sz w:val="24"/>
        </w:rPr>
        <w:t>（3）统计验证各项指标是否达到项目目标要求。</w:t>
      </w:r>
    </w:p>
    <w:p w14:paraId="483AF3CA">
      <w:pPr>
        <w:spacing w:line="360" w:lineRule="auto"/>
        <w:ind w:firstLine="480"/>
      </w:pPr>
      <w:r>
        <w:rPr>
          <w:rFonts w:ascii="宋体" w:hAnsi="宋体" w:eastAsia="宋体"/>
          <w:b w:val="0"/>
          <w:sz w:val="24"/>
        </w:rPr>
        <w:t>（4）编制项目验收报告，组织项目验收。</w:t>
      </w:r>
    </w:p>
    <w:p w14:paraId="60704973">
      <w:pPr>
        <w:pStyle w:val="5"/>
      </w:pPr>
      <w:r>
        <w:rPr>
          <w:rFonts w:ascii="黑体" w:hAnsi="黑体" w:eastAsia="黑体"/>
          <w:b/>
        </w:rPr>
        <w:t>5.2 实施优先级安排</w:t>
      </w:r>
    </w:p>
    <w:p w14:paraId="411F95A6">
      <w:pPr>
        <w:spacing w:line="360" w:lineRule="auto"/>
        <w:ind w:firstLine="480"/>
      </w:pPr>
      <w:r>
        <w:rPr>
          <w:rFonts w:ascii="宋体" w:hAnsi="宋体" w:eastAsia="宋体"/>
          <w:b w:val="0"/>
          <w:sz w:val="24"/>
        </w:rPr>
        <w:t>根据各项工作的紧迫性、影响范围和实施难度，确定以下实施优先级：</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57328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470B8A0">
            <w:pPr>
              <w:spacing w:after="0"/>
              <w:jc w:val="center"/>
            </w:pPr>
            <w:r>
              <w:rPr>
                <w:rFonts w:ascii="宋体" w:hAnsi="宋体" w:eastAsia="宋体"/>
                <w:b/>
                <w:sz w:val="22"/>
              </w:rPr>
              <w:t>优先级</w:t>
            </w:r>
          </w:p>
        </w:tc>
        <w:tc>
          <w:tcPr>
            <w:tcW w:w="2161" w:type="dxa"/>
          </w:tcPr>
          <w:p w14:paraId="04B9260D">
            <w:pPr>
              <w:spacing w:after="0"/>
              <w:jc w:val="center"/>
            </w:pPr>
            <w:r>
              <w:rPr>
                <w:rFonts w:ascii="宋体" w:hAnsi="宋体" w:eastAsia="宋体"/>
                <w:b/>
                <w:sz w:val="22"/>
              </w:rPr>
              <w:t>工作内容</w:t>
            </w:r>
          </w:p>
        </w:tc>
        <w:tc>
          <w:tcPr>
            <w:tcW w:w="2161" w:type="dxa"/>
          </w:tcPr>
          <w:p w14:paraId="6076D849">
            <w:pPr>
              <w:spacing w:after="0"/>
              <w:jc w:val="center"/>
            </w:pPr>
            <w:r>
              <w:rPr>
                <w:rFonts w:ascii="宋体" w:hAnsi="宋体" w:eastAsia="宋体"/>
                <w:b/>
                <w:sz w:val="22"/>
              </w:rPr>
              <w:t>理由</w:t>
            </w:r>
          </w:p>
        </w:tc>
        <w:tc>
          <w:tcPr>
            <w:tcW w:w="2161" w:type="dxa"/>
          </w:tcPr>
          <w:p w14:paraId="06DBBEB2">
            <w:pPr>
              <w:spacing w:after="0"/>
              <w:jc w:val="center"/>
            </w:pPr>
            <w:r>
              <w:rPr>
                <w:rFonts w:ascii="宋体" w:hAnsi="宋体" w:eastAsia="宋体"/>
                <w:b/>
                <w:sz w:val="22"/>
              </w:rPr>
              <w:t>预计周期</w:t>
            </w:r>
          </w:p>
        </w:tc>
      </w:tr>
      <w:tr w14:paraId="50C36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CDB0099">
            <w:pPr>
              <w:spacing w:after="0"/>
            </w:pPr>
            <w:r>
              <w:rPr>
                <w:rFonts w:ascii="宋体" w:hAnsi="宋体" w:eastAsia="宋体"/>
                <w:sz w:val="22"/>
              </w:rPr>
              <w:t>1（最高）</w:t>
            </w:r>
          </w:p>
        </w:tc>
        <w:tc>
          <w:tcPr>
            <w:tcW w:w="2161" w:type="dxa"/>
          </w:tcPr>
          <w:p w14:paraId="15E08F6D">
            <w:pPr>
              <w:spacing w:after="0"/>
            </w:pPr>
            <w:r>
              <w:rPr>
                <w:rFonts w:ascii="宋体" w:hAnsi="宋体" w:eastAsia="宋体"/>
                <w:sz w:val="22"/>
              </w:rPr>
              <w:t>高危漏洞修复</w:t>
            </w:r>
          </w:p>
        </w:tc>
        <w:tc>
          <w:tcPr>
            <w:tcW w:w="2161" w:type="dxa"/>
          </w:tcPr>
          <w:p w14:paraId="7F767403">
            <w:pPr>
              <w:spacing w:after="0"/>
            </w:pPr>
            <w:r>
              <w:rPr>
                <w:rFonts w:ascii="宋体" w:hAnsi="宋体" w:eastAsia="宋体"/>
                <w:sz w:val="22"/>
              </w:rPr>
              <w:t>高危漏洞存在被利用风险，需优先消除</w:t>
            </w:r>
          </w:p>
        </w:tc>
        <w:tc>
          <w:tcPr>
            <w:tcW w:w="2161" w:type="dxa"/>
          </w:tcPr>
          <w:p w14:paraId="03065E8D">
            <w:pPr>
              <w:spacing w:after="0"/>
            </w:pPr>
            <w:r>
              <w:rPr>
                <w:rFonts w:ascii="宋体" w:hAnsi="宋体" w:eastAsia="宋体"/>
                <w:sz w:val="22"/>
              </w:rPr>
              <w:t>3-5天</w:t>
            </w:r>
          </w:p>
        </w:tc>
      </w:tr>
      <w:tr w14:paraId="00D1F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0EE1DA9">
            <w:pPr>
              <w:spacing w:after="0"/>
            </w:pPr>
            <w:r>
              <w:rPr>
                <w:rFonts w:ascii="宋体" w:hAnsi="宋体" w:eastAsia="宋体"/>
                <w:sz w:val="22"/>
              </w:rPr>
              <w:t>2</w:t>
            </w:r>
          </w:p>
        </w:tc>
        <w:tc>
          <w:tcPr>
            <w:tcW w:w="2161" w:type="dxa"/>
          </w:tcPr>
          <w:p w14:paraId="77C9C970">
            <w:pPr>
              <w:spacing w:after="0"/>
            </w:pPr>
            <w:r>
              <w:rPr>
                <w:rFonts w:ascii="宋体" w:hAnsi="宋体" w:eastAsia="宋体"/>
                <w:sz w:val="22"/>
              </w:rPr>
              <w:t>设备接入安全监测系统</w:t>
            </w:r>
          </w:p>
        </w:tc>
        <w:tc>
          <w:tcPr>
            <w:tcW w:w="2161" w:type="dxa"/>
          </w:tcPr>
          <w:p w14:paraId="6A191631">
            <w:pPr>
              <w:spacing w:after="0"/>
            </w:pPr>
            <w:r>
              <w:rPr>
                <w:rFonts w:ascii="宋体" w:hAnsi="宋体" w:eastAsia="宋体"/>
                <w:sz w:val="22"/>
              </w:rPr>
              <w:t>消除监测盲区，基础性工作</w:t>
            </w:r>
          </w:p>
        </w:tc>
        <w:tc>
          <w:tcPr>
            <w:tcW w:w="2161" w:type="dxa"/>
          </w:tcPr>
          <w:p w14:paraId="5AFF88F8">
            <w:pPr>
              <w:spacing w:after="0"/>
            </w:pPr>
            <w:r>
              <w:rPr>
                <w:rFonts w:ascii="宋体" w:hAnsi="宋体" w:eastAsia="宋体"/>
                <w:sz w:val="22"/>
              </w:rPr>
              <w:t>5-7天</w:t>
            </w:r>
          </w:p>
        </w:tc>
      </w:tr>
      <w:tr w14:paraId="57753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B68E52">
            <w:pPr>
              <w:spacing w:after="0"/>
            </w:pPr>
            <w:r>
              <w:rPr>
                <w:rFonts w:ascii="宋体" w:hAnsi="宋体" w:eastAsia="宋体"/>
                <w:sz w:val="22"/>
              </w:rPr>
              <w:t>3</w:t>
            </w:r>
          </w:p>
        </w:tc>
        <w:tc>
          <w:tcPr>
            <w:tcW w:w="2161" w:type="dxa"/>
          </w:tcPr>
          <w:p w14:paraId="28F24168">
            <w:pPr>
              <w:spacing w:after="0"/>
            </w:pPr>
            <w:r>
              <w:rPr>
                <w:rFonts w:ascii="宋体" w:hAnsi="宋体" w:eastAsia="宋体"/>
                <w:sz w:val="22"/>
              </w:rPr>
              <w:t>端口封堵</w:t>
            </w:r>
          </w:p>
        </w:tc>
        <w:tc>
          <w:tcPr>
            <w:tcW w:w="2161" w:type="dxa"/>
          </w:tcPr>
          <w:p w14:paraId="2BC59F29">
            <w:pPr>
              <w:spacing w:after="0"/>
            </w:pPr>
            <w:r>
              <w:rPr>
                <w:rFonts w:ascii="宋体" w:hAnsi="宋体" w:eastAsia="宋体"/>
                <w:sz w:val="22"/>
              </w:rPr>
              <w:t>减少攻击暴露面</w:t>
            </w:r>
          </w:p>
        </w:tc>
        <w:tc>
          <w:tcPr>
            <w:tcW w:w="2161" w:type="dxa"/>
          </w:tcPr>
          <w:p w14:paraId="50B587D8">
            <w:pPr>
              <w:spacing w:after="0"/>
            </w:pPr>
            <w:r>
              <w:rPr>
                <w:rFonts w:ascii="宋体" w:hAnsi="宋体" w:eastAsia="宋体"/>
                <w:sz w:val="22"/>
              </w:rPr>
              <w:t>2-3天</w:t>
            </w:r>
          </w:p>
        </w:tc>
      </w:tr>
      <w:tr w14:paraId="5617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159543">
            <w:pPr>
              <w:spacing w:after="0"/>
            </w:pPr>
            <w:r>
              <w:rPr>
                <w:rFonts w:ascii="宋体" w:hAnsi="宋体" w:eastAsia="宋体"/>
                <w:sz w:val="22"/>
              </w:rPr>
              <w:t>4</w:t>
            </w:r>
          </w:p>
        </w:tc>
        <w:tc>
          <w:tcPr>
            <w:tcW w:w="2161" w:type="dxa"/>
          </w:tcPr>
          <w:p w14:paraId="440A09A2">
            <w:pPr>
              <w:spacing w:after="0"/>
            </w:pPr>
            <w:r>
              <w:rPr>
                <w:rFonts w:ascii="宋体" w:hAnsi="宋体" w:eastAsia="宋体"/>
                <w:sz w:val="22"/>
              </w:rPr>
              <w:t>设备安全加固</w:t>
            </w:r>
          </w:p>
        </w:tc>
        <w:tc>
          <w:tcPr>
            <w:tcW w:w="2161" w:type="dxa"/>
          </w:tcPr>
          <w:p w14:paraId="6CD5187B">
            <w:pPr>
              <w:spacing w:after="0"/>
            </w:pPr>
            <w:r>
              <w:rPr>
                <w:rFonts w:ascii="宋体" w:hAnsi="宋体" w:eastAsia="宋体"/>
                <w:sz w:val="22"/>
              </w:rPr>
              <w:t>提升设备安全基线</w:t>
            </w:r>
          </w:p>
        </w:tc>
        <w:tc>
          <w:tcPr>
            <w:tcW w:w="2161" w:type="dxa"/>
          </w:tcPr>
          <w:p w14:paraId="40ABCDBB">
            <w:pPr>
              <w:spacing w:after="0"/>
            </w:pPr>
            <w:r>
              <w:rPr>
                <w:rFonts w:ascii="宋体" w:hAnsi="宋体" w:eastAsia="宋体"/>
                <w:sz w:val="22"/>
              </w:rPr>
              <w:t>5-7天</w:t>
            </w:r>
          </w:p>
        </w:tc>
      </w:tr>
      <w:tr w14:paraId="2281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3918B2E">
            <w:pPr>
              <w:spacing w:after="0"/>
            </w:pPr>
            <w:r>
              <w:rPr>
                <w:rFonts w:ascii="宋体" w:hAnsi="宋体" w:eastAsia="宋体"/>
                <w:sz w:val="22"/>
              </w:rPr>
              <w:t>5</w:t>
            </w:r>
          </w:p>
        </w:tc>
        <w:tc>
          <w:tcPr>
            <w:tcW w:w="2161" w:type="dxa"/>
          </w:tcPr>
          <w:p w14:paraId="10C6EF5E">
            <w:pPr>
              <w:spacing w:after="0"/>
            </w:pPr>
            <w:r>
              <w:rPr>
                <w:rFonts w:ascii="宋体" w:hAnsi="宋体" w:eastAsia="宋体"/>
                <w:sz w:val="22"/>
              </w:rPr>
              <w:t>代理软件策略合规整改</w:t>
            </w:r>
          </w:p>
        </w:tc>
        <w:tc>
          <w:tcPr>
            <w:tcW w:w="2161" w:type="dxa"/>
          </w:tcPr>
          <w:p w14:paraId="2D89874C">
            <w:pPr>
              <w:spacing w:after="0"/>
            </w:pPr>
            <w:r>
              <w:rPr>
                <w:rFonts w:ascii="宋体" w:hAnsi="宋体" w:eastAsia="宋体"/>
                <w:sz w:val="22"/>
              </w:rPr>
              <w:t>满足合规要求</w:t>
            </w:r>
          </w:p>
        </w:tc>
        <w:tc>
          <w:tcPr>
            <w:tcW w:w="2161" w:type="dxa"/>
          </w:tcPr>
          <w:p w14:paraId="58DF1B36">
            <w:pPr>
              <w:spacing w:after="0"/>
            </w:pPr>
            <w:r>
              <w:rPr>
                <w:rFonts w:ascii="宋体" w:hAnsi="宋体" w:eastAsia="宋体"/>
                <w:sz w:val="22"/>
              </w:rPr>
              <w:t>3-5天</w:t>
            </w:r>
          </w:p>
        </w:tc>
      </w:tr>
      <w:tr w14:paraId="728DD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550AE71">
            <w:pPr>
              <w:spacing w:after="0"/>
            </w:pPr>
            <w:r>
              <w:rPr>
                <w:rFonts w:ascii="宋体" w:hAnsi="宋体" w:eastAsia="宋体"/>
                <w:sz w:val="22"/>
              </w:rPr>
              <w:t>6</w:t>
            </w:r>
          </w:p>
        </w:tc>
        <w:tc>
          <w:tcPr>
            <w:tcW w:w="2161" w:type="dxa"/>
          </w:tcPr>
          <w:p w14:paraId="24A883CF">
            <w:pPr>
              <w:spacing w:after="0"/>
            </w:pPr>
            <w:r>
              <w:rPr>
                <w:rFonts w:ascii="宋体" w:hAnsi="宋体" w:eastAsia="宋体"/>
                <w:sz w:val="22"/>
              </w:rPr>
              <w:t>二次辨识提升</w:t>
            </w:r>
          </w:p>
        </w:tc>
        <w:tc>
          <w:tcPr>
            <w:tcW w:w="2161" w:type="dxa"/>
          </w:tcPr>
          <w:p w14:paraId="19AC1038">
            <w:pPr>
              <w:spacing w:after="0"/>
            </w:pPr>
            <w:r>
              <w:rPr>
                <w:rFonts w:ascii="宋体" w:hAnsi="宋体" w:eastAsia="宋体"/>
                <w:sz w:val="22"/>
              </w:rPr>
              <w:t>提升监测准确性</w:t>
            </w:r>
          </w:p>
        </w:tc>
        <w:tc>
          <w:tcPr>
            <w:tcW w:w="2161" w:type="dxa"/>
          </w:tcPr>
          <w:p w14:paraId="7BA245E0">
            <w:pPr>
              <w:spacing w:after="0"/>
            </w:pPr>
            <w:r>
              <w:rPr>
                <w:rFonts w:ascii="宋体" w:hAnsi="宋体" w:eastAsia="宋体"/>
                <w:sz w:val="22"/>
              </w:rPr>
              <w:t>3-5天</w:t>
            </w:r>
          </w:p>
        </w:tc>
      </w:tr>
      <w:tr w14:paraId="0C63B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39432A">
            <w:pPr>
              <w:spacing w:after="0"/>
            </w:pPr>
            <w:r>
              <w:rPr>
                <w:rFonts w:ascii="宋体" w:hAnsi="宋体" w:eastAsia="宋体"/>
                <w:sz w:val="22"/>
              </w:rPr>
              <w:t>7</w:t>
            </w:r>
          </w:p>
        </w:tc>
        <w:tc>
          <w:tcPr>
            <w:tcW w:w="2161" w:type="dxa"/>
          </w:tcPr>
          <w:p w14:paraId="1A7BA0A6">
            <w:pPr>
              <w:spacing w:after="0"/>
            </w:pPr>
            <w:r>
              <w:rPr>
                <w:rFonts w:ascii="宋体" w:hAnsi="宋体" w:eastAsia="宋体"/>
                <w:sz w:val="22"/>
              </w:rPr>
              <w:t>探针策略精细化调优</w:t>
            </w:r>
          </w:p>
        </w:tc>
        <w:tc>
          <w:tcPr>
            <w:tcW w:w="2161" w:type="dxa"/>
          </w:tcPr>
          <w:p w14:paraId="326E7069">
            <w:pPr>
              <w:spacing w:after="0"/>
            </w:pPr>
            <w:r>
              <w:rPr>
                <w:rFonts w:ascii="宋体" w:hAnsi="宋体" w:eastAsia="宋体"/>
                <w:sz w:val="22"/>
              </w:rPr>
              <w:t>需要观察期，周期较长</w:t>
            </w:r>
          </w:p>
        </w:tc>
        <w:tc>
          <w:tcPr>
            <w:tcW w:w="2161" w:type="dxa"/>
          </w:tcPr>
          <w:p w14:paraId="4D6F13B0">
            <w:pPr>
              <w:spacing w:after="0"/>
            </w:pPr>
            <w:r>
              <w:rPr>
                <w:rFonts w:ascii="宋体" w:hAnsi="宋体" w:eastAsia="宋体"/>
                <w:sz w:val="22"/>
              </w:rPr>
              <w:t>7-14天</w:t>
            </w:r>
          </w:p>
        </w:tc>
      </w:tr>
    </w:tbl>
    <w:p w14:paraId="3FE6C568"/>
    <w:p w14:paraId="47792ECE">
      <w:pPr>
        <w:pStyle w:val="5"/>
      </w:pPr>
      <w:r>
        <w:rPr>
          <w:rFonts w:ascii="黑体" w:hAnsi="黑体" w:eastAsia="黑体"/>
          <w:b/>
        </w:rPr>
        <w:t>5.3 回退方案</w:t>
      </w:r>
    </w:p>
    <w:p w14:paraId="684487D6">
      <w:pPr>
        <w:spacing w:line="360" w:lineRule="auto"/>
        <w:ind w:firstLine="480"/>
      </w:pPr>
      <w:r>
        <w:rPr>
          <w:rFonts w:ascii="宋体" w:hAnsi="宋体" w:eastAsia="宋体"/>
          <w:b w:val="0"/>
          <w:sz w:val="24"/>
        </w:rPr>
        <w:t>为确保项目实施过程的安全可控，为每项工作制定相应的回退方案：</w:t>
      </w:r>
    </w:p>
    <w:p w14:paraId="615154A7">
      <w:pPr>
        <w:spacing w:line="360" w:lineRule="auto"/>
        <w:ind w:firstLine="480"/>
      </w:pPr>
      <w:r>
        <w:rPr>
          <w:rFonts w:ascii="宋体" w:hAnsi="宋体" w:eastAsia="宋体"/>
          <w:b w:val="0"/>
          <w:sz w:val="24"/>
        </w:rPr>
        <w:t>（1）设备接入回退：如接入后出现设备异常，可随时断开接入连接，恢复原有状态。</w:t>
      </w:r>
    </w:p>
    <w:p w14:paraId="5F0D6439">
      <w:pPr>
        <w:spacing w:line="360" w:lineRule="auto"/>
        <w:ind w:firstLine="480"/>
      </w:pPr>
      <w:r>
        <w:rPr>
          <w:rFonts w:ascii="宋体" w:hAnsi="宋体" w:eastAsia="宋体"/>
          <w:b w:val="0"/>
          <w:sz w:val="24"/>
        </w:rPr>
        <w:t>（2）策略调优回退：保留调优前的策略配置备份，如新策略导致问题可立即恢复原策略。</w:t>
      </w:r>
    </w:p>
    <w:p w14:paraId="06800855">
      <w:pPr>
        <w:spacing w:line="360" w:lineRule="auto"/>
        <w:ind w:firstLine="480"/>
      </w:pPr>
      <w:r>
        <w:rPr>
          <w:rFonts w:ascii="宋体" w:hAnsi="宋体" w:eastAsia="宋体"/>
          <w:b w:val="0"/>
          <w:sz w:val="24"/>
        </w:rPr>
        <w:t>（3）安全加固回退：加固前做好完整配置备份，出现问题时恢复原配置。</w:t>
      </w:r>
    </w:p>
    <w:p w14:paraId="08B09A55">
      <w:pPr>
        <w:spacing w:line="360" w:lineRule="auto"/>
        <w:ind w:firstLine="480"/>
      </w:pPr>
      <w:r>
        <w:rPr>
          <w:rFonts w:ascii="宋体" w:hAnsi="宋体" w:eastAsia="宋体"/>
          <w:b w:val="0"/>
          <w:sz w:val="24"/>
        </w:rPr>
        <w:t>（4）漏洞修复回退：补丁安装前做好系统备份，如补丁导致问题可卸载补丁或恢复备份。</w:t>
      </w:r>
    </w:p>
    <w:p w14:paraId="0370697F">
      <w:pPr>
        <w:spacing w:line="360" w:lineRule="auto"/>
        <w:ind w:firstLine="480"/>
      </w:pPr>
      <w:r>
        <w:rPr>
          <w:rFonts w:ascii="宋体" w:hAnsi="宋体" w:eastAsia="宋体"/>
          <w:b w:val="0"/>
          <w:sz w:val="24"/>
        </w:rPr>
        <w:t>（5）端口封堵回退：记录封堵前的端口状态，如封堵导致业务影响可立即重新开放。</w:t>
      </w:r>
    </w:p>
    <w:p w14:paraId="702850F2">
      <w:r>
        <w:br w:type="page"/>
      </w:r>
    </w:p>
    <w:p w14:paraId="26CA114A">
      <w:pPr>
        <w:pStyle w:val="4"/>
      </w:pPr>
      <w:r>
        <w:rPr>
          <w:rFonts w:ascii="黑体" w:hAnsi="黑体" w:eastAsia="黑体"/>
          <w:b/>
        </w:rPr>
        <w:t>六、对工程有帮助的可行性建议</w:t>
      </w:r>
    </w:p>
    <w:p w14:paraId="768FA2C5">
      <w:pPr>
        <w:pStyle w:val="5"/>
      </w:pPr>
      <w:r>
        <w:rPr>
          <w:rFonts w:ascii="黑体" w:hAnsi="黑体" w:eastAsia="黑体"/>
          <w:b/>
        </w:rPr>
        <w:t>6.1 安全监测体系完善建议</w:t>
      </w:r>
    </w:p>
    <w:p w14:paraId="654F6E30">
      <w:pPr>
        <w:spacing w:line="360" w:lineRule="auto"/>
        <w:ind w:firstLine="480"/>
      </w:pPr>
      <w:r>
        <w:rPr>
          <w:rFonts w:ascii="宋体" w:hAnsi="宋体" w:eastAsia="宋体"/>
          <w:b w:val="0"/>
          <w:sz w:val="24"/>
        </w:rPr>
        <w:t>（1）建立安全监测运营机制。建议阿克苏供电公司建立网络安全监测的日常运营机制，包括告警监控值班制度、告警分析处置流程、定期策略审核优化等，确保安全监测系统持续有效运行，而非一次性建设后缺乏运营维护。</w:t>
      </w:r>
    </w:p>
    <w:p w14:paraId="6EC9D5B2">
      <w:pPr>
        <w:spacing w:line="360" w:lineRule="auto"/>
        <w:ind w:firstLine="480"/>
      </w:pPr>
      <w:r>
        <w:rPr>
          <w:rFonts w:ascii="宋体" w:hAnsi="宋体" w:eastAsia="宋体"/>
          <w:b w:val="0"/>
          <w:sz w:val="24"/>
        </w:rPr>
        <w:t>（2）完善安全事件响应流程。建议制定完善的网络安全事件应急响应流程，明确不同级别安全事件的响应时限、处置步骤和汇报要求。建立安全事件分级分类标准，确保安全事件得到及时有效处置。</w:t>
      </w:r>
    </w:p>
    <w:p w14:paraId="622DD068">
      <w:pPr>
        <w:spacing w:line="360" w:lineRule="auto"/>
        <w:ind w:firstLine="480"/>
      </w:pPr>
      <w:r>
        <w:rPr>
          <w:rFonts w:ascii="宋体" w:hAnsi="宋体" w:eastAsia="宋体"/>
          <w:b w:val="0"/>
          <w:sz w:val="24"/>
        </w:rPr>
        <w:t>（3）定期开展安全监测效果评估。建议每季度对安全监测系统的运行效果进行一次评估，分析告警趋势、误报比例、覆盖盲区等指标，持续优化监测策略和能力。</w:t>
      </w:r>
    </w:p>
    <w:p w14:paraId="716DE524">
      <w:pPr>
        <w:spacing w:line="360" w:lineRule="auto"/>
        <w:ind w:firstLine="480"/>
      </w:pPr>
      <w:r>
        <w:rPr>
          <w:rFonts w:ascii="宋体" w:hAnsi="宋体" w:eastAsia="宋体"/>
          <w:b w:val="0"/>
          <w:sz w:val="24"/>
        </w:rPr>
        <w:t>（4）关注新型威胁情报。建议建立与网络安全厂商、行业安全组织的威胁情报共享渠道，及时获取针对电力行业的最新威胁情报，并将威胁情报转化为监测规则纳入探针策略。</w:t>
      </w:r>
    </w:p>
    <w:p w14:paraId="2C9E1B9A">
      <w:pPr>
        <w:pStyle w:val="5"/>
      </w:pPr>
      <w:r>
        <w:rPr>
          <w:rFonts w:ascii="黑体" w:hAnsi="黑体" w:eastAsia="黑体"/>
          <w:b/>
        </w:rPr>
        <w:t>6.2 安全加固常态化建议</w:t>
      </w:r>
    </w:p>
    <w:p w14:paraId="45874425">
      <w:pPr>
        <w:spacing w:line="360" w:lineRule="auto"/>
        <w:ind w:firstLine="480"/>
      </w:pPr>
      <w:r>
        <w:rPr>
          <w:rFonts w:ascii="宋体" w:hAnsi="宋体" w:eastAsia="宋体"/>
          <w:b w:val="0"/>
          <w:sz w:val="24"/>
        </w:rPr>
        <w:t>（1）建立安全基线管理制度。建议对站内所有设备建立统一的安全基线标准，明确各类设备应遵循的安全配置要求。定期检查设备安全配置是否偏离基线标准，发现偏离及时纠正。</w:t>
      </w:r>
    </w:p>
    <w:p w14:paraId="60959C77">
      <w:pPr>
        <w:spacing w:line="360" w:lineRule="auto"/>
        <w:ind w:firstLine="480"/>
      </w:pPr>
      <w:r>
        <w:rPr>
          <w:rFonts w:ascii="宋体" w:hAnsi="宋体" w:eastAsia="宋体"/>
          <w:b w:val="0"/>
          <w:sz w:val="24"/>
        </w:rPr>
        <w:t>（2）定期开展漏洞扫描。建议至少每半年对站内设备进行一次全面的漏洞扫描，及时发现新出现的安全漏洞并制定修复计划。对于高危漏洞应在发现后尽快制定修复方案。</w:t>
      </w:r>
    </w:p>
    <w:p w14:paraId="3C7D1643">
      <w:pPr>
        <w:spacing w:line="360" w:lineRule="auto"/>
        <w:ind w:firstLine="480"/>
      </w:pPr>
      <w:r>
        <w:rPr>
          <w:rFonts w:ascii="宋体" w:hAnsi="宋体" w:eastAsia="宋体"/>
          <w:b w:val="0"/>
          <w:sz w:val="24"/>
        </w:rPr>
        <w:t>（3）建立补丁管理流程。建议建立规范的补丁管理流程，包括补丁获取、兼容性评估、测试验证、部署实施等环节，确保补丁管理工作规范有序。</w:t>
      </w:r>
    </w:p>
    <w:p w14:paraId="01252B3A">
      <w:pPr>
        <w:pStyle w:val="5"/>
      </w:pPr>
      <w:r>
        <w:rPr>
          <w:rFonts w:ascii="黑体" w:hAnsi="黑体" w:eastAsia="黑体"/>
          <w:b/>
        </w:rPr>
        <w:t>6.3 网络架构优化建议</w:t>
      </w:r>
    </w:p>
    <w:p w14:paraId="1FDBA7DE">
      <w:pPr>
        <w:spacing w:line="360" w:lineRule="auto"/>
        <w:ind w:firstLine="480"/>
      </w:pPr>
      <w:r>
        <w:rPr>
          <w:rFonts w:ascii="宋体" w:hAnsi="宋体" w:eastAsia="宋体"/>
          <w:b w:val="0"/>
          <w:sz w:val="24"/>
        </w:rPr>
        <w:t>（1）完善网络分区隔离。建议进一步审查和优化站内网络分区方案，确保各安全区域之间的隔离措施完备有效，不存在越区访问和非法通信路径。</w:t>
      </w:r>
    </w:p>
    <w:p w14:paraId="7EEE6F4C">
      <w:pPr>
        <w:spacing w:line="360" w:lineRule="auto"/>
        <w:ind w:firstLine="480"/>
      </w:pPr>
      <w:r>
        <w:rPr>
          <w:rFonts w:ascii="宋体" w:hAnsi="宋体" w:eastAsia="宋体"/>
          <w:b w:val="0"/>
          <w:sz w:val="24"/>
        </w:rPr>
        <w:t>（2）加强访问控制管理。建议对站内网络设备的访问控制策略进行全面审查，实施最小权限原则，关闭不必要的访问入口，减少攻击暴露面。</w:t>
      </w:r>
    </w:p>
    <w:p w14:paraId="0C4430BD">
      <w:pPr>
        <w:spacing w:line="360" w:lineRule="auto"/>
        <w:ind w:firstLine="480"/>
      </w:pPr>
      <w:r>
        <w:rPr>
          <w:rFonts w:ascii="宋体" w:hAnsi="宋体" w:eastAsia="宋体"/>
          <w:b w:val="0"/>
          <w:sz w:val="24"/>
        </w:rPr>
        <w:t>（3）部署网络流量审计。建议在关键网络节点部署流量审计功能，记录网络通信日志，为安全事件的追溯调查提供数据支撑。</w:t>
      </w:r>
    </w:p>
    <w:p w14:paraId="1EE3FB46">
      <w:pPr>
        <w:pStyle w:val="5"/>
      </w:pPr>
      <w:r>
        <w:rPr>
          <w:rFonts w:ascii="黑体" w:hAnsi="黑体" w:eastAsia="黑体"/>
          <w:b/>
        </w:rPr>
        <w:t>6.4 人员能力建设建议</w:t>
      </w:r>
    </w:p>
    <w:p w14:paraId="4B137C65">
      <w:pPr>
        <w:spacing w:line="360" w:lineRule="auto"/>
        <w:ind w:firstLine="480"/>
      </w:pPr>
      <w:r>
        <w:rPr>
          <w:rFonts w:ascii="宋体" w:hAnsi="宋体" w:eastAsia="宋体"/>
          <w:b w:val="0"/>
          <w:sz w:val="24"/>
        </w:rPr>
        <w:t>（1）加强网络安全技能培训。建议定期组织变电站运维人员参加网络安全知识和技能培训，提升基层人员的安全意识和基本安全操作能力。</w:t>
      </w:r>
    </w:p>
    <w:p w14:paraId="2A059A13">
      <w:pPr>
        <w:spacing w:line="360" w:lineRule="auto"/>
        <w:ind w:firstLine="480"/>
      </w:pPr>
      <w:r>
        <w:rPr>
          <w:rFonts w:ascii="宋体" w:hAnsi="宋体" w:eastAsia="宋体"/>
          <w:b w:val="0"/>
          <w:sz w:val="24"/>
        </w:rPr>
        <w:t>（2）开展安全演练。建议每年组织至少一次网络安全应急演练，检验安全事件响应流程的有效性和人员的处置能力。</w:t>
      </w:r>
    </w:p>
    <w:p w14:paraId="0329FF00">
      <w:pPr>
        <w:spacing w:line="360" w:lineRule="auto"/>
        <w:ind w:firstLine="480"/>
      </w:pPr>
      <w:r>
        <w:rPr>
          <w:rFonts w:ascii="宋体" w:hAnsi="宋体" w:eastAsia="宋体"/>
          <w:b w:val="0"/>
          <w:sz w:val="24"/>
        </w:rPr>
        <w:t>（3）建立知识库。建议建立变电站网络安全运维知识库，积累各类安全事件的处置经验和最佳实践，为运维人员提供参考指导。</w:t>
      </w:r>
    </w:p>
    <w:p w14:paraId="1B30CFE0">
      <w:r>
        <w:br w:type="page"/>
      </w:r>
    </w:p>
    <w:p w14:paraId="1864EF91">
      <w:pPr>
        <w:pStyle w:val="4"/>
      </w:pPr>
      <w:r>
        <w:rPr>
          <w:rFonts w:ascii="黑体" w:hAnsi="黑体" w:eastAsia="黑体"/>
          <w:b/>
        </w:rPr>
        <w:t>七、项目意义与展望</w:t>
      </w:r>
    </w:p>
    <w:p w14:paraId="03C312F1">
      <w:pPr>
        <w:pStyle w:val="5"/>
      </w:pPr>
      <w:r>
        <w:rPr>
          <w:rFonts w:ascii="黑体" w:hAnsi="黑体" w:eastAsia="黑体"/>
          <w:b/>
        </w:rPr>
        <w:t>7.1 项目实施意义</w:t>
      </w:r>
    </w:p>
    <w:p w14:paraId="1EFF13EB">
      <w:pPr>
        <w:spacing w:line="360" w:lineRule="auto"/>
        <w:ind w:firstLine="480"/>
      </w:pPr>
      <w:r>
        <w:rPr>
          <w:rFonts w:ascii="宋体" w:hAnsi="宋体" w:eastAsia="宋体"/>
          <w:b/>
          <w:sz w:val="24"/>
        </w:rPr>
        <w:t>7.1.1 保障变电站网络安全</w:t>
      </w:r>
    </w:p>
    <w:p w14:paraId="21A53601">
      <w:pPr>
        <w:spacing w:line="360" w:lineRule="auto"/>
        <w:ind w:firstLine="480"/>
      </w:pPr>
      <w:r>
        <w:rPr>
          <w:rFonts w:ascii="宋体" w:hAnsi="宋体" w:eastAsia="宋体"/>
          <w:b w:val="0"/>
          <w:sz w:val="24"/>
        </w:rPr>
        <w:t>通过全面提升纺织园变电站的网络安全监测功能，可以有效消除当前存在的安全隐患和监测盲区，构建覆盖全面、监测精准、响应及时的安全防护体系。设备全面接入安全监测系统后，任何异常网络行为都能被及时发现和告警，大大提高了安全事件的发现率和处置及时性，为电力监控系统的安全稳定运行提供了坚实保障。</w:t>
      </w:r>
    </w:p>
    <w:p w14:paraId="43E1524F">
      <w:pPr>
        <w:spacing w:line="360" w:lineRule="auto"/>
        <w:ind w:firstLine="480"/>
      </w:pPr>
      <w:r>
        <w:rPr>
          <w:rFonts w:ascii="宋体" w:hAnsi="宋体" w:eastAsia="宋体"/>
          <w:b/>
          <w:sz w:val="24"/>
        </w:rPr>
        <w:t>7.1.2 满足合规管理要求</w:t>
      </w:r>
    </w:p>
    <w:p w14:paraId="48478220">
      <w:pPr>
        <w:spacing w:line="360" w:lineRule="auto"/>
        <w:ind w:firstLine="480"/>
      </w:pPr>
      <w:r>
        <w:rPr>
          <w:rFonts w:ascii="宋体" w:hAnsi="宋体" w:eastAsia="宋体"/>
          <w:b w:val="0"/>
          <w:sz w:val="24"/>
        </w:rPr>
        <w:t>通过整改代理软件接入策略、完善安全加固措施、修复安全漏洞等工作，使纺织园变电站的网络安全防护水平全面达到国家电网公司相关技术标准和管理制度的要求，在各类安全检查和审计中保持合规状态，避免因不合规产生的管理风险。</w:t>
      </w:r>
    </w:p>
    <w:p w14:paraId="767870AB">
      <w:pPr>
        <w:spacing w:line="360" w:lineRule="auto"/>
        <w:ind w:firstLine="480"/>
      </w:pPr>
      <w:r>
        <w:rPr>
          <w:rFonts w:ascii="宋体" w:hAnsi="宋体" w:eastAsia="宋体"/>
          <w:b/>
          <w:sz w:val="24"/>
        </w:rPr>
        <w:t>7.1.3 提升安全态势感知能力</w:t>
      </w:r>
    </w:p>
    <w:p w14:paraId="1F5259B8">
      <w:pPr>
        <w:spacing w:line="360" w:lineRule="auto"/>
        <w:ind w:firstLine="480"/>
      </w:pPr>
      <w:r>
        <w:rPr>
          <w:rFonts w:ascii="宋体" w:hAnsi="宋体" w:eastAsia="宋体"/>
          <w:b w:val="0"/>
          <w:sz w:val="24"/>
        </w:rPr>
        <w:t>通过探针策略精细化调优和二次辨识提升，显著提高了安全监测系统对各类安全事件的识别准确率，降低了误报率。精准的安全监测能力使运维人员能够快速准确地判断安全态势，将有限的安全资源集中投入到真正的安全威胁应对中，大幅提升了安全运维效率。</w:t>
      </w:r>
    </w:p>
    <w:p w14:paraId="75070619">
      <w:pPr>
        <w:spacing w:line="360" w:lineRule="auto"/>
        <w:ind w:firstLine="480"/>
      </w:pPr>
      <w:r>
        <w:rPr>
          <w:rFonts w:ascii="宋体" w:hAnsi="宋体" w:eastAsia="宋体"/>
          <w:b/>
          <w:sz w:val="24"/>
        </w:rPr>
        <w:t>7.1.4 缩小攻击暴露面</w:t>
      </w:r>
    </w:p>
    <w:p w14:paraId="0644F855">
      <w:pPr>
        <w:spacing w:line="360" w:lineRule="auto"/>
        <w:ind w:firstLine="480"/>
      </w:pPr>
      <w:r>
        <w:rPr>
          <w:rFonts w:ascii="宋体" w:hAnsi="宋体" w:eastAsia="宋体"/>
          <w:b w:val="0"/>
          <w:sz w:val="24"/>
        </w:rPr>
        <w:t>通过端口封堵、漏洞修复和设备加固等工作，有效减少了变电站网络系统的攻击暴露面，使潜在攻击者能够利用的攻击入口和漏洞大幅减少，从源头上降低了被攻击成功的概率，提升了整体安全防护的纵深性。</w:t>
      </w:r>
    </w:p>
    <w:p w14:paraId="73697AE7">
      <w:pPr>
        <w:spacing w:line="360" w:lineRule="auto"/>
        <w:ind w:firstLine="480"/>
      </w:pPr>
      <w:r>
        <w:rPr>
          <w:rFonts w:ascii="宋体" w:hAnsi="宋体" w:eastAsia="宋体"/>
          <w:b/>
          <w:sz w:val="24"/>
        </w:rPr>
        <w:t>7.1.5 积累管理经验</w:t>
      </w:r>
    </w:p>
    <w:p w14:paraId="7C9DCC92">
      <w:pPr>
        <w:spacing w:line="360" w:lineRule="auto"/>
        <w:ind w:firstLine="480"/>
      </w:pPr>
      <w:r>
        <w:rPr>
          <w:rFonts w:ascii="宋体" w:hAnsi="宋体" w:eastAsia="宋体"/>
          <w:b w:val="0"/>
          <w:sz w:val="24"/>
        </w:rPr>
        <w:t>本项目的实施过程和经验可以为阿克苏供电公司其他变电站的网络安全监测功能提升提供参考和借鉴。项目形成的方法论、工具手段和管理制度可以在后续类似项目中复用推广。</w:t>
      </w:r>
    </w:p>
    <w:p w14:paraId="033B18CB">
      <w:pPr>
        <w:pStyle w:val="5"/>
      </w:pPr>
      <w:r>
        <w:rPr>
          <w:rFonts w:ascii="黑体" w:hAnsi="黑体" w:eastAsia="黑体"/>
          <w:b/>
        </w:rPr>
        <w:t>7.2 未来展望</w:t>
      </w:r>
    </w:p>
    <w:p w14:paraId="48789E00">
      <w:pPr>
        <w:spacing w:line="360" w:lineRule="auto"/>
        <w:ind w:firstLine="480"/>
      </w:pPr>
      <w:r>
        <w:rPr>
          <w:rFonts w:ascii="宋体" w:hAnsi="宋体" w:eastAsia="宋体"/>
          <w:b w:val="0"/>
          <w:sz w:val="24"/>
        </w:rPr>
        <w:t>展望未来，变电站网络安全监测将朝着以下方向发展：</w:t>
      </w:r>
    </w:p>
    <w:p w14:paraId="57A395CE">
      <w:pPr>
        <w:spacing w:line="360" w:lineRule="auto"/>
        <w:ind w:firstLine="480"/>
      </w:pPr>
      <w:r>
        <w:rPr>
          <w:rFonts w:ascii="宋体" w:hAnsi="宋体" w:eastAsia="宋体"/>
          <w:b w:val="0"/>
          <w:sz w:val="24"/>
        </w:rPr>
        <w:t>（1）智能化监测分析。随着人工智能技术在网络安全领域的深入应用，未来的安全监测系统将具备更强的智能分析能力，能够通过机器学习算法自动识别异常行为模式，减少对人工分析的依赖。</w:t>
      </w:r>
    </w:p>
    <w:p w14:paraId="0C15C975">
      <w:pPr>
        <w:spacing w:line="360" w:lineRule="auto"/>
        <w:ind w:firstLine="480"/>
      </w:pPr>
      <w:r>
        <w:rPr>
          <w:rFonts w:ascii="宋体" w:hAnsi="宋体" w:eastAsia="宋体"/>
          <w:b w:val="0"/>
          <w:sz w:val="24"/>
        </w:rPr>
        <w:t>（2）协同联动防御。未来将实现站端安全监测与公司级安全管理平台的深度联动，通过全网安全态势的协同分析，实现对复杂攻击行为的快速识别和联合应对。</w:t>
      </w:r>
    </w:p>
    <w:p w14:paraId="66651415">
      <w:pPr>
        <w:spacing w:line="360" w:lineRule="auto"/>
        <w:ind w:firstLine="480"/>
      </w:pPr>
      <w:r>
        <w:rPr>
          <w:rFonts w:ascii="宋体" w:hAnsi="宋体" w:eastAsia="宋体"/>
          <w:b w:val="0"/>
          <w:sz w:val="24"/>
        </w:rPr>
        <w:t>（3）主动防御能力。从被动监测预警向主动防御转变，通过威胁狩猎、欺骗防御等技术手段，主动发现和诱捕攻击者，变被动为主动。</w:t>
      </w:r>
    </w:p>
    <w:p w14:paraId="45110DA3">
      <w:pPr>
        <w:spacing w:line="360" w:lineRule="auto"/>
        <w:ind w:firstLine="480"/>
      </w:pPr>
      <w:r>
        <w:rPr>
          <w:rFonts w:ascii="宋体" w:hAnsi="宋体" w:eastAsia="宋体"/>
          <w:b w:val="0"/>
          <w:sz w:val="24"/>
        </w:rPr>
        <w:t>（4）自适应安全架构。未来的安全监测体系将具备自适应能力，能够根据网络环境变化和威胁态势演变自动调整监测策略和防护措施，实现动态安全防护。</w:t>
      </w:r>
    </w:p>
    <w:p w14:paraId="1DC7C9F2">
      <w:pPr>
        <w:spacing w:line="360" w:lineRule="auto"/>
        <w:ind w:firstLine="480"/>
      </w:pPr>
      <w:r>
        <w:rPr>
          <w:rFonts w:ascii="宋体" w:hAnsi="宋体" w:eastAsia="宋体"/>
          <w:b w:val="0"/>
          <w:sz w:val="24"/>
        </w:rPr>
        <w:t>我们期望通过本项目的扎实推进，为纺织园变电站奠定坚实的网络安全基础，为后续更高层次的安全能力建设创造条件，持续保障阿克苏地区电力供应的安全可靠。</w:t>
      </w:r>
    </w:p>
    <w:p w14:paraId="14746A1A">
      <w:r>
        <w:br w:type="page"/>
      </w:r>
    </w:p>
    <w:p w14:paraId="2E3916B3">
      <w:pPr>
        <w:pStyle w:val="4"/>
      </w:pPr>
      <w:r>
        <w:rPr>
          <w:rFonts w:ascii="黑体" w:hAnsi="黑体" w:eastAsia="黑体"/>
          <w:b/>
        </w:rPr>
        <w:t>八、工作规划描述</w:t>
      </w:r>
    </w:p>
    <w:p w14:paraId="26173CEC">
      <w:pPr>
        <w:pStyle w:val="5"/>
      </w:pPr>
      <w:r>
        <w:rPr>
          <w:rFonts w:ascii="黑体" w:hAnsi="黑体" w:eastAsia="黑体"/>
          <w:b/>
        </w:rPr>
        <w:t>8.1 工作总体规划</w:t>
      </w:r>
    </w:p>
    <w:p w14:paraId="6E9AB3AE">
      <w:pPr>
        <w:spacing w:line="360" w:lineRule="auto"/>
        <w:ind w:firstLine="480"/>
      </w:pPr>
      <w:r>
        <w:rPr>
          <w:rFonts w:ascii="宋体" w:hAnsi="宋体" w:eastAsia="宋体"/>
          <w:b w:val="0"/>
          <w:sz w:val="24"/>
        </w:rPr>
        <w:t>本项目工作规划按照"全面诊断、精准施策、分步实施、效果验证"的原则，将各项网络安全监测功能提升工作合理安排在项目实施周期内。总体工作分为三个主要阶段：</w:t>
      </w:r>
    </w:p>
    <w:p w14:paraId="166E1F79">
      <w:pPr>
        <w:spacing w:line="360" w:lineRule="auto"/>
        <w:ind w:firstLine="480"/>
      </w:pPr>
      <w:r>
        <w:rPr>
          <w:rFonts w:ascii="宋体" w:hAnsi="宋体" w:eastAsia="宋体"/>
          <w:b/>
          <w:sz w:val="24"/>
        </w:rPr>
        <w:t>第一阶段：诊断与方案阶段（第1-2周）</w:t>
      </w:r>
    </w:p>
    <w:p w14:paraId="6C1BF7CC">
      <w:pPr>
        <w:spacing w:line="360" w:lineRule="auto"/>
        <w:ind w:firstLine="480"/>
      </w:pPr>
      <w:r>
        <w:rPr>
          <w:rFonts w:ascii="宋体" w:hAnsi="宋体" w:eastAsia="宋体"/>
          <w:b w:val="0"/>
          <w:sz w:val="24"/>
        </w:rPr>
        <w:t>- 开展站内设备全面调研和信息收集</w:t>
      </w:r>
    </w:p>
    <w:p w14:paraId="4B5EB3B6">
      <w:pPr>
        <w:spacing w:line="360" w:lineRule="auto"/>
        <w:ind w:firstLine="480"/>
      </w:pPr>
      <w:r>
        <w:rPr>
          <w:rFonts w:ascii="宋体" w:hAnsi="宋体" w:eastAsia="宋体"/>
          <w:b w:val="0"/>
          <w:sz w:val="24"/>
        </w:rPr>
        <w:t>- 执行全面漏洞扫描和安全评估</w:t>
      </w:r>
    </w:p>
    <w:p w14:paraId="32E8F57B">
      <w:pPr>
        <w:spacing w:line="360" w:lineRule="auto"/>
        <w:ind w:firstLine="480"/>
      </w:pPr>
      <w:r>
        <w:rPr>
          <w:rFonts w:ascii="宋体" w:hAnsi="宋体" w:eastAsia="宋体"/>
          <w:b w:val="0"/>
          <w:sz w:val="24"/>
        </w:rPr>
        <w:t>- 分析安全监测现状和问题</w:t>
      </w:r>
    </w:p>
    <w:p w14:paraId="34301D57">
      <w:pPr>
        <w:spacing w:line="360" w:lineRule="auto"/>
        <w:ind w:firstLine="480"/>
      </w:pPr>
      <w:r>
        <w:rPr>
          <w:rFonts w:ascii="宋体" w:hAnsi="宋体" w:eastAsia="宋体"/>
          <w:b w:val="0"/>
          <w:sz w:val="24"/>
        </w:rPr>
        <w:t>- 编制各项提升工作的详细方案</w:t>
      </w:r>
    </w:p>
    <w:p w14:paraId="665FA623">
      <w:pPr>
        <w:spacing w:line="360" w:lineRule="auto"/>
        <w:ind w:firstLine="480"/>
      </w:pPr>
      <w:r>
        <w:rPr>
          <w:rFonts w:ascii="宋体" w:hAnsi="宋体" w:eastAsia="宋体"/>
          <w:b w:val="0"/>
          <w:sz w:val="24"/>
        </w:rPr>
        <w:t>- 方案评审和批准</w:t>
      </w:r>
    </w:p>
    <w:p w14:paraId="33CF35D6">
      <w:pPr>
        <w:spacing w:line="360" w:lineRule="auto"/>
        <w:ind w:firstLine="480"/>
      </w:pPr>
      <w:r>
        <w:rPr>
          <w:rFonts w:ascii="宋体" w:hAnsi="宋体" w:eastAsia="宋体"/>
          <w:b/>
          <w:sz w:val="24"/>
        </w:rPr>
        <w:t>第二阶段：实施阶段（第3-6周）</w:t>
      </w:r>
    </w:p>
    <w:p w14:paraId="6ECD31AB">
      <w:pPr>
        <w:spacing w:line="360" w:lineRule="auto"/>
        <w:ind w:firstLine="480"/>
      </w:pPr>
      <w:r>
        <w:rPr>
          <w:rFonts w:ascii="宋体" w:hAnsi="宋体" w:eastAsia="宋体"/>
          <w:b w:val="0"/>
          <w:sz w:val="24"/>
        </w:rPr>
        <w:t>- 高危漏洞优先修复</w:t>
      </w:r>
    </w:p>
    <w:p w14:paraId="3877CEAB">
      <w:pPr>
        <w:spacing w:line="360" w:lineRule="auto"/>
        <w:ind w:firstLine="480"/>
      </w:pPr>
      <w:r>
        <w:rPr>
          <w:rFonts w:ascii="宋体" w:hAnsi="宋体" w:eastAsia="宋体"/>
          <w:b w:val="0"/>
          <w:sz w:val="24"/>
        </w:rPr>
        <w:t>- 设备接入安全监测系统</w:t>
      </w:r>
    </w:p>
    <w:p w14:paraId="7347E998">
      <w:pPr>
        <w:spacing w:line="360" w:lineRule="auto"/>
        <w:ind w:firstLine="480"/>
      </w:pPr>
      <w:r>
        <w:rPr>
          <w:rFonts w:ascii="宋体" w:hAnsi="宋体" w:eastAsia="宋体"/>
          <w:b w:val="0"/>
          <w:sz w:val="24"/>
        </w:rPr>
        <w:t>- 不必要端口和服务封堵</w:t>
      </w:r>
    </w:p>
    <w:p w14:paraId="020E969B">
      <w:pPr>
        <w:spacing w:line="360" w:lineRule="auto"/>
        <w:ind w:firstLine="480"/>
      </w:pPr>
      <w:r>
        <w:rPr>
          <w:rFonts w:ascii="宋体" w:hAnsi="宋体" w:eastAsia="宋体"/>
          <w:b w:val="0"/>
          <w:sz w:val="24"/>
        </w:rPr>
        <w:t>- 设备安全加固实施</w:t>
      </w:r>
    </w:p>
    <w:p w14:paraId="43DCB8DF">
      <w:pPr>
        <w:spacing w:line="360" w:lineRule="auto"/>
        <w:ind w:firstLine="480"/>
      </w:pPr>
      <w:r>
        <w:rPr>
          <w:rFonts w:ascii="宋体" w:hAnsi="宋体" w:eastAsia="宋体"/>
          <w:b w:val="0"/>
          <w:sz w:val="24"/>
        </w:rPr>
        <w:t>- 代理软件接入策略合规整改</w:t>
      </w:r>
    </w:p>
    <w:p w14:paraId="04DA3146">
      <w:pPr>
        <w:spacing w:line="360" w:lineRule="auto"/>
        <w:ind w:firstLine="480"/>
      </w:pPr>
      <w:r>
        <w:rPr>
          <w:rFonts w:ascii="宋体" w:hAnsi="宋体" w:eastAsia="宋体"/>
          <w:b w:val="0"/>
          <w:sz w:val="24"/>
        </w:rPr>
        <w:t>- 二次设备辨识提升</w:t>
      </w:r>
    </w:p>
    <w:p w14:paraId="435A06E0">
      <w:pPr>
        <w:spacing w:line="360" w:lineRule="auto"/>
        <w:ind w:firstLine="480"/>
      </w:pPr>
      <w:r>
        <w:rPr>
          <w:rFonts w:ascii="宋体" w:hAnsi="宋体" w:eastAsia="宋体"/>
          <w:b w:val="0"/>
          <w:sz w:val="24"/>
        </w:rPr>
        <w:t>- 探针策略精细化调优（含基线采集和迭代优化）</w:t>
      </w:r>
    </w:p>
    <w:p w14:paraId="7D4092E9">
      <w:pPr>
        <w:spacing w:line="360" w:lineRule="auto"/>
        <w:ind w:firstLine="480"/>
      </w:pPr>
      <w:r>
        <w:rPr>
          <w:rFonts w:ascii="宋体" w:hAnsi="宋体" w:eastAsia="宋体"/>
          <w:b/>
          <w:sz w:val="24"/>
        </w:rPr>
        <w:t>第三阶段：验证与交付阶段（第7-8周）</w:t>
      </w:r>
    </w:p>
    <w:p w14:paraId="1BC62937">
      <w:pPr>
        <w:spacing w:line="360" w:lineRule="auto"/>
        <w:ind w:firstLine="480"/>
      </w:pPr>
      <w:r>
        <w:rPr>
          <w:rFonts w:ascii="宋体" w:hAnsi="宋体" w:eastAsia="宋体"/>
          <w:b w:val="0"/>
          <w:sz w:val="24"/>
        </w:rPr>
        <w:t>- 各项功能效果验证</w:t>
      </w:r>
    </w:p>
    <w:p w14:paraId="038F66EC">
      <w:pPr>
        <w:spacing w:line="360" w:lineRule="auto"/>
        <w:ind w:firstLine="480"/>
      </w:pPr>
      <w:r>
        <w:rPr>
          <w:rFonts w:ascii="宋体" w:hAnsi="宋体" w:eastAsia="宋体"/>
          <w:b w:val="0"/>
          <w:sz w:val="24"/>
        </w:rPr>
        <w:t>- 观察期监测（不少于7天）</w:t>
      </w:r>
    </w:p>
    <w:p w14:paraId="2AEEC6EF">
      <w:pPr>
        <w:spacing w:line="360" w:lineRule="auto"/>
        <w:ind w:firstLine="480"/>
      </w:pPr>
      <w:r>
        <w:rPr>
          <w:rFonts w:ascii="宋体" w:hAnsi="宋体" w:eastAsia="宋体"/>
          <w:b w:val="0"/>
          <w:sz w:val="24"/>
        </w:rPr>
        <w:t>- 问题整改和优化</w:t>
      </w:r>
    </w:p>
    <w:p w14:paraId="6DA893A7">
      <w:pPr>
        <w:spacing w:line="360" w:lineRule="auto"/>
        <w:ind w:firstLine="480"/>
      </w:pPr>
      <w:r>
        <w:rPr>
          <w:rFonts w:ascii="宋体" w:hAnsi="宋体" w:eastAsia="宋体"/>
          <w:b w:val="0"/>
          <w:sz w:val="24"/>
        </w:rPr>
        <w:t>- 文档编制和成果交付</w:t>
      </w:r>
    </w:p>
    <w:p w14:paraId="270FCD4E">
      <w:pPr>
        <w:spacing w:line="360" w:lineRule="auto"/>
        <w:ind w:firstLine="480"/>
      </w:pPr>
      <w:r>
        <w:rPr>
          <w:rFonts w:ascii="宋体" w:hAnsi="宋体" w:eastAsia="宋体"/>
          <w:b w:val="0"/>
          <w:sz w:val="24"/>
        </w:rPr>
        <w:t>- 项目验收</w:t>
      </w:r>
    </w:p>
    <w:p w14:paraId="08FBBBDD">
      <w:pPr>
        <w:pStyle w:val="5"/>
      </w:pPr>
      <w:r>
        <w:rPr>
          <w:rFonts w:ascii="黑体" w:hAnsi="黑体" w:eastAsia="黑体"/>
          <w:b/>
        </w:rPr>
        <w:t>8.2 人员配置规划</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729"/>
        <w:gridCol w:w="1729"/>
        <w:gridCol w:w="1729"/>
      </w:tblGrid>
      <w:tr w14:paraId="3FAE6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099817D7">
            <w:pPr>
              <w:spacing w:after="0"/>
              <w:jc w:val="center"/>
            </w:pPr>
            <w:r>
              <w:rPr>
                <w:rFonts w:ascii="宋体" w:hAnsi="宋体" w:eastAsia="宋体"/>
                <w:b/>
                <w:sz w:val="22"/>
              </w:rPr>
              <w:t>序号</w:t>
            </w:r>
          </w:p>
        </w:tc>
        <w:tc>
          <w:tcPr>
            <w:tcW w:w="1729" w:type="dxa"/>
          </w:tcPr>
          <w:p w14:paraId="503C8C59">
            <w:pPr>
              <w:spacing w:after="0"/>
              <w:jc w:val="center"/>
            </w:pPr>
            <w:r>
              <w:rPr>
                <w:rFonts w:ascii="宋体" w:hAnsi="宋体" w:eastAsia="宋体"/>
                <w:b/>
                <w:sz w:val="22"/>
              </w:rPr>
              <w:t>岗位</w:t>
            </w:r>
          </w:p>
        </w:tc>
        <w:tc>
          <w:tcPr>
            <w:tcW w:w="1729" w:type="dxa"/>
          </w:tcPr>
          <w:p w14:paraId="1AA36F44">
            <w:pPr>
              <w:spacing w:after="0"/>
              <w:jc w:val="center"/>
            </w:pPr>
            <w:r>
              <w:rPr>
                <w:rFonts w:ascii="宋体" w:hAnsi="宋体" w:eastAsia="宋体"/>
                <w:b/>
                <w:sz w:val="22"/>
              </w:rPr>
              <w:t>人数</w:t>
            </w:r>
          </w:p>
        </w:tc>
        <w:tc>
          <w:tcPr>
            <w:tcW w:w="1729" w:type="dxa"/>
          </w:tcPr>
          <w:p w14:paraId="03DC4CDF">
            <w:pPr>
              <w:spacing w:after="0"/>
              <w:jc w:val="center"/>
            </w:pPr>
            <w:r>
              <w:rPr>
                <w:rFonts w:ascii="宋体" w:hAnsi="宋体" w:eastAsia="宋体"/>
                <w:b/>
                <w:sz w:val="22"/>
              </w:rPr>
              <w:t>主要职责</w:t>
            </w:r>
          </w:p>
        </w:tc>
        <w:tc>
          <w:tcPr>
            <w:tcW w:w="1729" w:type="dxa"/>
          </w:tcPr>
          <w:p w14:paraId="2F167A68">
            <w:pPr>
              <w:spacing w:after="0"/>
              <w:jc w:val="center"/>
            </w:pPr>
            <w:r>
              <w:rPr>
                <w:rFonts w:ascii="宋体" w:hAnsi="宋体" w:eastAsia="宋体"/>
                <w:b/>
                <w:sz w:val="22"/>
              </w:rPr>
              <w:t>资质要求</w:t>
            </w:r>
          </w:p>
        </w:tc>
      </w:tr>
      <w:tr w14:paraId="37948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23554B92">
            <w:pPr>
              <w:spacing w:after="0"/>
            </w:pPr>
            <w:r>
              <w:rPr>
                <w:rFonts w:ascii="宋体" w:hAnsi="宋体" w:eastAsia="宋体"/>
                <w:sz w:val="22"/>
              </w:rPr>
              <w:t>1</w:t>
            </w:r>
          </w:p>
        </w:tc>
        <w:tc>
          <w:tcPr>
            <w:tcW w:w="1729" w:type="dxa"/>
          </w:tcPr>
          <w:p w14:paraId="5CA05E9D">
            <w:pPr>
              <w:spacing w:after="0"/>
            </w:pPr>
            <w:r>
              <w:rPr>
                <w:rFonts w:ascii="宋体" w:hAnsi="宋体" w:eastAsia="宋体"/>
                <w:sz w:val="22"/>
              </w:rPr>
              <w:t>项目负责人</w:t>
            </w:r>
          </w:p>
        </w:tc>
        <w:tc>
          <w:tcPr>
            <w:tcW w:w="1729" w:type="dxa"/>
          </w:tcPr>
          <w:p w14:paraId="55143FF5">
            <w:pPr>
              <w:spacing w:after="0"/>
            </w:pPr>
            <w:r>
              <w:rPr>
                <w:rFonts w:ascii="宋体" w:hAnsi="宋体" w:eastAsia="宋体"/>
                <w:sz w:val="22"/>
              </w:rPr>
              <w:t>1</w:t>
            </w:r>
          </w:p>
        </w:tc>
        <w:tc>
          <w:tcPr>
            <w:tcW w:w="1729" w:type="dxa"/>
          </w:tcPr>
          <w:p w14:paraId="659577D5">
            <w:pPr>
              <w:spacing w:after="0"/>
            </w:pPr>
            <w:r>
              <w:rPr>
                <w:rFonts w:ascii="宋体" w:hAnsi="宋体" w:eastAsia="宋体"/>
                <w:sz w:val="22"/>
              </w:rPr>
              <w:t>项目管理和协调</w:t>
            </w:r>
          </w:p>
        </w:tc>
        <w:tc>
          <w:tcPr>
            <w:tcW w:w="1729" w:type="dxa"/>
          </w:tcPr>
          <w:p w14:paraId="2E687F33">
            <w:pPr>
              <w:spacing w:after="0"/>
            </w:pPr>
            <w:r>
              <w:rPr>
                <w:rFonts w:ascii="宋体" w:hAnsi="宋体" w:eastAsia="宋体"/>
                <w:sz w:val="22"/>
              </w:rPr>
              <w:t>高级工程师，网络安全专业</w:t>
            </w:r>
          </w:p>
        </w:tc>
      </w:tr>
      <w:tr w14:paraId="7E032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518BB5D4">
            <w:pPr>
              <w:spacing w:after="0"/>
            </w:pPr>
            <w:r>
              <w:rPr>
                <w:rFonts w:ascii="宋体" w:hAnsi="宋体" w:eastAsia="宋体"/>
                <w:sz w:val="22"/>
              </w:rPr>
              <w:t>2</w:t>
            </w:r>
          </w:p>
        </w:tc>
        <w:tc>
          <w:tcPr>
            <w:tcW w:w="1729" w:type="dxa"/>
          </w:tcPr>
          <w:p w14:paraId="6F98B3BA">
            <w:pPr>
              <w:spacing w:after="0"/>
            </w:pPr>
            <w:r>
              <w:rPr>
                <w:rFonts w:ascii="宋体" w:hAnsi="宋体" w:eastAsia="宋体"/>
                <w:sz w:val="22"/>
              </w:rPr>
              <w:t>安全评估工程师</w:t>
            </w:r>
          </w:p>
        </w:tc>
        <w:tc>
          <w:tcPr>
            <w:tcW w:w="1729" w:type="dxa"/>
          </w:tcPr>
          <w:p w14:paraId="5AAE8868">
            <w:pPr>
              <w:spacing w:after="0"/>
            </w:pPr>
            <w:r>
              <w:rPr>
                <w:rFonts w:ascii="宋体" w:hAnsi="宋体" w:eastAsia="宋体"/>
                <w:sz w:val="22"/>
              </w:rPr>
              <w:t>1</w:t>
            </w:r>
          </w:p>
        </w:tc>
        <w:tc>
          <w:tcPr>
            <w:tcW w:w="1729" w:type="dxa"/>
          </w:tcPr>
          <w:p w14:paraId="63378DC3">
            <w:pPr>
              <w:spacing w:after="0"/>
            </w:pPr>
            <w:r>
              <w:rPr>
                <w:rFonts w:ascii="宋体" w:hAnsi="宋体" w:eastAsia="宋体"/>
                <w:sz w:val="22"/>
              </w:rPr>
              <w:t>漏洞扫描和风险评估</w:t>
            </w:r>
          </w:p>
        </w:tc>
        <w:tc>
          <w:tcPr>
            <w:tcW w:w="1729" w:type="dxa"/>
          </w:tcPr>
          <w:p w14:paraId="6AF45382">
            <w:pPr>
              <w:spacing w:after="0"/>
            </w:pPr>
            <w:r>
              <w:rPr>
                <w:rFonts w:ascii="宋体" w:hAnsi="宋体" w:eastAsia="宋体"/>
                <w:sz w:val="22"/>
              </w:rPr>
              <w:t>持有CISP或同等资质</w:t>
            </w:r>
          </w:p>
        </w:tc>
      </w:tr>
      <w:tr w14:paraId="5E835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301B4C7D">
            <w:pPr>
              <w:spacing w:after="0"/>
            </w:pPr>
            <w:r>
              <w:rPr>
                <w:rFonts w:ascii="宋体" w:hAnsi="宋体" w:eastAsia="宋体"/>
                <w:sz w:val="22"/>
              </w:rPr>
              <w:t>3</w:t>
            </w:r>
          </w:p>
        </w:tc>
        <w:tc>
          <w:tcPr>
            <w:tcW w:w="1729" w:type="dxa"/>
          </w:tcPr>
          <w:p w14:paraId="6030C82A">
            <w:pPr>
              <w:spacing w:after="0"/>
            </w:pPr>
            <w:r>
              <w:rPr>
                <w:rFonts w:ascii="宋体" w:hAnsi="宋体" w:eastAsia="宋体"/>
                <w:sz w:val="22"/>
              </w:rPr>
              <w:t>安全加固工程师</w:t>
            </w:r>
          </w:p>
        </w:tc>
        <w:tc>
          <w:tcPr>
            <w:tcW w:w="1729" w:type="dxa"/>
          </w:tcPr>
          <w:p w14:paraId="4FEAECA8">
            <w:pPr>
              <w:spacing w:after="0"/>
            </w:pPr>
            <w:r>
              <w:rPr>
                <w:rFonts w:ascii="宋体" w:hAnsi="宋体" w:eastAsia="宋体"/>
                <w:sz w:val="22"/>
              </w:rPr>
              <w:t>2</w:t>
            </w:r>
          </w:p>
        </w:tc>
        <w:tc>
          <w:tcPr>
            <w:tcW w:w="1729" w:type="dxa"/>
          </w:tcPr>
          <w:p w14:paraId="56DE3A89">
            <w:pPr>
              <w:spacing w:after="0"/>
            </w:pPr>
            <w:r>
              <w:rPr>
                <w:rFonts w:ascii="宋体" w:hAnsi="宋体" w:eastAsia="宋体"/>
                <w:sz w:val="22"/>
              </w:rPr>
              <w:t>设备加固和漏洞修复</w:t>
            </w:r>
          </w:p>
        </w:tc>
        <w:tc>
          <w:tcPr>
            <w:tcW w:w="1729" w:type="dxa"/>
          </w:tcPr>
          <w:p w14:paraId="2A910557">
            <w:pPr>
              <w:spacing w:after="0"/>
            </w:pPr>
            <w:r>
              <w:rPr>
                <w:rFonts w:ascii="宋体" w:hAnsi="宋体" w:eastAsia="宋体"/>
                <w:sz w:val="22"/>
              </w:rPr>
              <w:t>电力监控系统运维经验</w:t>
            </w:r>
          </w:p>
        </w:tc>
      </w:tr>
      <w:tr w14:paraId="46BE3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0CBF1843">
            <w:pPr>
              <w:spacing w:after="0"/>
            </w:pPr>
            <w:r>
              <w:rPr>
                <w:rFonts w:ascii="宋体" w:hAnsi="宋体" w:eastAsia="宋体"/>
                <w:sz w:val="22"/>
              </w:rPr>
              <w:t>4</w:t>
            </w:r>
          </w:p>
        </w:tc>
        <w:tc>
          <w:tcPr>
            <w:tcW w:w="1729" w:type="dxa"/>
          </w:tcPr>
          <w:p w14:paraId="50AC470F">
            <w:pPr>
              <w:spacing w:after="0"/>
            </w:pPr>
            <w:r>
              <w:rPr>
                <w:rFonts w:ascii="宋体" w:hAnsi="宋体" w:eastAsia="宋体"/>
                <w:sz w:val="22"/>
              </w:rPr>
              <w:t>监测系统工程师</w:t>
            </w:r>
          </w:p>
        </w:tc>
        <w:tc>
          <w:tcPr>
            <w:tcW w:w="1729" w:type="dxa"/>
          </w:tcPr>
          <w:p w14:paraId="284493A6">
            <w:pPr>
              <w:spacing w:after="0"/>
            </w:pPr>
            <w:r>
              <w:rPr>
                <w:rFonts w:ascii="宋体" w:hAnsi="宋体" w:eastAsia="宋体"/>
                <w:sz w:val="22"/>
              </w:rPr>
              <w:t>2</w:t>
            </w:r>
          </w:p>
        </w:tc>
        <w:tc>
          <w:tcPr>
            <w:tcW w:w="1729" w:type="dxa"/>
          </w:tcPr>
          <w:p w14:paraId="529DEAC4">
            <w:pPr>
              <w:spacing w:after="0"/>
            </w:pPr>
            <w:r>
              <w:rPr>
                <w:rFonts w:ascii="宋体" w:hAnsi="宋体" w:eastAsia="宋体"/>
                <w:sz w:val="22"/>
              </w:rPr>
              <w:t>设备接入和策略调优</w:t>
            </w:r>
          </w:p>
        </w:tc>
        <w:tc>
          <w:tcPr>
            <w:tcW w:w="1729" w:type="dxa"/>
          </w:tcPr>
          <w:p w14:paraId="45480507">
            <w:pPr>
              <w:spacing w:after="0"/>
            </w:pPr>
            <w:r>
              <w:rPr>
                <w:rFonts w:ascii="宋体" w:hAnsi="宋体" w:eastAsia="宋体"/>
                <w:sz w:val="22"/>
              </w:rPr>
              <w:t>熟悉安全监测系统</w:t>
            </w:r>
          </w:p>
        </w:tc>
      </w:tr>
      <w:tr w14:paraId="6DA65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4D8C5BB4">
            <w:pPr>
              <w:spacing w:after="0"/>
            </w:pPr>
            <w:r>
              <w:rPr>
                <w:rFonts w:ascii="宋体" w:hAnsi="宋体" w:eastAsia="宋体"/>
                <w:sz w:val="22"/>
              </w:rPr>
              <w:t>5</w:t>
            </w:r>
          </w:p>
        </w:tc>
        <w:tc>
          <w:tcPr>
            <w:tcW w:w="1729" w:type="dxa"/>
          </w:tcPr>
          <w:p w14:paraId="7F00D6C9">
            <w:pPr>
              <w:spacing w:after="0"/>
            </w:pPr>
            <w:r>
              <w:rPr>
                <w:rFonts w:ascii="宋体" w:hAnsi="宋体" w:eastAsia="宋体"/>
                <w:sz w:val="22"/>
              </w:rPr>
              <w:t>验证测试工程师</w:t>
            </w:r>
          </w:p>
        </w:tc>
        <w:tc>
          <w:tcPr>
            <w:tcW w:w="1729" w:type="dxa"/>
          </w:tcPr>
          <w:p w14:paraId="34BD6049">
            <w:pPr>
              <w:spacing w:after="0"/>
            </w:pPr>
            <w:r>
              <w:rPr>
                <w:rFonts w:ascii="宋体" w:hAnsi="宋体" w:eastAsia="宋体"/>
                <w:sz w:val="22"/>
              </w:rPr>
              <w:t>1</w:t>
            </w:r>
          </w:p>
        </w:tc>
        <w:tc>
          <w:tcPr>
            <w:tcW w:w="1729" w:type="dxa"/>
          </w:tcPr>
          <w:p w14:paraId="07021FAF">
            <w:pPr>
              <w:spacing w:after="0"/>
            </w:pPr>
            <w:r>
              <w:rPr>
                <w:rFonts w:ascii="宋体" w:hAnsi="宋体" w:eastAsia="宋体"/>
                <w:sz w:val="22"/>
              </w:rPr>
              <w:t>功能验证和效果评估</w:t>
            </w:r>
          </w:p>
        </w:tc>
        <w:tc>
          <w:tcPr>
            <w:tcW w:w="1729" w:type="dxa"/>
          </w:tcPr>
          <w:p w14:paraId="1F1F04AE">
            <w:pPr>
              <w:spacing w:after="0"/>
            </w:pPr>
            <w:r>
              <w:rPr>
                <w:rFonts w:ascii="宋体" w:hAnsi="宋体" w:eastAsia="宋体"/>
                <w:sz w:val="22"/>
              </w:rPr>
              <w:t>具备安全测试能力</w:t>
            </w:r>
          </w:p>
        </w:tc>
      </w:tr>
    </w:tbl>
    <w:p w14:paraId="2F2D1A67"/>
    <w:p w14:paraId="3B2C87A1">
      <w:pPr>
        <w:pStyle w:val="5"/>
      </w:pPr>
      <w:r>
        <w:rPr>
          <w:rFonts w:ascii="黑体" w:hAnsi="黑体" w:eastAsia="黑体"/>
          <w:b/>
        </w:rPr>
        <w:t>8.3 质量保障措施</w:t>
      </w:r>
    </w:p>
    <w:p w14:paraId="6AC28462">
      <w:pPr>
        <w:spacing w:line="360" w:lineRule="auto"/>
        <w:ind w:firstLine="480"/>
      </w:pPr>
      <w:r>
        <w:rPr>
          <w:rFonts w:ascii="宋体" w:hAnsi="宋体" w:eastAsia="宋体"/>
          <w:b w:val="0"/>
          <w:sz w:val="24"/>
        </w:rPr>
        <w:t>（1）方案评审制度。所有实施方案须经项目团队内部评审和阿克苏供电公司审批后方可实施，确保方案的合理性和安全性。</w:t>
      </w:r>
    </w:p>
    <w:p w14:paraId="4F02B450">
      <w:pPr>
        <w:spacing w:line="360" w:lineRule="auto"/>
        <w:ind w:firstLine="480"/>
      </w:pPr>
      <w:r>
        <w:rPr>
          <w:rFonts w:ascii="宋体" w:hAnsi="宋体" w:eastAsia="宋体"/>
          <w:b w:val="0"/>
          <w:sz w:val="24"/>
        </w:rPr>
        <w:t>（2）双人操作制度。所有涉及设备操作的工作均采用双人制度，一人操作一人监督，确保操作正确性。</w:t>
      </w:r>
    </w:p>
    <w:p w14:paraId="26451D86">
      <w:pPr>
        <w:spacing w:line="360" w:lineRule="auto"/>
        <w:ind w:firstLine="480"/>
      </w:pPr>
      <w:r>
        <w:rPr>
          <w:rFonts w:ascii="宋体" w:hAnsi="宋体" w:eastAsia="宋体"/>
          <w:b w:val="0"/>
          <w:sz w:val="24"/>
        </w:rPr>
        <w:t>（3）变更管理制度。任何超出方案范围的操作变更，须经评估审批后方可实施，确保变更的可控性。</w:t>
      </w:r>
    </w:p>
    <w:p w14:paraId="5E2178F0">
      <w:pPr>
        <w:spacing w:line="360" w:lineRule="auto"/>
        <w:ind w:firstLine="480"/>
      </w:pPr>
      <w:r>
        <w:rPr>
          <w:rFonts w:ascii="宋体" w:hAnsi="宋体" w:eastAsia="宋体"/>
          <w:b w:val="0"/>
          <w:sz w:val="24"/>
        </w:rPr>
        <w:t>（4）验证确认制度。每项工作完成后必须进行验证确认，验证通过后方可进行下一项工作。</w:t>
      </w:r>
    </w:p>
    <w:p w14:paraId="2CA48A32">
      <w:pPr>
        <w:spacing w:line="360" w:lineRule="auto"/>
        <w:ind w:firstLine="480"/>
      </w:pPr>
      <w:r>
        <w:rPr>
          <w:rFonts w:ascii="宋体" w:hAnsi="宋体" w:eastAsia="宋体"/>
          <w:b w:val="0"/>
          <w:sz w:val="24"/>
        </w:rPr>
        <w:t>（5）问题跟踪制度。实施过程中发现的问题记录在案，分析原因制定措施，跟踪闭环。</w:t>
      </w:r>
    </w:p>
    <w:p w14:paraId="053EBF76">
      <w:r>
        <w:br w:type="page"/>
      </w:r>
    </w:p>
    <w:p w14:paraId="30A4D7C1">
      <w:pPr>
        <w:pStyle w:val="4"/>
      </w:pPr>
      <w:r>
        <w:rPr>
          <w:rFonts w:ascii="黑体" w:hAnsi="黑体" w:eastAsia="黑体"/>
          <w:b/>
        </w:rPr>
        <w:t>九、项目实施规模、范围</w:t>
      </w:r>
    </w:p>
    <w:p w14:paraId="3776AD78">
      <w:pPr>
        <w:pStyle w:val="5"/>
      </w:pPr>
      <w:r>
        <w:rPr>
          <w:rFonts w:ascii="黑体" w:hAnsi="黑体" w:eastAsia="黑体"/>
          <w:b/>
        </w:rPr>
        <w:t>9.1 项目实施规模</w:t>
      </w:r>
    </w:p>
    <w:p w14:paraId="78CD3EDA">
      <w:pPr>
        <w:spacing w:line="360" w:lineRule="auto"/>
        <w:ind w:firstLine="480"/>
      </w:pPr>
      <w:r>
        <w:rPr>
          <w:rFonts w:ascii="宋体" w:hAnsi="宋体" w:eastAsia="宋体"/>
          <w:b w:val="0"/>
          <w:sz w:val="24"/>
        </w:rPr>
        <w:t>本项目的实施规模为：1座变电站（220kV纺织园变电站），涉及该站内所有需要纳入网络安全监测管理的电力监控系统设备和网络安全设备。</w:t>
      </w:r>
    </w:p>
    <w:p w14:paraId="5BB453EB">
      <w:pPr>
        <w:spacing w:line="360" w:lineRule="auto"/>
        <w:ind w:firstLine="480"/>
      </w:pPr>
      <w:r>
        <w:rPr>
          <w:rFonts w:ascii="宋体" w:hAnsi="宋体" w:eastAsia="宋体"/>
          <w:b w:val="0"/>
          <w:sz w:val="24"/>
        </w:rPr>
        <w:t>具体实施设备规模包括：</w:t>
      </w:r>
    </w:p>
    <w:p w14:paraId="219F4B06">
      <w:pPr>
        <w:spacing w:line="360" w:lineRule="auto"/>
        <w:ind w:firstLine="480"/>
      </w:pPr>
      <w:r>
        <w:rPr>
          <w:rFonts w:ascii="宋体" w:hAnsi="宋体" w:eastAsia="宋体"/>
          <w:b w:val="0"/>
          <w:sz w:val="24"/>
        </w:rPr>
        <w:t>（1）保护测控装置：包括220kV线路保护、母线保护、变压器保护、测控装置等。</w:t>
      </w:r>
    </w:p>
    <w:p w14:paraId="10185525">
      <w:pPr>
        <w:spacing w:line="360" w:lineRule="auto"/>
        <w:ind w:firstLine="480"/>
      </w:pPr>
      <w:r>
        <w:rPr>
          <w:rFonts w:ascii="宋体" w:hAnsi="宋体" w:eastAsia="宋体"/>
          <w:b w:val="0"/>
          <w:sz w:val="24"/>
        </w:rPr>
        <w:t>（2）自动化设备：包括监控后台、远动装置、通信网关机等。</w:t>
      </w:r>
    </w:p>
    <w:p w14:paraId="7A114C7C">
      <w:pPr>
        <w:spacing w:line="360" w:lineRule="auto"/>
        <w:ind w:firstLine="480"/>
      </w:pPr>
      <w:r>
        <w:rPr>
          <w:rFonts w:ascii="宋体" w:hAnsi="宋体" w:eastAsia="宋体"/>
          <w:b w:val="0"/>
          <w:sz w:val="24"/>
        </w:rPr>
        <w:t>（3）网络设备：包括交换机、路由器等网络通信设备。</w:t>
      </w:r>
    </w:p>
    <w:p w14:paraId="37905A97">
      <w:pPr>
        <w:spacing w:line="360" w:lineRule="auto"/>
        <w:ind w:firstLine="480"/>
      </w:pPr>
      <w:r>
        <w:rPr>
          <w:rFonts w:ascii="宋体" w:hAnsi="宋体" w:eastAsia="宋体"/>
          <w:b w:val="0"/>
          <w:sz w:val="24"/>
        </w:rPr>
        <w:t>（4）安全设备：包括防火墙、隔离装置、安全监测探针、安全审计设备等。</w:t>
      </w:r>
    </w:p>
    <w:p w14:paraId="10909AE1">
      <w:pPr>
        <w:spacing w:line="360" w:lineRule="auto"/>
        <w:ind w:firstLine="480"/>
      </w:pPr>
      <w:r>
        <w:rPr>
          <w:rFonts w:ascii="宋体" w:hAnsi="宋体" w:eastAsia="宋体"/>
          <w:b w:val="0"/>
          <w:sz w:val="24"/>
        </w:rPr>
        <w:t>（5）辅助设备：包括故障录波器、网络报文记录装置等。</w:t>
      </w:r>
    </w:p>
    <w:p w14:paraId="7FCC72DE">
      <w:pPr>
        <w:pStyle w:val="5"/>
      </w:pPr>
      <w:r>
        <w:rPr>
          <w:rFonts w:ascii="黑体" w:hAnsi="黑体" w:eastAsia="黑体"/>
          <w:b/>
        </w:rPr>
        <w:t>9.2 项目实施范围</w:t>
      </w:r>
    </w:p>
    <w:p w14:paraId="6AB64927">
      <w:pPr>
        <w:spacing w:line="360" w:lineRule="auto"/>
        <w:ind w:firstLine="480"/>
      </w:pPr>
      <w:r>
        <w:rPr>
          <w:rFonts w:ascii="宋体" w:hAnsi="宋体" w:eastAsia="宋体"/>
          <w:b w:val="0"/>
          <w:sz w:val="24"/>
        </w:rPr>
        <w:t>本项目实施范围涵盖以下六大工作板块：</w:t>
      </w:r>
    </w:p>
    <w:p w14:paraId="26CD9442">
      <w:pPr>
        <w:spacing w:line="360" w:lineRule="auto"/>
        <w:ind w:firstLine="480"/>
      </w:pPr>
      <w:r>
        <w:rPr>
          <w:rFonts w:ascii="宋体" w:hAnsi="宋体" w:eastAsia="宋体"/>
          <w:b/>
          <w:sz w:val="24"/>
        </w:rPr>
        <w:t>（1）设备接入安全监测系统</w:t>
      </w:r>
    </w:p>
    <w:p w14:paraId="5B02D8E0">
      <w:pPr>
        <w:spacing w:line="360" w:lineRule="auto"/>
        <w:ind w:firstLine="480"/>
      </w:pPr>
      <w:r>
        <w:rPr>
          <w:rFonts w:ascii="宋体" w:hAnsi="宋体" w:eastAsia="宋体"/>
          <w:b w:val="0"/>
          <w:sz w:val="24"/>
        </w:rPr>
        <w:t>将站内所有应纳入安全监测管理的设备接入统一的安全监测系统，实现安全告警的全面采集和集中管理。包括接入方案设计、接口配置、数据采集验证等。</w:t>
      </w:r>
    </w:p>
    <w:p w14:paraId="4B182071">
      <w:pPr>
        <w:spacing w:line="360" w:lineRule="auto"/>
        <w:ind w:firstLine="480"/>
      </w:pPr>
      <w:r>
        <w:rPr>
          <w:rFonts w:ascii="宋体" w:hAnsi="宋体" w:eastAsia="宋体"/>
          <w:b/>
          <w:sz w:val="24"/>
        </w:rPr>
        <w:t>（2）探针策略精细化调优</w:t>
      </w:r>
    </w:p>
    <w:p w14:paraId="35EB9D84">
      <w:pPr>
        <w:spacing w:line="360" w:lineRule="auto"/>
        <w:ind w:firstLine="480"/>
      </w:pPr>
      <w:r>
        <w:rPr>
          <w:rFonts w:ascii="宋体" w:hAnsi="宋体" w:eastAsia="宋体"/>
          <w:b w:val="0"/>
          <w:sz w:val="24"/>
        </w:rPr>
        <w:t>对站内部署的网络安全监测探针的检测策略进行精细化调优，通过流量基线分析、策略规则优化、阈值参数调整等措施，提升监测的准确性和有效性。</w:t>
      </w:r>
    </w:p>
    <w:p w14:paraId="1ACD74A3">
      <w:pPr>
        <w:spacing w:line="360" w:lineRule="auto"/>
        <w:ind w:firstLine="480"/>
      </w:pPr>
      <w:r>
        <w:rPr>
          <w:rFonts w:ascii="宋体" w:hAnsi="宋体" w:eastAsia="宋体"/>
          <w:b/>
          <w:sz w:val="24"/>
        </w:rPr>
        <w:t>（3）设备安全加固</w:t>
      </w:r>
    </w:p>
    <w:p w14:paraId="264A92A8">
      <w:pPr>
        <w:spacing w:line="360" w:lineRule="auto"/>
        <w:ind w:firstLine="480"/>
      </w:pPr>
      <w:r>
        <w:rPr>
          <w:rFonts w:ascii="宋体" w:hAnsi="宋体" w:eastAsia="宋体"/>
          <w:b w:val="0"/>
          <w:sz w:val="24"/>
        </w:rPr>
        <w:t>对站内设备按照安全基线标准进行加固，包括关闭不必要的服务和功能、修改默认配置、强化账号口令管理、配置安全审计功能等。</w:t>
      </w:r>
    </w:p>
    <w:p w14:paraId="51F4D9AC">
      <w:pPr>
        <w:spacing w:line="360" w:lineRule="auto"/>
        <w:ind w:firstLine="480"/>
      </w:pPr>
      <w:r>
        <w:rPr>
          <w:rFonts w:ascii="宋体" w:hAnsi="宋体" w:eastAsia="宋体"/>
          <w:b/>
          <w:sz w:val="24"/>
        </w:rPr>
        <w:t>（4）漏洞扫描与修复</w:t>
      </w:r>
    </w:p>
    <w:p w14:paraId="21509234">
      <w:pPr>
        <w:spacing w:line="360" w:lineRule="auto"/>
        <w:ind w:firstLine="480"/>
      </w:pPr>
      <w:r>
        <w:rPr>
          <w:rFonts w:ascii="宋体" w:hAnsi="宋体" w:eastAsia="宋体"/>
          <w:b w:val="0"/>
          <w:sz w:val="24"/>
        </w:rPr>
        <w:t>对站内设备进行全面的安全漏洞扫描，识别存在的高危、中危、低危漏洞，并按照风险等级制定修复方案进行修复或缓解。</w:t>
      </w:r>
    </w:p>
    <w:p w14:paraId="06889E2F">
      <w:pPr>
        <w:spacing w:line="360" w:lineRule="auto"/>
        <w:ind w:firstLine="480"/>
      </w:pPr>
      <w:r>
        <w:rPr>
          <w:rFonts w:ascii="宋体" w:hAnsi="宋体" w:eastAsia="宋体"/>
          <w:b/>
          <w:sz w:val="24"/>
        </w:rPr>
        <w:t>（5）二次辨识提升</w:t>
      </w:r>
    </w:p>
    <w:p w14:paraId="1B387760">
      <w:pPr>
        <w:spacing w:line="360" w:lineRule="auto"/>
        <w:ind w:firstLine="480"/>
      </w:pPr>
      <w:r>
        <w:rPr>
          <w:rFonts w:ascii="宋体" w:hAnsi="宋体" w:eastAsia="宋体"/>
          <w:b w:val="0"/>
          <w:sz w:val="24"/>
        </w:rPr>
        <w:t>完善安全监测系统对站内二次设备的网络特征辨识能力，准确识别各设备的通信协议、数据流特征和行为模式，提升异常行为判别的准确性。</w:t>
      </w:r>
    </w:p>
    <w:p w14:paraId="3799FBA2">
      <w:pPr>
        <w:spacing w:line="360" w:lineRule="auto"/>
        <w:ind w:firstLine="480"/>
      </w:pPr>
      <w:r>
        <w:rPr>
          <w:rFonts w:ascii="宋体" w:hAnsi="宋体" w:eastAsia="宋体"/>
          <w:b/>
          <w:sz w:val="24"/>
        </w:rPr>
        <w:t>（6）端口封堵</w:t>
      </w:r>
    </w:p>
    <w:p w14:paraId="2B90B7FD">
      <w:pPr>
        <w:spacing w:line="360" w:lineRule="auto"/>
        <w:ind w:firstLine="480"/>
      </w:pPr>
      <w:r>
        <w:rPr>
          <w:rFonts w:ascii="宋体" w:hAnsi="宋体" w:eastAsia="宋体"/>
          <w:b w:val="0"/>
          <w:sz w:val="24"/>
        </w:rPr>
        <w:t>对站内设备开放的不必要网络端口和服务进行封堵关闭，减少网络攻击暴露面，降低被攻击利用的风险。</w:t>
      </w:r>
    </w:p>
    <w:p w14:paraId="4251071C">
      <w:pPr>
        <w:pStyle w:val="5"/>
      </w:pPr>
      <w:r>
        <w:rPr>
          <w:rFonts w:ascii="黑体" w:hAnsi="黑体" w:eastAsia="黑体"/>
          <w:b/>
        </w:rPr>
        <w:t>9.3 实施边界说明</w:t>
      </w:r>
    </w:p>
    <w:p w14:paraId="7796FCF8">
      <w:pPr>
        <w:spacing w:line="360" w:lineRule="auto"/>
        <w:ind w:firstLine="480"/>
      </w:pPr>
      <w:r>
        <w:rPr>
          <w:rFonts w:ascii="宋体" w:hAnsi="宋体" w:eastAsia="宋体"/>
          <w:b w:val="0"/>
          <w:sz w:val="24"/>
        </w:rPr>
        <w:t>（1）本项目实施范围限于220kV纺织园变电站站内，不包括站外通信链路和远端系统。</w:t>
      </w:r>
    </w:p>
    <w:p w14:paraId="3CB0DB07">
      <w:pPr>
        <w:spacing w:line="360" w:lineRule="auto"/>
        <w:ind w:firstLine="480"/>
      </w:pPr>
      <w:r>
        <w:rPr>
          <w:rFonts w:ascii="宋体" w:hAnsi="宋体" w:eastAsia="宋体"/>
          <w:b w:val="0"/>
          <w:sz w:val="24"/>
        </w:rPr>
        <w:t>（2）项目以网络安全监测功能提升为核心，不涉及站内电力设备一次回路和保护逻辑的修改。</w:t>
      </w:r>
    </w:p>
    <w:p w14:paraId="0A6BCC21">
      <w:pPr>
        <w:spacing w:line="360" w:lineRule="auto"/>
        <w:ind w:firstLine="480"/>
      </w:pPr>
      <w:r>
        <w:rPr>
          <w:rFonts w:ascii="宋体" w:hAnsi="宋体" w:eastAsia="宋体"/>
          <w:b w:val="0"/>
          <w:sz w:val="24"/>
        </w:rPr>
        <w:t>（3）设备加固和漏洞修复以不影响设备正常功能为前提，对于修复可能影响设备功能的漏洞，采取缓解措施而非直接修补。</w:t>
      </w:r>
    </w:p>
    <w:p w14:paraId="04009E5A">
      <w:pPr>
        <w:spacing w:line="360" w:lineRule="auto"/>
        <w:ind w:firstLine="480"/>
      </w:pPr>
      <w:r>
        <w:rPr>
          <w:rFonts w:ascii="宋体" w:hAnsi="宋体" w:eastAsia="宋体"/>
          <w:b w:val="0"/>
          <w:sz w:val="24"/>
        </w:rPr>
        <w:t>（4）探针策略调优以该站网络环境为基础，调优后的策略仅适用于该站，不直接适用于其他变电站。</w:t>
      </w:r>
    </w:p>
    <w:p w14:paraId="17190A30">
      <w:r>
        <w:br w:type="page"/>
      </w:r>
    </w:p>
    <w:p w14:paraId="1A80D5AB">
      <w:pPr>
        <w:pStyle w:val="4"/>
      </w:pPr>
      <w:r>
        <w:rPr>
          <w:rFonts w:ascii="黑体" w:hAnsi="黑体" w:eastAsia="黑体"/>
          <w:b/>
        </w:rPr>
        <w:t>十、项目建设依据</w:t>
      </w:r>
    </w:p>
    <w:p w14:paraId="030B2565">
      <w:pPr>
        <w:pStyle w:val="5"/>
      </w:pPr>
      <w:r>
        <w:rPr>
          <w:rFonts w:ascii="黑体" w:hAnsi="黑体" w:eastAsia="黑体"/>
          <w:b/>
        </w:rPr>
        <w:t>10.1 国家法律法规</w:t>
      </w:r>
    </w:p>
    <w:p w14:paraId="694E0D99">
      <w:pPr>
        <w:spacing w:line="360" w:lineRule="auto"/>
        <w:ind w:firstLine="480"/>
      </w:pPr>
      <w:r>
        <w:rPr>
          <w:rFonts w:ascii="宋体" w:hAnsi="宋体" w:eastAsia="宋体"/>
          <w:b w:val="0"/>
          <w:sz w:val="24"/>
        </w:rPr>
        <w:t>（1）《中华人民共和国网络安全法》——确立了网络安全的基本法律框架，明确了关键信息基础设施运营者的安全保护义务。</w:t>
      </w:r>
    </w:p>
    <w:p w14:paraId="663216A0">
      <w:pPr>
        <w:spacing w:line="360" w:lineRule="auto"/>
        <w:ind w:firstLine="480"/>
      </w:pPr>
      <w:r>
        <w:rPr>
          <w:rFonts w:ascii="宋体" w:hAnsi="宋体" w:eastAsia="宋体"/>
          <w:b w:val="0"/>
          <w:sz w:val="24"/>
        </w:rPr>
        <w:t>（2）《中华人民共和国数据安全法》——规定了数据安全保护的基本要求和法律责任。</w:t>
      </w:r>
    </w:p>
    <w:p w14:paraId="6581B024">
      <w:pPr>
        <w:spacing w:line="360" w:lineRule="auto"/>
        <w:ind w:firstLine="480"/>
      </w:pPr>
      <w:r>
        <w:rPr>
          <w:rFonts w:ascii="宋体" w:hAnsi="宋体" w:eastAsia="宋体"/>
          <w:b w:val="0"/>
          <w:sz w:val="24"/>
        </w:rPr>
        <w:t>（3）《关键信息基础设施安全保护条例》——明确了关键信息基础设施安全保护的制度安排和具体措施。</w:t>
      </w:r>
    </w:p>
    <w:p w14:paraId="46FF5EC2">
      <w:pPr>
        <w:spacing w:line="360" w:lineRule="auto"/>
        <w:ind w:firstLine="480"/>
      </w:pPr>
      <w:r>
        <w:rPr>
          <w:rFonts w:ascii="宋体" w:hAnsi="宋体" w:eastAsia="宋体"/>
          <w:b w:val="0"/>
          <w:sz w:val="24"/>
        </w:rPr>
        <w:t>（4）《电力监控系统安全防护规定》（国家发展和改革委员会令第14号）——规定了电力监控系统安全防护的总体原则、安全分区、网络专用、横向隔离、纵向认证等核心要求。</w:t>
      </w:r>
    </w:p>
    <w:p w14:paraId="3D006B2A">
      <w:pPr>
        <w:pStyle w:val="5"/>
      </w:pPr>
      <w:r>
        <w:rPr>
          <w:rFonts w:ascii="黑体" w:hAnsi="黑体" w:eastAsia="黑体"/>
          <w:b/>
        </w:rPr>
        <w:t>10.2 国家标准和行业标准</w:t>
      </w:r>
    </w:p>
    <w:p w14:paraId="72FD8E45">
      <w:pPr>
        <w:spacing w:line="360" w:lineRule="auto"/>
        <w:ind w:firstLine="480"/>
      </w:pPr>
      <w:r>
        <w:rPr>
          <w:rFonts w:ascii="宋体" w:hAnsi="宋体" w:eastAsia="宋体"/>
          <w:b w:val="0"/>
          <w:sz w:val="24"/>
        </w:rPr>
        <w:t>（1）GB/T 22239-2019《信息安全技术 网络安全等级保护基本要求》——规定了不同安全等级信息系统的安全保护基本要求，本项目相关系统按照等级保护三级要求执行。</w:t>
      </w:r>
    </w:p>
    <w:p w14:paraId="100736EE">
      <w:pPr>
        <w:spacing w:line="360" w:lineRule="auto"/>
        <w:ind w:firstLine="480"/>
      </w:pPr>
      <w:r>
        <w:rPr>
          <w:rFonts w:ascii="宋体" w:hAnsi="宋体" w:eastAsia="宋体"/>
          <w:b w:val="0"/>
          <w:sz w:val="24"/>
        </w:rPr>
        <w:t>（2）GB/T 25070-2019《信息安全技术 网络安全等级保护安全设计技术要求》——规定了安全设计的技术要求。</w:t>
      </w:r>
    </w:p>
    <w:p w14:paraId="182A85E3">
      <w:pPr>
        <w:spacing w:line="360" w:lineRule="auto"/>
        <w:ind w:firstLine="480"/>
      </w:pPr>
      <w:r>
        <w:rPr>
          <w:rFonts w:ascii="宋体" w:hAnsi="宋体" w:eastAsia="宋体"/>
          <w:b w:val="0"/>
          <w:sz w:val="24"/>
        </w:rPr>
        <w:t>（3）GB/T 28449-2018《信息安全技术 网络安全等级保护测评过程指南》——规定了安全等级测评的过程和方法。</w:t>
      </w:r>
    </w:p>
    <w:p w14:paraId="6E9EA5A8">
      <w:pPr>
        <w:spacing w:line="360" w:lineRule="auto"/>
        <w:ind w:firstLine="480"/>
      </w:pPr>
      <w:r>
        <w:rPr>
          <w:rFonts w:ascii="宋体" w:hAnsi="宋体" w:eastAsia="宋体"/>
          <w:b w:val="0"/>
          <w:sz w:val="24"/>
        </w:rPr>
        <w:t>（4）DL/T 2562-2022《电力监控系统网络安全防护技术监督规程》——规定了电力监控系统网络安全技术监督的内容和方法。</w:t>
      </w:r>
    </w:p>
    <w:p w14:paraId="283CE8D7">
      <w:pPr>
        <w:spacing w:line="360" w:lineRule="auto"/>
        <w:ind w:firstLine="480"/>
      </w:pPr>
      <w:r>
        <w:rPr>
          <w:rFonts w:ascii="宋体" w:hAnsi="宋体" w:eastAsia="宋体"/>
          <w:b w:val="0"/>
          <w:sz w:val="24"/>
        </w:rPr>
        <w:t>（5）DL/T 1613-2016《电力监控系统安全防护评估规范》——规定了电力监控系统安全防护评估的技术要求。</w:t>
      </w:r>
    </w:p>
    <w:p w14:paraId="6F20E68E">
      <w:pPr>
        <w:pStyle w:val="5"/>
      </w:pPr>
      <w:r>
        <w:rPr>
          <w:rFonts w:ascii="黑体" w:hAnsi="黑体" w:eastAsia="黑体"/>
          <w:b/>
        </w:rPr>
        <w:t>10.3 国家电网公司标准和制度</w:t>
      </w:r>
    </w:p>
    <w:p w14:paraId="2F0E50D3">
      <w:pPr>
        <w:spacing w:line="360" w:lineRule="auto"/>
        <w:ind w:firstLine="480"/>
      </w:pPr>
      <w:r>
        <w:rPr>
          <w:rFonts w:ascii="宋体" w:hAnsi="宋体" w:eastAsia="宋体"/>
          <w:b w:val="0"/>
          <w:sz w:val="24"/>
        </w:rPr>
        <w:t>（1）Q/GDW 10597-2020《电力监控系统安全防护管理办法》——规定了电力监控系统安全防护的管理要求和工作流程。</w:t>
      </w:r>
    </w:p>
    <w:p w14:paraId="0846EF37">
      <w:pPr>
        <w:spacing w:line="360" w:lineRule="auto"/>
        <w:ind w:firstLine="480"/>
      </w:pPr>
      <w:r>
        <w:rPr>
          <w:rFonts w:ascii="宋体" w:hAnsi="宋体" w:eastAsia="宋体"/>
          <w:b w:val="0"/>
          <w:sz w:val="24"/>
        </w:rPr>
        <w:t>（2）Q/GDW 11608-2017《变电站网络安全监测装置技术规范》——规定了变电站网络安全监测装置的功能要求和技术指标。</w:t>
      </w:r>
    </w:p>
    <w:p w14:paraId="05965B13">
      <w:pPr>
        <w:spacing w:line="360" w:lineRule="auto"/>
        <w:ind w:firstLine="480"/>
      </w:pPr>
      <w:r>
        <w:rPr>
          <w:rFonts w:ascii="宋体" w:hAnsi="宋体" w:eastAsia="宋体"/>
          <w:b w:val="0"/>
          <w:sz w:val="24"/>
        </w:rPr>
        <w:t>（3）Q/GDW 11602-2017《电力监控系统安全防护技术规范》——规定了电力监控系统安全防护的技术要求。</w:t>
      </w:r>
    </w:p>
    <w:p w14:paraId="38767C0B">
      <w:pPr>
        <w:spacing w:line="360" w:lineRule="auto"/>
        <w:ind w:firstLine="480"/>
      </w:pPr>
      <w:r>
        <w:rPr>
          <w:rFonts w:ascii="宋体" w:hAnsi="宋体" w:eastAsia="宋体"/>
          <w:b w:val="0"/>
          <w:sz w:val="24"/>
        </w:rPr>
        <w:t>（4）Q/GDW 11807-2024《电力监控系统网络安全特征库管理规范》——规定了网络安全特征库的管理要求。</w:t>
      </w:r>
    </w:p>
    <w:p w14:paraId="457A1EAE">
      <w:pPr>
        <w:spacing w:line="360" w:lineRule="auto"/>
        <w:ind w:firstLine="480"/>
      </w:pPr>
      <w:r>
        <w:rPr>
          <w:rFonts w:ascii="宋体" w:hAnsi="宋体" w:eastAsia="宋体"/>
          <w:b w:val="0"/>
          <w:sz w:val="24"/>
        </w:rPr>
        <w:t>（5）国家电网公司关于网络安全监测系统部署和运营的相关技术规范和管理制度。</w:t>
      </w:r>
    </w:p>
    <w:p w14:paraId="06A2A26B">
      <w:pPr>
        <w:pStyle w:val="5"/>
      </w:pPr>
      <w:r>
        <w:rPr>
          <w:rFonts w:ascii="黑体" w:hAnsi="黑体" w:eastAsia="黑体"/>
          <w:b/>
        </w:rPr>
        <w:t>10.4 其他依据</w:t>
      </w:r>
    </w:p>
    <w:p w14:paraId="4595C2AD">
      <w:pPr>
        <w:spacing w:line="360" w:lineRule="auto"/>
        <w:ind w:firstLine="480"/>
      </w:pPr>
      <w:r>
        <w:rPr>
          <w:rFonts w:ascii="宋体" w:hAnsi="宋体" w:eastAsia="宋体"/>
          <w:b w:val="0"/>
          <w:sz w:val="24"/>
        </w:rPr>
        <w:t>（1）《关于加强电力行业网络安全工作的指导意见》（国能发安全〔2018〕72号）</w:t>
      </w:r>
    </w:p>
    <w:p w14:paraId="63D6D5C9">
      <w:pPr>
        <w:spacing w:line="360" w:lineRule="auto"/>
        <w:ind w:firstLine="480"/>
      </w:pPr>
      <w:r>
        <w:rPr>
          <w:rFonts w:ascii="宋体" w:hAnsi="宋体" w:eastAsia="宋体"/>
          <w:b w:val="0"/>
          <w:sz w:val="24"/>
        </w:rPr>
        <w:t>（2）国网新疆电力有限公司网络安全管理相关规定</w:t>
      </w:r>
    </w:p>
    <w:p w14:paraId="3DA77BD4">
      <w:pPr>
        <w:spacing w:line="360" w:lineRule="auto"/>
        <w:ind w:firstLine="480"/>
      </w:pPr>
      <w:r>
        <w:rPr>
          <w:rFonts w:ascii="宋体" w:hAnsi="宋体" w:eastAsia="宋体"/>
          <w:b w:val="0"/>
          <w:sz w:val="24"/>
        </w:rPr>
        <w:t>（3）国网新疆阿克苏供电公司网络安全管理制度</w:t>
      </w:r>
    </w:p>
    <w:p w14:paraId="466EC22F">
      <w:pPr>
        <w:spacing w:line="360" w:lineRule="auto"/>
        <w:ind w:firstLine="480"/>
      </w:pPr>
      <w:r>
        <w:rPr>
          <w:rFonts w:ascii="宋体" w:hAnsi="宋体" w:eastAsia="宋体"/>
          <w:b w:val="0"/>
          <w:sz w:val="24"/>
        </w:rPr>
        <w:t>（4）本项目技术规范书</w:t>
      </w:r>
    </w:p>
    <w:p w14:paraId="65CB5AFA">
      <w:r>
        <w:br w:type="page"/>
      </w:r>
    </w:p>
    <w:p w14:paraId="6CE53B11">
      <w:pPr>
        <w:pStyle w:val="4"/>
      </w:pPr>
      <w:r>
        <w:rPr>
          <w:rFonts w:ascii="黑体" w:hAnsi="黑体" w:eastAsia="黑体"/>
          <w:b/>
        </w:rPr>
        <w:t>十一、项目服务目标</w:t>
      </w:r>
    </w:p>
    <w:p w14:paraId="438014A4">
      <w:pPr>
        <w:pStyle w:val="5"/>
      </w:pPr>
      <w:r>
        <w:rPr>
          <w:rFonts w:ascii="黑体" w:hAnsi="黑体" w:eastAsia="黑体"/>
          <w:b/>
        </w:rPr>
        <w:t>11.1 服务质量目标</w:t>
      </w:r>
    </w:p>
    <w:p w14:paraId="65A9AC2E">
      <w:pPr>
        <w:spacing w:line="360" w:lineRule="auto"/>
        <w:ind w:firstLine="480"/>
      </w:pPr>
      <w:r>
        <w:rPr>
          <w:rFonts w:ascii="宋体" w:hAnsi="宋体" w:eastAsia="宋体"/>
          <w:b w:val="0"/>
          <w:sz w:val="24"/>
        </w:rPr>
        <w:t>本项目致力于为阿克苏供电公司提供高质量的网络安全监测功能提升技术服务，具体服务质量目标如下：</w:t>
      </w:r>
    </w:p>
    <w:p w14:paraId="50A06461">
      <w:pPr>
        <w:spacing w:line="360" w:lineRule="auto"/>
        <w:ind w:firstLine="480"/>
      </w:pPr>
      <w:r>
        <w:rPr>
          <w:rFonts w:ascii="宋体" w:hAnsi="宋体" w:eastAsia="宋体"/>
          <w:b w:val="0"/>
          <w:sz w:val="24"/>
        </w:rPr>
        <w:t>（1）工作完成率目标：项目方案确定的所有工作内容100%完成，不遗漏任何计划内的工作项。</w:t>
      </w:r>
    </w:p>
    <w:p w14:paraId="63A93F23">
      <w:pPr>
        <w:spacing w:line="360" w:lineRule="auto"/>
        <w:ind w:firstLine="480"/>
      </w:pPr>
      <w:r>
        <w:rPr>
          <w:rFonts w:ascii="宋体" w:hAnsi="宋体" w:eastAsia="宋体"/>
          <w:b w:val="0"/>
          <w:sz w:val="24"/>
        </w:rPr>
        <w:t>（2）实施安全目标：整个项目实施过程中不造成任何设备故障、业务中断或安全事件，安全事故零发生。</w:t>
      </w:r>
    </w:p>
    <w:p w14:paraId="50C9A456">
      <w:pPr>
        <w:spacing w:line="360" w:lineRule="auto"/>
        <w:ind w:firstLine="480"/>
      </w:pPr>
      <w:r>
        <w:rPr>
          <w:rFonts w:ascii="宋体" w:hAnsi="宋体" w:eastAsia="宋体"/>
          <w:b w:val="0"/>
          <w:sz w:val="24"/>
        </w:rPr>
        <w:t>（3）功能达标目标：所有提升功能经验证确认达到预定的目标指标要求，各项功能指标100%达标。</w:t>
      </w:r>
    </w:p>
    <w:p w14:paraId="4F9CABA8">
      <w:pPr>
        <w:spacing w:line="360" w:lineRule="auto"/>
        <w:ind w:firstLine="480"/>
      </w:pPr>
      <w:r>
        <w:rPr>
          <w:rFonts w:ascii="宋体" w:hAnsi="宋体" w:eastAsia="宋体"/>
          <w:b w:val="0"/>
          <w:sz w:val="24"/>
        </w:rPr>
        <w:t>（4）文档完整目标：项目交付文档内容完整、格式规范、数据准确，一次性审核通过率不低于95%。</w:t>
      </w:r>
    </w:p>
    <w:p w14:paraId="5AF9D625">
      <w:pPr>
        <w:spacing w:line="360" w:lineRule="auto"/>
        <w:ind w:firstLine="480"/>
      </w:pPr>
      <w:r>
        <w:rPr>
          <w:rFonts w:ascii="宋体" w:hAnsi="宋体" w:eastAsia="宋体"/>
          <w:b w:val="0"/>
          <w:sz w:val="24"/>
        </w:rPr>
        <w:t>（5）客户满意度目标：项目服务质量获得阿克苏供电公司的认可，客户满意度评分不低于90分。</w:t>
      </w:r>
    </w:p>
    <w:p w14:paraId="7F59FA74">
      <w:pPr>
        <w:pStyle w:val="5"/>
      </w:pPr>
      <w:r>
        <w:rPr>
          <w:rFonts w:ascii="黑体" w:hAnsi="黑体" w:eastAsia="黑体"/>
          <w:b/>
        </w:rPr>
        <w:t>11.2 服务响应目标</w:t>
      </w:r>
    </w:p>
    <w:p w14:paraId="2C2DAA46">
      <w:pPr>
        <w:spacing w:line="360" w:lineRule="auto"/>
        <w:ind w:firstLine="480"/>
      </w:pPr>
      <w:r>
        <w:rPr>
          <w:rFonts w:ascii="宋体" w:hAnsi="宋体" w:eastAsia="宋体"/>
          <w:b w:val="0"/>
          <w:sz w:val="24"/>
        </w:rPr>
        <w:t>（1）项目启动响应：合同签订后5个工作日内完成项目启动并派驻技术团队。</w:t>
      </w:r>
    </w:p>
    <w:p w14:paraId="61501D5F">
      <w:pPr>
        <w:spacing w:line="360" w:lineRule="auto"/>
        <w:ind w:firstLine="480"/>
      </w:pPr>
      <w:r>
        <w:rPr>
          <w:rFonts w:ascii="宋体" w:hAnsi="宋体" w:eastAsia="宋体"/>
          <w:b w:val="0"/>
          <w:sz w:val="24"/>
        </w:rPr>
        <w:t>（2）异常处置响应：实施过程中出现设备异常，15分钟内启动回退操作，30分钟内恢复设备正常状态。</w:t>
      </w:r>
    </w:p>
    <w:p w14:paraId="07C35534">
      <w:pPr>
        <w:spacing w:line="360" w:lineRule="auto"/>
        <w:ind w:firstLine="480"/>
      </w:pPr>
      <w:r>
        <w:rPr>
          <w:rFonts w:ascii="宋体" w:hAnsi="宋体" w:eastAsia="宋体"/>
          <w:b w:val="0"/>
          <w:sz w:val="24"/>
        </w:rPr>
        <w:t>（3）技术咨询响应：项目实施期间提供全天候技术支持，一般技术问题4小时内响应。</w:t>
      </w:r>
    </w:p>
    <w:p w14:paraId="07FC4086">
      <w:pPr>
        <w:spacing w:line="360" w:lineRule="auto"/>
        <w:ind w:firstLine="480"/>
      </w:pPr>
      <w:r>
        <w:rPr>
          <w:rFonts w:ascii="宋体" w:hAnsi="宋体" w:eastAsia="宋体"/>
          <w:b w:val="0"/>
          <w:sz w:val="24"/>
        </w:rPr>
        <w:t>（4）后续保障响应：项目验收后提供30天的免费技术保障服务，确保项目成效的稳定性。</w:t>
      </w:r>
    </w:p>
    <w:p w14:paraId="3083AFBB">
      <w:pPr>
        <w:pStyle w:val="5"/>
      </w:pPr>
      <w:r>
        <w:rPr>
          <w:rFonts w:ascii="黑体" w:hAnsi="黑体" w:eastAsia="黑体"/>
          <w:b/>
        </w:rPr>
        <w:t>11.3 服务保障目标</w:t>
      </w:r>
    </w:p>
    <w:p w14:paraId="4EC12DA6">
      <w:pPr>
        <w:spacing w:line="360" w:lineRule="auto"/>
        <w:ind w:firstLine="480"/>
      </w:pPr>
      <w:r>
        <w:rPr>
          <w:rFonts w:ascii="宋体" w:hAnsi="宋体" w:eastAsia="宋体"/>
          <w:b w:val="0"/>
          <w:sz w:val="24"/>
        </w:rPr>
        <w:t>（1）人员保障：项目团队人员稳定，关键技术人员不随意更换；所有参与人员具备相应的专业资质。</w:t>
      </w:r>
    </w:p>
    <w:p w14:paraId="6DDAED71">
      <w:pPr>
        <w:spacing w:line="360" w:lineRule="auto"/>
        <w:ind w:firstLine="480"/>
      </w:pPr>
      <w:r>
        <w:rPr>
          <w:rFonts w:ascii="宋体" w:hAnsi="宋体" w:eastAsia="宋体"/>
          <w:b w:val="0"/>
          <w:sz w:val="24"/>
        </w:rPr>
        <w:t>（2）安全保障：严格遵守电力监控系统安全防护规定和变电站安全管理要求；所有人员签订保密协议；操作设备和工具经过安全检测。</w:t>
      </w:r>
    </w:p>
    <w:p w14:paraId="25CDDB09">
      <w:pPr>
        <w:spacing w:line="360" w:lineRule="auto"/>
        <w:ind w:firstLine="480"/>
      </w:pPr>
      <w:r>
        <w:rPr>
          <w:rFonts w:ascii="宋体" w:hAnsi="宋体" w:eastAsia="宋体"/>
          <w:b w:val="0"/>
          <w:sz w:val="24"/>
        </w:rPr>
        <w:t>（3）技术保障：项目团队具备丰富的变电站网络安全项目实施经验和技术储备，能够有效应对各类技术问题。</w:t>
      </w:r>
    </w:p>
    <w:p w14:paraId="19F8B46F">
      <w:pPr>
        <w:spacing w:line="360" w:lineRule="auto"/>
        <w:ind w:firstLine="480"/>
      </w:pPr>
      <w:r>
        <w:rPr>
          <w:rFonts w:ascii="宋体" w:hAnsi="宋体" w:eastAsia="宋体"/>
          <w:b w:val="0"/>
          <w:sz w:val="24"/>
        </w:rPr>
        <w:t>（4）应急保障：制定完善的应急预案和回退方案，配备应急通信手段，确保突发情况能够得到快速有效处置。</w:t>
      </w:r>
    </w:p>
    <w:p w14:paraId="375C0B58">
      <w:r>
        <w:br w:type="page"/>
      </w:r>
    </w:p>
    <w:p w14:paraId="755B663B">
      <w:pPr>
        <w:pStyle w:val="4"/>
      </w:pPr>
      <w:r>
        <w:rPr>
          <w:rFonts w:ascii="黑体" w:hAnsi="黑体" w:eastAsia="黑体"/>
          <w:b/>
        </w:rPr>
        <w:t>十二、项目服务内容</w:t>
      </w:r>
    </w:p>
    <w:p w14:paraId="200D8171">
      <w:pPr>
        <w:pStyle w:val="5"/>
      </w:pPr>
      <w:r>
        <w:rPr>
          <w:rFonts w:ascii="黑体" w:hAnsi="黑体" w:eastAsia="黑体"/>
          <w:b/>
        </w:rPr>
        <w:t>12.1 设备接入安全监测系统</w:t>
      </w:r>
    </w:p>
    <w:p w14:paraId="071DB1D6">
      <w:pPr>
        <w:spacing w:line="360" w:lineRule="auto"/>
        <w:ind w:firstLine="480"/>
      </w:pPr>
      <w:r>
        <w:rPr>
          <w:rFonts w:ascii="宋体" w:hAnsi="宋体" w:eastAsia="宋体"/>
          <w:b/>
          <w:sz w:val="24"/>
        </w:rPr>
        <w:t>12.1.1 工作目标</w:t>
      </w:r>
    </w:p>
    <w:p w14:paraId="075D8212">
      <w:pPr>
        <w:spacing w:line="360" w:lineRule="auto"/>
        <w:ind w:firstLine="480"/>
      </w:pPr>
      <w:r>
        <w:rPr>
          <w:rFonts w:ascii="宋体" w:hAnsi="宋体" w:eastAsia="宋体"/>
          <w:b w:val="0"/>
          <w:sz w:val="24"/>
        </w:rPr>
        <w:t>将220kV纺织园变电站内所有应纳入安全监测管理的电力监控系统设备100%接入安全监测系统，实现安全告警的全面采集和集中管理，消除监测盲区。</w:t>
      </w:r>
    </w:p>
    <w:p w14:paraId="00619A9B">
      <w:pPr>
        <w:spacing w:line="360" w:lineRule="auto"/>
        <w:ind w:firstLine="480"/>
      </w:pPr>
      <w:r>
        <w:rPr>
          <w:rFonts w:ascii="宋体" w:hAnsi="宋体" w:eastAsia="宋体"/>
          <w:b/>
          <w:sz w:val="24"/>
        </w:rPr>
        <w:t>12.1.2 工作内容</w:t>
      </w:r>
    </w:p>
    <w:p w14:paraId="3616CC8A">
      <w:pPr>
        <w:spacing w:line="360" w:lineRule="auto"/>
        <w:ind w:firstLine="480"/>
      </w:pPr>
      <w:r>
        <w:rPr>
          <w:rFonts w:ascii="宋体" w:hAnsi="宋体" w:eastAsia="宋体"/>
          <w:b w:val="0"/>
          <w:sz w:val="24"/>
        </w:rPr>
        <w:t>（1）设备清单核实。全面核实站内需要接入安全监测系统的设备清单，确认设备型号、IP地址、通信方式等基础信息，建立完整的待接入设备台账。</w:t>
      </w:r>
    </w:p>
    <w:p w14:paraId="6F20214C">
      <w:pPr>
        <w:spacing w:line="360" w:lineRule="auto"/>
        <w:ind w:firstLine="480"/>
      </w:pPr>
      <w:r>
        <w:rPr>
          <w:rFonts w:ascii="宋体" w:hAnsi="宋体" w:eastAsia="宋体"/>
          <w:b w:val="0"/>
          <w:sz w:val="24"/>
        </w:rPr>
        <w:t>（2）接入方案设计。根据不同设备类型和通信特点，设计相应的接入方案，包括数据采集方式（Syslog、SNMP、Agent等）、接入参数配置、数据格式适配等。</w:t>
      </w:r>
    </w:p>
    <w:p w14:paraId="31326D23">
      <w:pPr>
        <w:spacing w:line="360" w:lineRule="auto"/>
        <w:ind w:firstLine="480"/>
      </w:pPr>
      <w:r>
        <w:rPr>
          <w:rFonts w:ascii="宋体" w:hAnsi="宋体" w:eastAsia="宋体"/>
          <w:b w:val="0"/>
          <w:sz w:val="24"/>
        </w:rPr>
        <w:t>（3）接入实施。按照方案逐台设备执行接入配置，包括在设备侧配置日志输出、在监测系统侧配置数据源接入和解析规则等。</w:t>
      </w:r>
    </w:p>
    <w:p w14:paraId="2CCBF329">
      <w:pPr>
        <w:spacing w:line="360" w:lineRule="auto"/>
        <w:ind w:firstLine="480"/>
      </w:pPr>
      <w:r>
        <w:rPr>
          <w:rFonts w:ascii="宋体" w:hAnsi="宋体" w:eastAsia="宋体"/>
          <w:b w:val="0"/>
          <w:sz w:val="24"/>
        </w:rPr>
        <w:t>（4）接入验证。验证每台设备的告警信息能够被安全监测系统正确采集、解析和展示，确认接入成功。</w:t>
      </w:r>
    </w:p>
    <w:p w14:paraId="21991944">
      <w:pPr>
        <w:spacing w:line="360" w:lineRule="auto"/>
        <w:ind w:firstLine="480"/>
      </w:pPr>
      <w:r>
        <w:rPr>
          <w:rFonts w:ascii="宋体" w:hAnsi="宋体" w:eastAsia="宋体"/>
          <w:b/>
          <w:sz w:val="24"/>
        </w:rPr>
        <w:t>12.1.3 成果交付</w:t>
      </w:r>
    </w:p>
    <w:p w14:paraId="215AE781">
      <w:pPr>
        <w:spacing w:line="360" w:lineRule="auto"/>
        <w:ind w:firstLine="480"/>
      </w:pPr>
      <w:r>
        <w:rPr>
          <w:rFonts w:ascii="宋体" w:hAnsi="宋体" w:eastAsia="宋体"/>
          <w:b w:val="0"/>
          <w:sz w:val="24"/>
        </w:rPr>
        <w:t>- 设备接入台账</w:t>
      </w:r>
    </w:p>
    <w:p w14:paraId="480E4E1E">
      <w:pPr>
        <w:spacing w:line="360" w:lineRule="auto"/>
        <w:ind w:firstLine="480"/>
      </w:pPr>
      <w:r>
        <w:rPr>
          <w:rFonts w:ascii="宋体" w:hAnsi="宋体" w:eastAsia="宋体"/>
          <w:b w:val="0"/>
          <w:sz w:val="24"/>
        </w:rPr>
        <w:t>- 设备接入方案</w:t>
      </w:r>
    </w:p>
    <w:p w14:paraId="2A821770">
      <w:pPr>
        <w:spacing w:line="360" w:lineRule="auto"/>
        <w:ind w:firstLine="480"/>
      </w:pPr>
      <w:r>
        <w:rPr>
          <w:rFonts w:ascii="宋体" w:hAnsi="宋体" w:eastAsia="宋体"/>
          <w:b w:val="0"/>
          <w:sz w:val="24"/>
        </w:rPr>
        <w:t>- 接入配置记录</w:t>
      </w:r>
    </w:p>
    <w:p w14:paraId="747D8E88">
      <w:pPr>
        <w:spacing w:line="360" w:lineRule="auto"/>
        <w:ind w:firstLine="480"/>
      </w:pPr>
      <w:r>
        <w:rPr>
          <w:rFonts w:ascii="宋体" w:hAnsi="宋体" w:eastAsia="宋体"/>
          <w:b w:val="0"/>
          <w:sz w:val="24"/>
        </w:rPr>
        <w:t>- 接入验证报告</w:t>
      </w:r>
    </w:p>
    <w:p w14:paraId="4F043B08">
      <w:pPr>
        <w:pStyle w:val="5"/>
      </w:pPr>
      <w:r>
        <w:rPr>
          <w:rFonts w:ascii="黑体" w:hAnsi="黑体" w:eastAsia="黑体"/>
          <w:b/>
        </w:rPr>
        <w:t>12.2 探针策略精细化调优</w:t>
      </w:r>
    </w:p>
    <w:p w14:paraId="165B72C9">
      <w:pPr>
        <w:spacing w:line="360" w:lineRule="auto"/>
        <w:ind w:firstLine="480"/>
      </w:pPr>
      <w:r>
        <w:rPr>
          <w:rFonts w:ascii="宋体" w:hAnsi="宋体" w:eastAsia="宋体"/>
          <w:b/>
          <w:sz w:val="24"/>
        </w:rPr>
        <w:t>12.2.1 工作目标</w:t>
      </w:r>
    </w:p>
    <w:p w14:paraId="233E6931">
      <w:pPr>
        <w:spacing w:line="360" w:lineRule="auto"/>
        <w:ind w:firstLine="480"/>
      </w:pPr>
      <w:r>
        <w:rPr>
          <w:rFonts w:ascii="宋体" w:hAnsi="宋体" w:eastAsia="宋体"/>
          <w:b w:val="0"/>
          <w:sz w:val="24"/>
        </w:rPr>
        <w:t>通过对网络安全监测探针的检测策略进行精细化调优，将误报率降低80%以上，同时确保漏报率趋近于零，显著提升安全监测的准确性和有效性。</w:t>
      </w:r>
    </w:p>
    <w:p w14:paraId="11D50715">
      <w:pPr>
        <w:spacing w:line="360" w:lineRule="auto"/>
        <w:ind w:firstLine="480"/>
      </w:pPr>
      <w:r>
        <w:rPr>
          <w:rFonts w:ascii="宋体" w:hAnsi="宋体" w:eastAsia="宋体"/>
          <w:b/>
          <w:sz w:val="24"/>
        </w:rPr>
        <w:t>12.2.2 工作内容</w:t>
      </w:r>
    </w:p>
    <w:p w14:paraId="56665D14">
      <w:pPr>
        <w:spacing w:line="360" w:lineRule="auto"/>
        <w:ind w:firstLine="480"/>
      </w:pPr>
      <w:r>
        <w:rPr>
          <w:rFonts w:ascii="宋体" w:hAnsi="宋体" w:eastAsia="宋体"/>
          <w:b w:val="0"/>
          <w:sz w:val="24"/>
        </w:rPr>
        <w:t>（1）流量基线采集。在站内正常运行状态下，采集不少于72小时的网络流量数据，分析正常网络通信的模式特征，建立网络流量基线。</w:t>
      </w:r>
    </w:p>
    <w:p w14:paraId="5EA57EC1">
      <w:pPr>
        <w:spacing w:line="360" w:lineRule="auto"/>
        <w:ind w:firstLine="480"/>
      </w:pPr>
      <w:r>
        <w:rPr>
          <w:rFonts w:ascii="宋体" w:hAnsi="宋体" w:eastAsia="宋体"/>
          <w:b w:val="0"/>
          <w:sz w:val="24"/>
        </w:rPr>
        <w:t>（2）当前策略评估。对探针当前配置的检测策略规则进行逐条审查，分析各规则的触发情况、误报情况和有效性。</w:t>
      </w:r>
    </w:p>
    <w:p w14:paraId="795D1703">
      <w:pPr>
        <w:spacing w:line="360" w:lineRule="auto"/>
        <w:ind w:firstLine="480"/>
      </w:pPr>
      <w:r>
        <w:rPr>
          <w:rFonts w:ascii="宋体" w:hAnsi="宋体" w:eastAsia="宋体"/>
          <w:b w:val="0"/>
          <w:sz w:val="24"/>
        </w:rPr>
        <w:t>（3）策略规则优化。基于流量基线和策略评估结果，优化检测策略规则，包括：调整检测阈值参数、添加白名单规则排除正常业务触发、增加针对性检测规则覆盖已知威胁、关闭不适用于当前环境的检测规则等。</w:t>
      </w:r>
    </w:p>
    <w:p w14:paraId="4D979A05">
      <w:pPr>
        <w:spacing w:line="360" w:lineRule="auto"/>
        <w:ind w:firstLine="480"/>
      </w:pPr>
      <w:r>
        <w:rPr>
          <w:rFonts w:ascii="宋体" w:hAnsi="宋体" w:eastAsia="宋体"/>
          <w:b w:val="0"/>
          <w:sz w:val="24"/>
        </w:rPr>
        <w:t>（4）迭代调优验证。策略调整后进入观察验证阶段，持续监控告警质量，对仍然存在的误报问题进行进一步优化，通过多次迭代达到最优效果。</w:t>
      </w:r>
    </w:p>
    <w:p w14:paraId="25453483">
      <w:pPr>
        <w:spacing w:line="360" w:lineRule="auto"/>
        <w:ind w:firstLine="480"/>
      </w:pPr>
      <w:r>
        <w:rPr>
          <w:rFonts w:ascii="宋体" w:hAnsi="宋体" w:eastAsia="宋体"/>
          <w:b/>
          <w:sz w:val="24"/>
        </w:rPr>
        <w:t>12.2.3 成果交付</w:t>
      </w:r>
    </w:p>
    <w:p w14:paraId="2F47CE16">
      <w:pPr>
        <w:spacing w:line="360" w:lineRule="auto"/>
        <w:ind w:firstLine="480"/>
      </w:pPr>
      <w:r>
        <w:rPr>
          <w:rFonts w:ascii="宋体" w:hAnsi="宋体" w:eastAsia="宋体"/>
          <w:b w:val="0"/>
          <w:sz w:val="24"/>
        </w:rPr>
        <w:t>- 网络流量基线分析报告</w:t>
      </w:r>
    </w:p>
    <w:p w14:paraId="7BA242D5">
      <w:pPr>
        <w:spacing w:line="360" w:lineRule="auto"/>
        <w:ind w:firstLine="480"/>
      </w:pPr>
      <w:r>
        <w:rPr>
          <w:rFonts w:ascii="宋体" w:hAnsi="宋体" w:eastAsia="宋体"/>
          <w:b w:val="0"/>
          <w:sz w:val="24"/>
        </w:rPr>
        <w:t>- 策略评估和优化方案</w:t>
      </w:r>
    </w:p>
    <w:p w14:paraId="724E9F96">
      <w:pPr>
        <w:spacing w:line="360" w:lineRule="auto"/>
        <w:ind w:firstLine="480"/>
      </w:pPr>
      <w:r>
        <w:rPr>
          <w:rFonts w:ascii="宋体" w:hAnsi="宋体" w:eastAsia="宋体"/>
          <w:b w:val="0"/>
          <w:sz w:val="24"/>
        </w:rPr>
        <w:t>- 优化后的策略规则配置文件</w:t>
      </w:r>
    </w:p>
    <w:p w14:paraId="19D7A877">
      <w:pPr>
        <w:spacing w:line="360" w:lineRule="auto"/>
        <w:ind w:firstLine="480"/>
      </w:pPr>
      <w:r>
        <w:rPr>
          <w:rFonts w:ascii="宋体" w:hAnsi="宋体" w:eastAsia="宋体"/>
          <w:b w:val="0"/>
          <w:sz w:val="24"/>
        </w:rPr>
        <w:t>- 策略调优效果评估报告</w:t>
      </w:r>
    </w:p>
    <w:p w14:paraId="193F8DFD">
      <w:pPr>
        <w:pStyle w:val="5"/>
      </w:pPr>
      <w:r>
        <w:rPr>
          <w:rFonts w:ascii="黑体" w:hAnsi="黑体" w:eastAsia="黑体"/>
          <w:b/>
        </w:rPr>
        <w:t>12.3 设备安全加固</w:t>
      </w:r>
    </w:p>
    <w:p w14:paraId="09C7BEA9">
      <w:pPr>
        <w:spacing w:line="360" w:lineRule="auto"/>
        <w:ind w:firstLine="480"/>
      </w:pPr>
      <w:r>
        <w:rPr>
          <w:rFonts w:ascii="宋体" w:hAnsi="宋体" w:eastAsia="宋体"/>
          <w:b/>
          <w:sz w:val="24"/>
        </w:rPr>
        <w:t>12.3.1 工作目标</w:t>
      </w:r>
    </w:p>
    <w:p w14:paraId="037CBFBF">
      <w:pPr>
        <w:spacing w:line="360" w:lineRule="auto"/>
        <w:ind w:firstLine="480"/>
      </w:pPr>
      <w:r>
        <w:rPr>
          <w:rFonts w:ascii="宋体" w:hAnsi="宋体" w:eastAsia="宋体"/>
          <w:b w:val="0"/>
          <w:sz w:val="24"/>
        </w:rPr>
        <w:t>对站内相关设备按照安全基线标准进行加固，消除安全配置缺陷，使设备安全基线合规率达到100%。</w:t>
      </w:r>
    </w:p>
    <w:p w14:paraId="09E8F34A">
      <w:pPr>
        <w:spacing w:line="360" w:lineRule="auto"/>
        <w:ind w:firstLine="480"/>
      </w:pPr>
      <w:r>
        <w:rPr>
          <w:rFonts w:ascii="宋体" w:hAnsi="宋体" w:eastAsia="宋体"/>
          <w:b/>
          <w:sz w:val="24"/>
        </w:rPr>
        <w:t>12.3.2 工作内容</w:t>
      </w:r>
    </w:p>
    <w:p w14:paraId="7CE0678A">
      <w:pPr>
        <w:spacing w:line="360" w:lineRule="auto"/>
        <w:ind w:firstLine="480"/>
      </w:pPr>
      <w:r>
        <w:rPr>
          <w:rFonts w:ascii="宋体" w:hAnsi="宋体" w:eastAsia="宋体"/>
          <w:b w:val="0"/>
          <w:sz w:val="24"/>
        </w:rPr>
        <w:t>（1）安全基线检查。对照国家电网公司设备安全基线标准，对站内设备进行逐项检查，识别不符合安全基线要求的配置项。</w:t>
      </w:r>
    </w:p>
    <w:p w14:paraId="503A183F">
      <w:pPr>
        <w:spacing w:line="360" w:lineRule="auto"/>
        <w:ind w:firstLine="480"/>
      </w:pPr>
      <w:r>
        <w:rPr>
          <w:rFonts w:ascii="宋体" w:hAnsi="宋体" w:eastAsia="宋体"/>
          <w:b w:val="0"/>
          <w:sz w:val="24"/>
        </w:rPr>
        <w:t>（2）加固方案制定。针对发现的不合规配置项，制定具体的加固措施和操作步骤。加固措施通常包括：关闭不必要的服务和协议、修改不安全的默认配置、强化账号和口令管理（复杂度、有效期等）、配置访问控制限制、启用安全审计日志等。</w:t>
      </w:r>
    </w:p>
    <w:p w14:paraId="507E0BBC">
      <w:pPr>
        <w:spacing w:line="360" w:lineRule="auto"/>
        <w:ind w:firstLine="480"/>
      </w:pPr>
      <w:r>
        <w:rPr>
          <w:rFonts w:ascii="宋体" w:hAnsi="宋体" w:eastAsia="宋体"/>
          <w:b w:val="0"/>
          <w:sz w:val="24"/>
        </w:rPr>
        <w:t>（3）加固实施。按照加固方案逐台设备执行加固操作，每完成一台设备的加固后立即验证设备功能正常。</w:t>
      </w:r>
    </w:p>
    <w:p w14:paraId="4943F3E6">
      <w:pPr>
        <w:spacing w:line="360" w:lineRule="auto"/>
        <w:ind w:firstLine="480"/>
      </w:pPr>
      <w:r>
        <w:rPr>
          <w:rFonts w:ascii="宋体" w:hAnsi="宋体" w:eastAsia="宋体"/>
          <w:b w:val="0"/>
          <w:sz w:val="24"/>
        </w:rPr>
        <w:t>（4）加固验证。加固完成后重新进行安全基线检查，确认所有不合规项已整改到位。</w:t>
      </w:r>
    </w:p>
    <w:p w14:paraId="5D6EECB7">
      <w:pPr>
        <w:spacing w:line="360" w:lineRule="auto"/>
        <w:ind w:firstLine="480"/>
      </w:pPr>
      <w:r>
        <w:rPr>
          <w:rFonts w:ascii="宋体" w:hAnsi="宋体" w:eastAsia="宋体"/>
          <w:b/>
          <w:sz w:val="24"/>
        </w:rPr>
        <w:t>12.3.3 成果交付</w:t>
      </w:r>
    </w:p>
    <w:p w14:paraId="2E52D3DD">
      <w:pPr>
        <w:spacing w:line="360" w:lineRule="auto"/>
        <w:ind w:firstLine="480"/>
      </w:pPr>
      <w:r>
        <w:rPr>
          <w:rFonts w:ascii="宋体" w:hAnsi="宋体" w:eastAsia="宋体"/>
          <w:b w:val="0"/>
          <w:sz w:val="24"/>
        </w:rPr>
        <w:t>- 安全基线检查报告</w:t>
      </w:r>
    </w:p>
    <w:p w14:paraId="7DD963F9">
      <w:pPr>
        <w:spacing w:line="360" w:lineRule="auto"/>
        <w:ind w:firstLine="480"/>
      </w:pPr>
      <w:r>
        <w:rPr>
          <w:rFonts w:ascii="宋体" w:hAnsi="宋体" w:eastAsia="宋体"/>
          <w:b w:val="0"/>
          <w:sz w:val="24"/>
        </w:rPr>
        <w:t>- 设备安全加固方案</w:t>
      </w:r>
    </w:p>
    <w:p w14:paraId="633561BF">
      <w:pPr>
        <w:spacing w:line="360" w:lineRule="auto"/>
        <w:ind w:firstLine="480"/>
      </w:pPr>
      <w:r>
        <w:rPr>
          <w:rFonts w:ascii="宋体" w:hAnsi="宋体" w:eastAsia="宋体"/>
          <w:b w:val="0"/>
          <w:sz w:val="24"/>
        </w:rPr>
        <w:t>- 加固操作记录</w:t>
      </w:r>
    </w:p>
    <w:p w14:paraId="7C5A38F2">
      <w:pPr>
        <w:spacing w:line="360" w:lineRule="auto"/>
        <w:ind w:firstLine="480"/>
      </w:pPr>
      <w:r>
        <w:rPr>
          <w:rFonts w:ascii="宋体" w:hAnsi="宋体" w:eastAsia="宋体"/>
          <w:b w:val="0"/>
          <w:sz w:val="24"/>
        </w:rPr>
        <w:t>- 加固后复检报告</w:t>
      </w:r>
    </w:p>
    <w:p w14:paraId="6D193463">
      <w:pPr>
        <w:pStyle w:val="5"/>
      </w:pPr>
      <w:r>
        <w:rPr>
          <w:rFonts w:ascii="黑体" w:hAnsi="黑体" w:eastAsia="黑体"/>
          <w:b/>
        </w:rPr>
        <w:t>12.4 漏洞扫描与修复</w:t>
      </w:r>
    </w:p>
    <w:p w14:paraId="31C101A7">
      <w:pPr>
        <w:spacing w:line="360" w:lineRule="auto"/>
        <w:ind w:firstLine="480"/>
      </w:pPr>
      <w:r>
        <w:rPr>
          <w:rFonts w:ascii="宋体" w:hAnsi="宋体" w:eastAsia="宋体"/>
          <w:b/>
          <w:sz w:val="24"/>
        </w:rPr>
        <w:t>12.4.1 工作目标</w:t>
      </w:r>
    </w:p>
    <w:p w14:paraId="7A9F61A0">
      <w:pPr>
        <w:spacing w:line="360" w:lineRule="auto"/>
        <w:ind w:firstLine="480"/>
      </w:pPr>
      <w:r>
        <w:rPr>
          <w:rFonts w:ascii="宋体" w:hAnsi="宋体" w:eastAsia="宋体"/>
          <w:b w:val="0"/>
          <w:sz w:val="24"/>
        </w:rPr>
        <w:t>通过全面漏洞扫描发现站内设备存在的安全漏洞，并对高危和中危漏洞进行修复或缓解，消除安全风险。</w:t>
      </w:r>
    </w:p>
    <w:p w14:paraId="11E1D996">
      <w:pPr>
        <w:spacing w:line="360" w:lineRule="auto"/>
        <w:ind w:firstLine="480"/>
      </w:pPr>
      <w:r>
        <w:rPr>
          <w:rFonts w:ascii="宋体" w:hAnsi="宋体" w:eastAsia="宋体"/>
          <w:b/>
          <w:sz w:val="24"/>
        </w:rPr>
        <w:t>12.4.2 工作内容</w:t>
      </w:r>
    </w:p>
    <w:p w14:paraId="5C895003">
      <w:pPr>
        <w:spacing w:line="360" w:lineRule="auto"/>
        <w:ind w:firstLine="480"/>
      </w:pPr>
      <w:r>
        <w:rPr>
          <w:rFonts w:ascii="宋体" w:hAnsi="宋体" w:eastAsia="宋体"/>
          <w:b w:val="0"/>
          <w:sz w:val="24"/>
        </w:rPr>
        <w:t>（1）漏洞扫描执行。使用专业的漏洞扫描工具，在不影响设备正常运行的前提下，对站内设备进行全面的安全漏洞扫描。扫描范围包括操作系统漏洞、应用软件漏洞、网络协议漏洞、配置缺陷等。</w:t>
      </w:r>
    </w:p>
    <w:p w14:paraId="566D39B3">
      <w:pPr>
        <w:spacing w:line="360" w:lineRule="auto"/>
        <w:ind w:firstLine="480"/>
      </w:pPr>
      <w:r>
        <w:rPr>
          <w:rFonts w:ascii="宋体" w:hAnsi="宋体" w:eastAsia="宋体"/>
          <w:b w:val="0"/>
          <w:sz w:val="24"/>
        </w:rPr>
        <w:t>（2）漏洞分析评估。对扫描发现的漏洞进行分析和评估，确认漏洞的真实性（排除误报）、影响范围和风险等级。按照CVSS评分标准对漏洞进行分级分类。</w:t>
      </w:r>
    </w:p>
    <w:p w14:paraId="608CF9FD">
      <w:pPr>
        <w:spacing w:line="360" w:lineRule="auto"/>
        <w:ind w:firstLine="480"/>
      </w:pPr>
      <w:r>
        <w:rPr>
          <w:rFonts w:ascii="宋体" w:hAnsi="宋体" w:eastAsia="宋体"/>
          <w:b w:val="0"/>
          <w:sz w:val="24"/>
        </w:rPr>
        <w:t>（3）修复方案制定。针对确认的漏洞，按照风险等级制定修复方案。对于高危漏洞优先制定修复或缓解措施；对于中危漏洞安排计划内修复；对于低危漏洞提供修复建议。</w:t>
      </w:r>
    </w:p>
    <w:p w14:paraId="547492A9">
      <w:pPr>
        <w:spacing w:line="360" w:lineRule="auto"/>
        <w:ind w:firstLine="480"/>
      </w:pPr>
      <w:r>
        <w:rPr>
          <w:rFonts w:ascii="宋体" w:hAnsi="宋体" w:eastAsia="宋体"/>
          <w:b w:val="0"/>
          <w:sz w:val="24"/>
        </w:rPr>
        <w:t>（4）漏洞修复实施。按照修复方案执行漏洞修复操作，包括安装安全补丁、修改不安全配置、升级软件版本等。修复后验证漏洞已消除且设备功能不受影响。</w:t>
      </w:r>
    </w:p>
    <w:p w14:paraId="6BE5956D">
      <w:pPr>
        <w:spacing w:line="360" w:lineRule="auto"/>
        <w:ind w:firstLine="480"/>
      </w:pPr>
      <w:r>
        <w:rPr>
          <w:rFonts w:ascii="宋体" w:hAnsi="宋体" w:eastAsia="宋体"/>
          <w:b/>
          <w:sz w:val="24"/>
        </w:rPr>
        <w:t>12.4.3 成果交付</w:t>
      </w:r>
    </w:p>
    <w:p w14:paraId="248B2120">
      <w:pPr>
        <w:spacing w:line="360" w:lineRule="auto"/>
        <w:ind w:firstLine="480"/>
      </w:pPr>
      <w:r>
        <w:rPr>
          <w:rFonts w:ascii="宋体" w:hAnsi="宋体" w:eastAsia="宋体"/>
          <w:b w:val="0"/>
          <w:sz w:val="24"/>
        </w:rPr>
        <w:t>- 漏洞扫描报告</w:t>
      </w:r>
    </w:p>
    <w:p w14:paraId="19CD39E7">
      <w:pPr>
        <w:spacing w:line="360" w:lineRule="auto"/>
        <w:ind w:firstLine="480"/>
      </w:pPr>
      <w:r>
        <w:rPr>
          <w:rFonts w:ascii="宋体" w:hAnsi="宋体" w:eastAsia="宋体"/>
          <w:b w:val="0"/>
          <w:sz w:val="24"/>
        </w:rPr>
        <w:t>- 漏洞分析评估报告</w:t>
      </w:r>
    </w:p>
    <w:p w14:paraId="0001E281">
      <w:pPr>
        <w:spacing w:line="360" w:lineRule="auto"/>
        <w:ind w:firstLine="480"/>
      </w:pPr>
      <w:r>
        <w:rPr>
          <w:rFonts w:ascii="宋体" w:hAnsi="宋体" w:eastAsia="宋体"/>
          <w:b w:val="0"/>
          <w:sz w:val="24"/>
        </w:rPr>
        <w:t>- 漏洞修复方案</w:t>
      </w:r>
    </w:p>
    <w:p w14:paraId="375AEF1E">
      <w:pPr>
        <w:spacing w:line="360" w:lineRule="auto"/>
        <w:ind w:firstLine="480"/>
      </w:pPr>
      <w:r>
        <w:rPr>
          <w:rFonts w:ascii="宋体" w:hAnsi="宋体" w:eastAsia="宋体"/>
          <w:b w:val="0"/>
          <w:sz w:val="24"/>
        </w:rPr>
        <w:t>- 漏洞修复验证报告</w:t>
      </w:r>
    </w:p>
    <w:p w14:paraId="333EA2C4">
      <w:pPr>
        <w:pStyle w:val="5"/>
      </w:pPr>
      <w:r>
        <w:rPr>
          <w:rFonts w:ascii="黑体" w:hAnsi="黑体" w:eastAsia="黑体"/>
          <w:b/>
        </w:rPr>
        <w:t>12.5 二次辨识提升</w:t>
      </w:r>
    </w:p>
    <w:p w14:paraId="5CB4F573">
      <w:pPr>
        <w:spacing w:line="360" w:lineRule="auto"/>
        <w:ind w:firstLine="480"/>
      </w:pPr>
      <w:r>
        <w:rPr>
          <w:rFonts w:ascii="宋体" w:hAnsi="宋体" w:eastAsia="宋体"/>
          <w:b/>
          <w:sz w:val="24"/>
        </w:rPr>
        <w:t>12.5.1 工作目标</w:t>
      </w:r>
    </w:p>
    <w:p w14:paraId="2C7DC0A2">
      <w:pPr>
        <w:spacing w:line="360" w:lineRule="auto"/>
        <w:ind w:firstLine="480"/>
      </w:pPr>
      <w:r>
        <w:rPr>
          <w:rFonts w:ascii="宋体" w:hAnsi="宋体" w:eastAsia="宋体"/>
          <w:b w:val="0"/>
          <w:sz w:val="24"/>
        </w:rPr>
        <w:t>完善安全监测系统对站内二次设备的网络特征辨识能力，设备识别准确率达到99%以上。</w:t>
      </w:r>
    </w:p>
    <w:p w14:paraId="77951F87">
      <w:pPr>
        <w:spacing w:line="360" w:lineRule="auto"/>
        <w:ind w:firstLine="480"/>
      </w:pPr>
      <w:r>
        <w:rPr>
          <w:rFonts w:ascii="宋体" w:hAnsi="宋体" w:eastAsia="宋体"/>
          <w:b/>
          <w:sz w:val="24"/>
        </w:rPr>
        <w:t>12.5.2 工作内容</w:t>
      </w:r>
    </w:p>
    <w:p w14:paraId="507D9F47">
      <w:pPr>
        <w:spacing w:line="360" w:lineRule="auto"/>
        <w:ind w:firstLine="480"/>
      </w:pPr>
      <w:r>
        <w:rPr>
          <w:rFonts w:ascii="宋体" w:hAnsi="宋体" w:eastAsia="宋体"/>
          <w:b w:val="0"/>
          <w:sz w:val="24"/>
        </w:rPr>
        <w:t>（1）设备指纹采集。对站内二次设备的网络通信特征进行采集和分析，包括MAC地址、协议类型、通信端口、数据包特征等设备指纹信息。</w:t>
      </w:r>
    </w:p>
    <w:p w14:paraId="518D8DF4">
      <w:pPr>
        <w:spacing w:line="360" w:lineRule="auto"/>
        <w:ind w:firstLine="480"/>
      </w:pPr>
      <w:r>
        <w:rPr>
          <w:rFonts w:ascii="宋体" w:hAnsi="宋体" w:eastAsia="宋体"/>
          <w:b w:val="0"/>
          <w:sz w:val="24"/>
        </w:rPr>
        <w:t>（2）特征库完善。根据采集的设备指纹信息，完善安全监测系统的设备特征库，添加或修正各设备的识别特征，确保每台设备都能被准确识别。</w:t>
      </w:r>
    </w:p>
    <w:p w14:paraId="2E791A0D">
      <w:pPr>
        <w:spacing w:line="360" w:lineRule="auto"/>
        <w:ind w:firstLine="480"/>
      </w:pPr>
      <w:r>
        <w:rPr>
          <w:rFonts w:ascii="宋体" w:hAnsi="宋体" w:eastAsia="宋体"/>
          <w:b w:val="0"/>
          <w:sz w:val="24"/>
        </w:rPr>
        <w:t>（3）行为模型建立。为每台二次设备建立正常网络行为模型，明确其正常的通信对象、通信协议、数据量范围、通信时间规律等特征。</w:t>
      </w:r>
    </w:p>
    <w:p w14:paraId="205073A0">
      <w:pPr>
        <w:spacing w:line="360" w:lineRule="auto"/>
        <w:ind w:firstLine="480"/>
      </w:pPr>
      <w:r>
        <w:rPr>
          <w:rFonts w:ascii="宋体" w:hAnsi="宋体" w:eastAsia="宋体"/>
          <w:b w:val="0"/>
          <w:sz w:val="24"/>
        </w:rPr>
        <w:t>（4）辨识验证。验证安全监测系统能够准确辨识每台二次设备的身份和网络行为，对异常行为能够正确告警。</w:t>
      </w:r>
    </w:p>
    <w:p w14:paraId="5164E0CE">
      <w:pPr>
        <w:spacing w:line="360" w:lineRule="auto"/>
        <w:ind w:firstLine="480"/>
      </w:pPr>
      <w:r>
        <w:rPr>
          <w:rFonts w:ascii="宋体" w:hAnsi="宋体" w:eastAsia="宋体"/>
          <w:b/>
          <w:sz w:val="24"/>
        </w:rPr>
        <w:t>12.5.3 成果交付</w:t>
      </w:r>
    </w:p>
    <w:p w14:paraId="277523D3">
      <w:pPr>
        <w:spacing w:line="360" w:lineRule="auto"/>
        <w:ind w:firstLine="480"/>
      </w:pPr>
      <w:r>
        <w:rPr>
          <w:rFonts w:ascii="宋体" w:hAnsi="宋体" w:eastAsia="宋体"/>
          <w:b w:val="0"/>
          <w:sz w:val="24"/>
        </w:rPr>
        <w:t>- 设备指纹采集记录</w:t>
      </w:r>
    </w:p>
    <w:p w14:paraId="32EB9660">
      <w:pPr>
        <w:spacing w:line="360" w:lineRule="auto"/>
        <w:ind w:firstLine="480"/>
      </w:pPr>
      <w:r>
        <w:rPr>
          <w:rFonts w:ascii="宋体" w:hAnsi="宋体" w:eastAsia="宋体"/>
          <w:b w:val="0"/>
          <w:sz w:val="24"/>
        </w:rPr>
        <w:t>- 设备特征库更新记录</w:t>
      </w:r>
    </w:p>
    <w:p w14:paraId="7894E5B1">
      <w:pPr>
        <w:spacing w:line="360" w:lineRule="auto"/>
        <w:ind w:firstLine="480"/>
      </w:pPr>
      <w:r>
        <w:rPr>
          <w:rFonts w:ascii="宋体" w:hAnsi="宋体" w:eastAsia="宋体"/>
          <w:b w:val="0"/>
          <w:sz w:val="24"/>
        </w:rPr>
        <w:t>- 设备行为模型文档</w:t>
      </w:r>
    </w:p>
    <w:p w14:paraId="273FE6D9">
      <w:pPr>
        <w:spacing w:line="360" w:lineRule="auto"/>
        <w:ind w:firstLine="480"/>
      </w:pPr>
      <w:r>
        <w:rPr>
          <w:rFonts w:ascii="宋体" w:hAnsi="宋体" w:eastAsia="宋体"/>
          <w:b w:val="0"/>
          <w:sz w:val="24"/>
        </w:rPr>
        <w:t>- 辨识验证报告</w:t>
      </w:r>
    </w:p>
    <w:p w14:paraId="088221D7">
      <w:pPr>
        <w:pStyle w:val="5"/>
      </w:pPr>
      <w:r>
        <w:rPr>
          <w:rFonts w:ascii="黑体" w:hAnsi="黑体" w:eastAsia="黑体"/>
          <w:b/>
        </w:rPr>
        <w:t>12.6 端口封堵</w:t>
      </w:r>
    </w:p>
    <w:p w14:paraId="19024793">
      <w:pPr>
        <w:spacing w:line="360" w:lineRule="auto"/>
        <w:ind w:firstLine="480"/>
      </w:pPr>
      <w:r>
        <w:rPr>
          <w:rFonts w:ascii="宋体" w:hAnsi="宋体" w:eastAsia="宋体"/>
          <w:b/>
          <w:sz w:val="24"/>
        </w:rPr>
        <w:t>12.6.1 工作目标</w:t>
      </w:r>
    </w:p>
    <w:p w14:paraId="4449EFF0">
      <w:pPr>
        <w:spacing w:line="360" w:lineRule="auto"/>
        <w:ind w:firstLine="480"/>
      </w:pPr>
      <w:r>
        <w:rPr>
          <w:rFonts w:ascii="宋体" w:hAnsi="宋体" w:eastAsia="宋体"/>
          <w:b w:val="0"/>
          <w:sz w:val="24"/>
        </w:rPr>
        <w:t>关闭站内设备上开放的不必要网络端口和服务，减少网络攻击暴露面，端口合规率达到100%。</w:t>
      </w:r>
    </w:p>
    <w:p w14:paraId="114A676E">
      <w:pPr>
        <w:spacing w:line="360" w:lineRule="auto"/>
        <w:ind w:firstLine="480"/>
      </w:pPr>
      <w:r>
        <w:rPr>
          <w:rFonts w:ascii="宋体" w:hAnsi="宋体" w:eastAsia="宋体"/>
          <w:b/>
          <w:sz w:val="24"/>
        </w:rPr>
        <w:t>12.6.2 工作内容</w:t>
      </w:r>
    </w:p>
    <w:p w14:paraId="7BA14AA0">
      <w:pPr>
        <w:spacing w:line="360" w:lineRule="auto"/>
        <w:ind w:firstLine="480"/>
      </w:pPr>
      <w:r>
        <w:rPr>
          <w:rFonts w:ascii="宋体" w:hAnsi="宋体" w:eastAsia="宋体"/>
          <w:b w:val="0"/>
          <w:sz w:val="24"/>
        </w:rPr>
        <w:t>（1）端口扫描和梳理。对站内设备进行端口扫描，全面掌握各设备当前开放的网络端口和运行的服务。对每个开放端口进行功能分析，确认是否为业务必需。</w:t>
      </w:r>
    </w:p>
    <w:p w14:paraId="43361E2E">
      <w:pPr>
        <w:spacing w:line="360" w:lineRule="auto"/>
        <w:ind w:firstLine="480"/>
      </w:pPr>
      <w:r>
        <w:rPr>
          <w:rFonts w:ascii="宋体" w:hAnsi="宋体" w:eastAsia="宋体"/>
          <w:b w:val="0"/>
          <w:sz w:val="24"/>
        </w:rPr>
        <w:t>（2）封堵方案制定。对确认为不必要的端口和服务，制定封堵方案。封堵方式包括：在设备上直接关闭服务、通过设备防火墙策略限制访问、在网络设备ACL中禁止访问等。</w:t>
      </w:r>
    </w:p>
    <w:p w14:paraId="1BC0577E">
      <w:pPr>
        <w:spacing w:line="360" w:lineRule="auto"/>
        <w:ind w:firstLine="480"/>
      </w:pPr>
      <w:r>
        <w:rPr>
          <w:rFonts w:ascii="宋体" w:hAnsi="宋体" w:eastAsia="宋体"/>
          <w:b w:val="0"/>
          <w:sz w:val="24"/>
        </w:rPr>
        <w:t>（3）封堵实施。按照方案执行端口封堵操作。每封堵一个端口后即时验证不影响设备正常功能和业务通信。</w:t>
      </w:r>
    </w:p>
    <w:p w14:paraId="72CF4C54">
      <w:pPr>
        <w:spacing w:line="360" w:lineRule="auto"/>
        <w:ind w:firstLine="480"/>
      </w:pPr>
      <w:r>
        <w:rPr>
          <w:rFonts w:ascii="宋体" w:hAnsi="宋体" w:eastAsia="宋体"/>
          <w:b w:val="0"/>
          <w:sz w:val="24"/>
        </w:rPr>
        <w:t>（4）封堵验证。封堵完成后重新进行端口扫描，确认不必要端口已成功关闭，同时验证业务通信正常不受影响。</w:t>
      </w:r>
    </w:p>
    <w:p w14:paraId="5B9179C5">
      <w:pPr>
        <w:spacing w:line="360" w:lineRule="auto"/>
        <w:ind w:firstLine="480"/>
      </w:pPr>
      <w:r>
        <w:rPr>
          <w:rFonts w:ascii="宋体" w:hAnsi="宋体" w:eastAsia="宋体"/>
          <w:b/>
          <w:sz w:val="24"/>
        </w:rPr>
        <w:t>12.6.3 成果交付</w:t>
      </w:r>
    </w:p>
    <w:p w14:paraId="5C4724EC">
      <w:pPr>
        <w:spacing w:line="360" w:lineRule="auto"/>
        <w:ind w:firstLine="480"/>
      </w:pPr>
      <w:r>
        <w:rPr>
          <w:rFonts w:ascii="宋体" w:hAnsi="宋体" w:eastAsia="宋体"/>
          <w:b w:val="0"/>
          <w:sz w:val="24"/>
        </w:rPr>
        <w:t>- 端口扫描和梳理报告</w:t>
      </w:r>
    </w:p>
    <w:p w14:paraId="555394FC">
      <w:pPr>
        <w:spacing w:line="360" w:lineRule="auto"/>
        <w:ind w:firstLine="480"/>
      </w:pPr>
      <w:r>
        <w:rPr>
          <w:rFonts w:ascii="宋体" w:hAnsi="宋体" w:eastAsia="宋体"/>
          <w:b w:val="0"/>
          <w:sz w:val="24"/>
        </w:rPr>
        <w:t>- 端口封堵方案</w:t>
      </w:r>
    </w:p>
    <w:p w14:paraId="1AB2378B">
      <w:pPr>
        <w:spacing w:line="360" w:lineRule="auto"/>
        <w:ind w:firstLine="480"/>
      </w:pPr>
      <w:r>
        <w:rPr>
          <w:rFonts w:ascii="宋体" w:hAnsi="宋体" w:eastAsia="宋体"/>
          <w:b w:val="0"/>
          <w:sz w:val="24"/>
        </w:rPr>
        <w:t>- 封堵操作记录</w:t>
      </w:r>
    </w:p>
    <w:p w14:paraId="277004C4">
      <w:pPr>
        <w:spacing w:line="360" w:lineRule="auto"/>
        <w:ind w:firstLine="480"/>
      </w:pPr>
      <w:r>
        <w:rPr>
          <w:rFonts w:ascii="宋体" w:hAnsi="宋体" w:eastAsia="宋体"/>
          <w:b w:val="0"/>
          <w:sz w:val="24"/>
        </w:rPr>
        <w:t>- 封堵后验证报告</w:t>
      </w:r>
    </w:p>
    <w:p w14:paraId="2C29611B">
      <w:r>
        <w:br w:type="page"/>
      </w:r>
    </w:p>
    <w:p w14:paraId="6273645A">
      <w:pPr>
        <w:pStyle w:val="4"/>
      </w:pPr>
      <w:r>
        <w:rPr>
          <w:rFonts w:ascii="黑体" w:hAnsi="黑体" w:eastAsia="黑体"/>
          <w:b/>
        </w:rPr>
        <w:t>十三、工作计划安排</w:t>
      </w:r>
    </w:p>
    <w:p w14:paraId="0FB08418">
      <w:pPr>
        <w:pStyle w:val="5"/>
      </w:pPr>
      <w:r>
        <w:rPr>
          <w:rFonts w:ascii="黑体" w:hAnsi="黑体" w:eastAsia="黑体"/>
          <w:b/>
        </w:rPr>
        <w:t>13.1 总体进度计划</w:t>
      </w:r>
    </w:p>
    <w:p w14:paraId="0D336D07">
      <w:pPr>
        <w:spacing w:line="360" w:lineRule="auto"/>
        <w:ind w:firstLine="480"/>
      </w:pPr>
      <w:r>
        <w:rPr>
          <w:rFonts w:ascii="宋体" w:hAnsi="宋体" w:eastAsia="宋体"/>
          <w:b w:val="0"/>
          <w:sz w:val="24"/>
        </w:rPr>
        <w:t>本项目计划总工期为8周，各阶段进度安排如下：</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D410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1" w:type="dxa"/>
          </w:tcPr>
          <w:p w14:paraId="1020444B">
            <w:pPr>
              <w:spacing w:after="0"/>
              <w:jc w:val="center"/>
            </w:pPr>
            <w:r>
              <w:rPr>
                <w:rFonts w:ascii="宋体" w:hAnsi="宋体" w:eastAsia="宋体"/>
                <w:b/>
                <w:sz w:val="22"/>
              </w:rPr>
              <w:t>阶段</w:t>
            </w:r>
          </w:p>
        </w:tc>
        <w:tc>
          <w:tcPr>
            <w:tcW w:w="2161" w:type="dxa"/>
          </w:tcPr>
          <w:p w14:paraId="2455F460">
            <w:pPr>
              <w:spacing w:after="0"/>
              <w:jc w:val="center"/>
            </w:pPr>
            <w:r>
              <w:rPr>
                <w:rFonts w:ascii="宋体" w:hAnsi="宋体" w:eastAsia="宋体"/>
                <w:b/>
                <w:sz w:val="22"/>
              </w:rPr>
              <w:t>时间安排</w:t>
            </w:r>
          </w:p>
        </w:tc>
        <w:tc>
          <w:tcPr>
            <w:tcW w:w="2161" w:type="dxa"/>
          </w:tcPr>
          <w:p w14:paraId="59C24143">
            <w:pPr>
              <w:spacing w:after="0"/>
              <w:jc w:val="center"/>
            </w:pPr>
            <w:r>
              <w:rPr>
                <w:rFonts w:ascii="宋体" w:hAnsi="宋体" w:eastAsia="宋体"/>
                <w:b/>
                <w:sz w:val="22"/>
              </w:rPr>
              <w:t>主要工作内容</w:t>
            </w:r>
          </w:p>
        </w:tc>
        <w:tc>
          <w:tcPr>
            <w:tcW w:w="2161" w:type="dxa"/>
          </w:tcPr>
          <w:p w14:paraId="016335F6">
            <w:pPr>
              <w:spacing w:after="0"/>
              <w:jc w:val="center"/>
            </w:pPr>
            <w:r>
              <w:rPr>
                <w:rFonts w:ascii="宋体" w:hAnsi="宋体" w:eastAsia="宋体"/>
                <w:b/>
                <w:sz w:val="22"/>
              </w:rPr>
              <w:t>里程碑成果</w:t>
            </w:r>
          </w:p>
        </w:tc>
      </w:tr>
      <w:tr w14:paraId="1E04A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94C5B1B">
            <w:pPr>
              <w:spacing w:after="0"/>
            </w:pPr>
            <w:r>
              <w:rPr>
                <w:rFonts w:ascii="宋体" w:hAnsi="宋体" w:eastAsia="宋体"/>
                <w:sz w:val="22"/>
              </w:rPr>
              <w:t>诊断评估</w:t>
            </w:r>
            <w:r>
              <w:rPr>
                <w:rFonts w:ascii="宋体" w:hAnsi="宋体" w:eastAsia="宋体"/>
                <w:sz w:val="22"/>
              </w:rPr>
              <w:br w:type="textWrapping"/>
            </w:r>
            <w:r>
              <w:rPr>
                <w:rFonts w:ascii="宋体" w:hAnsi="宋体" w:eastAsia="宋体"/>
                <w:sz w:val="22"/>
              </w:rPr>
              <w:t>阶段</w:t>
            </w:r>
          </w:p>
        </w:tc>
        <w:tc>
          <w:tcPr>
            <w:tcW w:w="2161" w:type="dxa"/>
          </w:tcPr>
          <w:p w14:paraId="10EA1A08">
            <w:pPr>
              <w:spacing w:after="0"/>
            </w:pPr>
            <w:r>
              <w:rPr>
                <w:rFonts w:ascii="宋体" w:hAnsi="宋体" w:eastAsia="宋体"/>
                <w:sz w:val="22"/>
              </w:rPr>
              <w:t>第1-2周</w:t>
            </w:r>
          </w:p>
        </w:tc>
        <w:tc>
          <w:tcPr>
            <w:tcW w:w="2161" w:type="dxa"/>
          </w:tcPr>
          <w:p w14:paraId="3F1C0721">
            <w:pPr>
              <w:spacing w:after="0"/>
            </w:pPr>
            <w:r>
              <w:rPr>
                <w:rFonts w:ascii="宋体" w:hAnsi="宋体" w:eastAsia="宋体"/>
                <w:sz w:val="22"/>
              </w:rPr>
              <w:t>设备调研、漏洞扫描、</w:t>
            </w:r>
            <w:r>
              <w:rPr>
                <w:rFonts w:ascii="宋体" w:hAnsi="宋体" w:eastAsia="宋体"/>
                <w:sz w:val="22"/>
              </w:rPr>
              <w:br w:type="textWrapping"/>
            </w:r>
            <w:r>
              <w:rPr>
                <w:rFonts w:ascii="宋体" w:hAnsi="宋体" w:eastAsia="宋体"/>
                <w:sz w:val="22"/>
              </w:rPr>
              <w:t>现状评估、方案编制</w:t>
            </w:r>
          </w:p>
        </w:tc>
        <w:tc>
          <w:tcPr>
            <w:tcW w:w="2161" w:type="dxa"/>
          </w:tcPr>
          <w:p w14:paraId="554DC7F2">
            <w:pPr>
              <w:spacing w:after="0"/>
            </w:pPr>
            <w:r>
              <w:rPr>
                <w:rFonts w:ascii="宋体" w:hAnsi="宋体" w:eastAsia="宋体"/>
                <w:sz w:val="22"/>
              </w:rPr>
              <w:t>评估报告、实施方案</w:t>
            </w:r>
          </w:p>
        </w:tc>
      </w:tr>
      <w:tr w14:paraId="447A8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DD594F">
            <w:pPr>
              <w:spacing w:after="0"/>
            </w:pPr>
            <w:r>
              <w:rPr>
                <w:rFonts w:ascii="宋体" w:hAnsi="宋体" w:eastAsia="宋体"/>
                <w:sz w:val="22"/>
              </w:rPr>
              <w:t>核心实施</w:t>
            </w:r>
            <w:r>
              <w:rPr>
                <w:rFonts w:ascii="宋体" w:hAnsi="宋体" w:eastAsia="宋体"/>
                <w:sz w:val="22"/>
              </w:rPr>
              <w:br w:type="textWrapping"/>
            </w:r>
            <w:r>
              <w:rPr>
                <w:rFonts w:ascii="宋体" w:hAnsi="宋体" w:eastAsia="宋体"/>
                <w:sz w:val="22"/>
              </w:rPr>
              <w:t>阶段</w:t>
            </w:r>
          </w:p>
        </w:tc>
        <w:tc>
          <w:tcPr>
            <w:tcW w:w="2161" w:type="dxa"/>
          </w:tcPr>
          <w:p w14:paraId="72543BB9">
            <w:pPr>
              <w:spacing w:after="0"/>
            </w:pPr>
            <w:r>
              <w:rPr>
                <w:rFonts w:ascii="宋体" w:hAnsi="宋体" w:eastAsia="宋体"/>
                <w:sz w:val="22"/>
              </w:rPr>
              <w:t>第3-4周</w:t>
            </w:r>
          </w:p>
        </w:tc>
        <w:tc>
          <w:tcPr>
            <w:tcW w:w="2161" w:type="dxa"/>
          </w:tcPr>
          <w:p w14:paraId="76429068">
            <w:pPr>
              <w:spacing w:after="0"/>
            </w:pPr>
            <w:r>
              <w:rPr>
                <w:rFonts w:ascii="宋体" w:hAnsi="宋体" w:eastAsia="宋体"/>
                <w:sz w:val="22"/>
              </w:rPr>
              <w:t>漏洞修复、设备接入、</w:t>
            </w:r>
            <w:r>
              <w:rPr>
                <w:rFonts w:ascii="宋体" w:hAnsi="宋体" w:eastAsia="宋体"/>
                <w:sz w:val="22"/>
              </w:rPr>
              <w:br w:type="textWrapping"/>
            </w:r>
            <w:r>
              <w:rPr>
                <w:rFonts w:ascii="宋体" w:hAnsi="宋体" w:eastAsia="宋体"/>
                <w:sz w:val="22"/>
              </w:rPr>
              <w:t>端口封堵、安全加固</w:t>
            </w:r>
          </w:p>
        </w:tc>
        <w:tc>
          <w:tcPr>
            <w:tcW w:w="2161" w:type="dxa"/>
          </w:tcPr>
          <w:p w14:paraId="4AFC8EE9">
            <w:pPr>
              <w:spacing w:after="0"/>
            </w:pPr>
            <w:r>
              <w:rPr>
                <w:rFonts w:ascii="宋体" w:hAnsi="宋体" w:eastAsia="宋体"/>
                <w:sz w:val="22"/>
              </w:rPr>
              <w:t>实施记录、即时验证报告</w:t>
            </w:r>
          </w:p>
        </w:tc>
      </w:tr>
      <w:tr w14:paraId="75B46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72588A2">
            <w:pPr>
              <w:spacing w:after="0"/>
            </w:pPr>
            <w:r>
              <w:rPr>
                <w:rFonts w:ascii="宋体" w:hAnsi="宋体" w:eastAsia="宋体"/>
                <w:sz w:val="22"/>
              </w:rPr>
              <w:t>优化提升</w:t>
            </w:r>
            <w:r>
              <w:rPr>
                <w:rFonts w:ascii="宋体" w:hAnsi="宋体" w:eastAsia="宋体"/>
                <w:sz w:val="22"/>
              </w:rPr>
              <w:br w:type="textWrapping"/>
            </w:r>
            <w:r>
              <w:rPr>
                <w:rFonts w:ascii="宋体" w:hAnsi="宋体" w:eastAsia="宋体"/>
                <w:sz w:val="22"/>
              </w:rPr>
              <w:t>阶段</w:t>
            </w:r>
          </w:p>
        </w:tc>
        <w:tc>
          <w:tcPr>
            <w:tcW w:w="2161" w:type="dxa"/>
          </w:tcPr>
          <w:p w14:paraId="1C2E34BA">
            <w:pPr>
              <w:spacing w:after="0"/>
            </w:pPr>
            <w:r>
              <w:rPr>
                <w:rFonts w:ascii="宋体" w:hAnsi="宋体" w:eastAsia="宋体"/>
                <w:sz w:val="22"/>
              </w:rPr>
              <w:t>第5-6周</w:t>
            </w:r>
          </w:p>
        </w:tc>
        <w:tc>
          <w:tcPr>
            <w:tcW w:w="2161" w:type="dxa"/>
          </w:tcPr>
          <w:p w14:paraId="758A3CCD">
            <w:pPr>
              <w:spacing w:after="0"/>
            </w:pPr>
            <w:r>
              <w:rPr>
                <w:rFonts w:ascii="宋体" w:hAnsi="宋体" w:eastAsia="宋体"/>
                <w:sz w:val="22"/>
              </w:rPr>
              <w:t>策略调优、二次辨识、</w:t>
            </w:r>
            <w:r>
              <w:rPr>
                <w:rFonts w:ascii="宋体" w:hAnsi="宋体" w:eastAsia="宋体"/>
                <w:sz w:val="22"/>
              </w:rPr>
              <w:br w:type="textWrapping"/>
            </w:r>
            <w:r>
              <w:rPr>
                <w:rFonts w:ascii="宋体" w:hAnsi="宋体" w:eastAsia="宋体"/>
                <w:sz w:val="22"/>
              </w:rPr>
              <w:t>代理策略整改</w:t>
            </w:r>
          </w:p>
        </w:tc>
        <w:tc>
          <w:tcPr>
            <w:tcW w:w="2161" w:type="dxa"/>
          </w:tcPr>
          <w:p w14:paraId="350308D1">
            <w:pPr>
              <w:spacing w:after="0"/>
            </w:pPr>
            <w:r>
              <w:rPr>
                <w:rFonts w:ascii="宋体" w:hAnsi="宋体" w:eastAsia="宋体"/>
                <w:sz w:val="22"/>
              </w:rPr>
              <w:t>优化配置文件、辨识记录</w:t>
            </w:r>
          </w:p>
        </w:tc>
      </w:tr>
      <w:tr w14:paraId="32396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B2D92B">
            <w:pPr>
              <w:spacing w:after="0"/>
            </w:pPr>
            <w:r>
              <w:rPr>
                <w:rFonts w:ascii="宋体" w:hAnsi="宋体" w:eastAsia="宋体"/>
                <w:sz w:val="22"/>
              </w:rPr>
              <w:t>验证交付</w:t>
            </w:r>
            <w:r>
              <w:rPr>
                <w:rFonts w:ascii="宋体" w:hAnsi="宋体" w:eastAsia="宋体"/>
                <w:sz w:val="22"/>
              </w:rPr>
              <w:br w:type="textWrapping"/>
            </w:r>
            <w:r>
              <w:rPr>
                <w:rFonts w:ascii="宋体" w:hAnsi="宋体" w:eastAsia="宋体"/>
                <w:sz w:val="22"/>
              </w:rPr>
              <w:t>阶段</w:t>
            </w:r>
          </w:p>
        </w:tc>
        <w:tc>
          <w:tcPr>
            <w:tcW w:w="2161" w:type="dxa"/>
          </w:tcPr>
          <w:p w14:paraId="63D2E684">
            <w:pPr>
              <w:spacing w:after="0"/>
            </w:pPr>
            <w:r>
              <w:rPr>
                <w:rFonts w:ascii="宋体" w:hAnsi="宋体" w:eastAsia="宋体"/>
                <w:sz w:val="22"/>
              </w:rPr>
              <w:t>第7-8周</w:t>
            </w:r>
          </w:p>
        </w:tc>
        <w:tc>
          <w:tcPr>
            <w:tcW w:w="2161" w:type="dxa"/>
          </w:tcPr>
          <w:p w14:paraId="4805CE3B">
            <w:pPr>
              <w:spacing w:after="0"/>
            </w:pPr>
            <w:r>
              <w:rPr>
                <w:rFonts w:ascii="宋体" w:hAnsi="宋体" w:eastAsia="宋体"/>
                <w:sz w:val="22"/>
              </w:rPr>
              <w:t>效果验证、观察期监测、</w:t>
            </w:r>
            <w:r>
              <w:rPr>
                <w:rFonts w:ascii="宋体" w:hAnsi="宋体" w:eastAsia="宋体"/>
                <w:sz w:val="22"/>
              </w:rPr>
              <w:br w:type="textWrapping"/>
            </w:r>
            <w:r>
              <w:rPr>
                <w:rFonts w:ascii="宋体" w:hAnsi="宋体" w:eastAsia="宋体"/>
                <w:sz w:val="22"/>
              </w:rPr>
              <w:t>文档编制、项目验收</w:t>
            </w:r>
          </w:p>
        </w:tc>
        <w:tc>
          <w:tcPr>
            <w:tcW w:w="2161" w:type="dxa"/>
          </w:tcPr>
          <w:p w14:paraId="3528430F">
            <w:pPr>
              <w:spacing w:after="0"/>
            </w:pPr>
            <w:r>
              <w:rPr>
                <w:rFonts w:ascii="宋体" w:hAnsi="宋体" w:eastAsia="宋体"/>
                <w:sz w:val="22"/>
              </w:rPr>
              <w:t>验收报告、全部交付文档</w:t>
            </w:r>
          </w:p>
        </w:tc>
      </w:tr>
    </w:tbl>
    <w:p w14:paraId="44AAB35F"/>
    <w:p w14:paraId="05362DFC">
      <w:pPr>
        <w:pStyle w:val="5"/>
      </w:pPr>
      <w:r>
        <w:rPr>
          <w:rFonts w:ascii="黑体" w:hAnsi="黑体" w:eastAsia="黑体"/>
          <w:b/>
        </w:rPr>
        <w:t>13.2 详细工作计划</w:t>
      </w:r>
    </w:p>
    <w:p w14:paraId="2004D77D">
      <w:pPr>
        <w:spacing w:line="360" w:lineRule="auto"/>
        <w:ind w:firstLine="480"/>
      </w:pPr>
      <w:r>
        <w:rPr>
          <w:rFonts w:ascii="宋体" w:hAnsi="宋体" w:eastAsia="宋体"/>
          <w:b/>
          <w:sz w:val="24"/>
        </w:rPr>
        <w:t>13.2.1 第一阶段详细计划（第1-2周）</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729"/>
        <w:gridCol w:w="1729"/>
        <w:gridCol w:w="1729"/>
      </w:tblGrid>
      <w:tr w14:paraId="6F987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67726C46">
            <w:pPr>
              <w:spacing w:after="0"/>
              <w:jc w:val="center"/>
            </w:pPr>
            <w:r>
              <w:rPr>
                <w:rFonts w:ascii="宋体" w:hAnsi="宋体" w:eastAsia="宋体"/>
                <w:b/>
                <w:sz w:val="22"/>
              </w:rPr>
              <w:t>序号</w:t>
            </w:r>
          </w:p>
        </w:tc>
        <w:tc>
          <w:tcPr>
            <w:tcW w:w="1729" w:type="dxa"/>
          </w:tcPr>
          <w:p w14:paraId="25E28624">
            <w:pPr>
              <w:spacing w:after="0"/>
              <w:jc w:val="center"/>
            </w:pPr>
            <w:r>
              <w:rPr>
                <w:rFonts w:ascii="宋体" w:hAnsi="宋体" w:eastAsia="宋体"/>
                <w:b/>
                <w:sz w:val="22"/>
              </w:rPr>
              <w:t>工作内容</w:t>
            </w:r>
          </w:p>
        </w:tc>
        <w:tc>
          <w:tcPr>
            <w:tcW w:w="1729" w:type="dxa"/>
          </w:tcPr>
          <w:p w14:paraId="2833E24E">
            <w:pPr>
              <w:spacing w:after="0"/>
              <w:jc w:val="center"/>
            </w:pPr>
            <w:r>
              <w:rPr>
                <w:rFonts w:ascii="宋体" w:hAnsi="宋体" w:eastAsia="宋体"/>
                <w:b/>
                <w:sz w:val="22"/>
              </w:rPr>
              <w:t>计划时间</w:t>
            </w:r>
          </w:p>
        </w:tc>
        <w:tc>
          <w:tcPr>
            <w:tcW w:w="1729" w:type="dxa"/>
          </w:tcPr>
          <w:p w14:paraId="6CC3B1E9">
            <w:pPr>
              <w:spacing w:after="0"/>
              <w:jc w:val="center"/>
            </w:pPr>
            <w:r>
              <w:rPr>
                <w:rFonts w:ascii="宋体" w:hAnsi="宋体" w:eastAsia="宋体"/>
                <w:b/>
                <w:sz w:val="22"/>
              </w:rPr>
              <w:t>负责人</w:t>
            </w:r>
          </w:p>
        </w:tc>
        <w:tc>
          <w:tcPr>
            <w:tcW w:w="1729" w:type="dxa"/>
          </w:tcPr>
          <w:p w14:paraId="05B18163">
            <w:pPr>
              <w:spacing w:after="0"/>
              <w:jc w:val="center"/>
            </w:pPr>
            <w:r>
              <w:rPr>
                <w:rFonts w:ascii="宋体" w:hAnsi="宋体" w:eastAsia="宋体"/>
                <w:b/>
                <w:sz w:val="22"/>
              </w:rPr>
              <w:t>交付成果</w:t>
            </w:r>
          </w:p>
        </w:tc>
      </w:tr>
      <w:tr w14:paraId="00B6B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4AD89E6E">
            <w:pPr>
              <w:spacing w:after="0"/>
            </w:pPr>
            <w:r>
              <w:rPr>
                <w:rFonts w:ascii="宋体" w:hAnsi="宋体" w:eastAsia="宋体"/>
                <w:sz w:val="22"/>
              </w:rPr>
              <w:t>1</w:t>
            </w:r>
          </w:p>
        </w:tc>
        <w:tc>
          <w:tcPr>
            <w:tcW w:w="1729" w:type="dxa"/>
          </w:tcPr>
          <w:p w14:paraId="0D9F4945">
            <w:pPr>
              <w:spacing w:after="0"/>
            </w:pPr>
            <w:r>
              <w:rPr>
                <w:rFonts w:ascii="宋体" w:hAnsi="宋体" w:eastAsia="宋体"/>
                <w:sz w:val="22"/>
              </w:rPr>
              <w:t>项目启动和人员进场</w:t>
            </w:r>
          </w:p>
        </w:tc>
        <w:tc>
          <w:tcPr>
            <w:tcW w:w="1729" w:type="dxa"/>
          </w:tcPr>
          <w:p w14:paraId="04674308">
            <w:pPr>
              <w:spacing w:after="0"/>
            </w:pPr>
            <w:r>
              <w:rPr>
                <w:rFonts w:ascii="宋体" w:hAnsi="宋体" w:eastAsia="宋体"/>
                <w:sz w:val="22"/>
              </w:rPr>
              <w:t>第1天</w:t>
            </w:r>
          </w:p>
        </w:tc>
        <w:tc>
          <w:tcPr>
            <w:tcW w:w="1729" w:type="dxa"/>
          </w:tcPr>
          <w:p w14:paraId="6E99B313">
            <w:pPr>
              <w:spacing w:after="0"/>
            </w:pPr>
            <w:r>
              <w:rPr>
                <w:rFonts w:ascii="宋体" w:hAnsi="宋体" w:eastAsia="宋体"/>
                <w:sz w:val="22"/>
              </w:rPr>
              <w:t>项目负责人</w:t>
            </w:r>
          </w:p>
        </w:tc>
        <w:tc>
          <w:tcPr>
            <w:tcW w:w="1729" w:type="dxa"/>
          </w:tcPr>
          <w:p w14:paraId="04C1704C">
            <w:pPr>
              <w:spacing w:after="0"/>
            </w:pPr>
            <w:r>
              <w:rPr>
                <w:rFonts w:ascii="宋体" w:hAnsi="宋体" w:eastAsia="宋体"/>
                <w:sz w:val="22"/>
              </w:rPr>
              <w:t>启动会纪要</w:t>
            </w:r>
          </w:p>
        </w:tc>
      </w:tr>
      <w:tr w14:paraId="657AB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38D2F27C">
            <w:pPr>
              <w:spacing w:after="0"/>
            </w:pPr>
            <w:r>
              <w:rPr>
                <w:rFonts w:ascii="宋体" w:hAnsi="宋体" w:eastAsia="宋体"/>
                <w:sz w:val="22"/>
              </w:rPr>
              <w:t>2</w:t>
            </w:r>
          </w:p>
        </w:tc>
        <w:tc>
          <w:tcPr>
            <w:tcW w:w="1729" w:type="dxa"/>
          </w:tcPr>
          <w:p w14:paraId="38D20B2B">
            <w:pPr>
              <w:spacing w:after="0"/>
            </w:pPr>
            <w:r>
              <w:rPr>
                <w:rFonts w:ascii="宋体" w:hAnsi="宋体" w:eastAsia="宋体"/>
                <w:sz w:val="22"/>
              </w:rPr>
              <w:t>站内设备信息收集</w:t>
            </w:r>
          </w:p>
        </w:tc>
        <w:tc>
          <w:tcPr>
            <w:tcW w:w="1729" w:type="dxa"/>
          </w:tcPr>
          <w:p w14:paraId="684B8275">
            <w:pPr>
              <w:spacing w:after="0"/>
            </w:pPr>
            <w:r>
              <w:rPr>
                <w:rFonts w:ascii="宋体" w:hAnsi="宋体" w:eastAsia="宋体"/>
                <w:sz w:val="22"/>
              </w:rPr>
              <w:t>第1-3天</w:t>
            </w:r>
          </w:p>
        </w:tc>
        <w:tc>
          <w:tcPr>
            <w:tcW w:w="1729" w:type="dxa"/>
          </w:tcPr>
          <w:p w14:paraId="655F85F7">
            <w:pPr>
              <w:spacing w:after="0"/>
            </w:pPr>
            <w:r>
              <w:rPr>
                <w:rFonts w:ascii="宋体" w:hAnsi="宋体" w:eastAsia="宋体"/>
                <w:sz w:val="22"/>
              </w:rPr>
              <w:t>监测系统工程师</w:t>
            </w:r>
          </w:p>
        </w:tc>
        <w:tc>
          <w:tcPr>
            <w:tcW w:w="1729" w:type="dxa"/>
          </w:tcPr>
          <w:p w14:paraId="668156C4">
            <w:pPr>
              <w:spacing w:after="0"/>
            </w:pPr>
            <w:r>
              <w:rPr>
                <w:rFonts w:ascii="宋体" w:hAnsi="宋体" w:eastAsia="宋体"/>
                <w:sz w:val="22"/>
              </w:rPr>
              <w:t>设备清单</w:t>
            </w:r>
          </w:p>
        </w:tc>
      </w:tr>
      <w:tr w14:paraId="5FDA9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4B8F63A2">
            <w:pPr>
              <w:spacing w:after="0"/>
            </w:pPr>
            <w:r>
              <w:rPr>
                <w:rFonts w:ascii="宋体" w:hAnsi="宋体" w:eastAsia="宋体"/>
                <w:sz w:val="22"/>
              </w:rPr>
              <w:t>3</w:t>
            </w:r>
          </w:p>
        </w:tc>
        <w:tc>
          <w:tcPr>
            <w:tcW w:w="1729" w:type="dxa"/>
          </w:tcPr>
          <w:p w14:paraId="02D71ED0">
            <w:pPr>
              <w:spacing w:after="0"/>
            </w:pPr>
            <w:r>
              <w:rPr>
                <w:rFonts w:ascii="宋体" w:hAnsi="宋体" w:eastAsia="宋体"/>
                <w:sz w:val="22"/>
              </w:rPr>
              <w:t>安全漏洞扫描</w:t>
            </w:r>
          </w:p>
        </w:tc>
        <w:tc>
          <w:tcPr>
            <w:tcW w:w="1729" w:type="dxa"/>
          </w:tcPr>
          <w:p w14:paraId="59AC2C5E">
            <w:pPr>
              <w:spacing w:after="0"/>
            </w:pPr>
            <w:r>
              <w:rPr>
                <w:rFonts w:ascii="宋体" w:hAnsi="宋体" w:eastAsia="宋体"/>
                <w:sz w:val="22"/>
              </w:rPr>
              <w:t>第3-5天</w:t>
            </w:r>
          </w:p>
        </w:tc>
        <w:tc>
          <w:tcPr>
            <w:tcW w:w="1729" w:type="dxa"/>
          </w:tcPr>
          <w:p w14:paraId="008FC623">
            <w:pPr>
              <w:spacing w:after="0"/>
            </w:pPr>
            <w:r>
              <w:rPr>
                <w:rFonts w:ascii="宋体" w:hAnsi="宋体" w:eastAsia="宋体"/>
                <w:sz w:val="22"/>
              </w:rPr>
              <w:t>安全评估工程师</w:t>
            </w:r>
          </w:p>
        </w:tc>
        <w:tc>
          <w:tcPr>
            <w:tcW w:w="1729" w:type="dxa"/>
          </w:tcPr>
          <w:p w14:paraId="25F6FAF8">
            <w:pPr>
              <w:spacing w:after="0"/>
            </w:pPr>
            <w:r>
              <w:rPr>
                <w:rFonts w:ascii="宋体" w:hAnsi="宋体" w:eastAsia="宋体"/>
                <w:sz w:val="22"/>
              </w:rPr>
              <w:t>扫描原始数据</w:t>
            </w:r>
          </w:p>
        </w:tc>
      </w:tr>
      <w:tr w14:paraId="388BD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5501109A">
            <w:pPr>
              <w:spacing w:after="0"/>
            </w:pPr>
            <w:r>
              <w:rPr>
                <w:rFonts w:ascii="宋体" w:hAnsi="宋体" w:eastAsia="宋体"/>
                <w:sz w:val="22"/>
              </w:rPr>
              <w:t>4</w:t>
            </w:r>
          </w:p>
        </w:tc>
        <w:tc>
          <w:tcPr>
            <w:tcW w:w="1729" w:type="dxa"/>
          </w:tcPr>
          <w:p w14:paraId="3B5B5874">
            <w:pPr>
              <w:spacing w:after="0"/>
            </w:pPr>
            <w:r>
              <w:rPr>
                <w:rFonts w:ascii="宋体" w:hAnsi="宋体" w:eastAsia="宋体"/>
                <w:sz w:val="22"/>
              </w:rPr>
              <w:t>端口扫描和梳理</w:t>
            </w:r>
          </w:p>
        </w:tc>
        <w:tc>
          <w:tcPr>
            <w:tcW w:w="1729" w:type="dxa"/>
          </w:tcPr>
          <w:p w14:paraId="17906FF9">
            <w:pPr>
              <w:spacing w:after="0"/>
            </w:pPr>
            <w:r>
              <w:rPr>
                <w:rFonts w:ascii="宋体" w:hAnsi="宋体" w:eastAsia="宋体"/>
                <w:sz w:val="22"/>
              </w:rPr>
              <w:t>第4-6天</w:t>
            </w:r>
          </w:p>
        </w:tc>
        <w:tc>
          <w:tcPr>
            <w:tcW w:w="1729" w:type="dxa"/>
          </w:tcPr>
          <w:p w14:paraId="44CAE6FF">
            <w:pPr>
              <w:spacing w:after="0"/>
            </w:pPr>
            <w:r>
              <w:rPr>
                <w:rFonts w:ascii="宋体" w:hAnsi="宋体" w:eastAsia="宋体"/>
                <w:sz w:val="22"/>
              </w:rPr>
              <w:t>安全评估工程师</w:t>
            </w:r>
          </w:p>
        </w:tc>
        <w:tc>
          <w:tcPr>
            <w:tcW w:w="1729" w:type="dxa"/>
          </w:tcPr>
          <w:p w14:paraId="19858EF5">
            <w:pPr>
              <w:spacing w:after="0"/>
            </w:pPr>
            <w:r>
              <w:rPr>
                <w:rFonts w:ascii="宋体" w:hAnsi="宋体" w:eastAsia="宋体"/>
                <w:sz w:val="22"/>
              </w:rPr>
              <w:t>端口开放清单</w:t>
            </w:r>
          </w:p>
        </w:tc>
      </w:tr>
      <w:tr w14:paraId="6B4EF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7E44851A">
            <w:pPr>
              <w:spacing w:after="0"/>
            </w:pPr>
            <w:r>
              <w:rPr>
                <w:rFonts w:ascii="宋体" w:hAnsi="宋体" w:eastAsia="宋体"/>
                <w:sz w:val="22"/>
              </w:rPr>
              <w:t>5</w:t>
            </w:r>
          </w:p>
        </w:tc>
        <w:tc>
          <w:tcPr>
            <w:tcW w:w="1729" w:type="dxa"/>
          </w:tcPr>
          <w:p w14:paraId="11BC8D7A">
            <w:pPr>
              <w:spacing w:after="0"/>
            </w:pPr>
            <w:r>
              <w:rPr>
                <w:rFonts w:ascii="宋体" w:hAnsi="宋体" w:eastAsia="宋体"/>
                <w:sz w:val="22"/>
              </w:rPr>
              <w:t>安全基线检查</w:t>
            </w:r>
          </w:p>
        </w:tc>
        <w:tc>
          <w:tcPr>
            <w:tcW w:w="1729" w:type="dxa"/>
          </w:tcPr>
          <w:p w14:paraId="7CF5286D">
            <w:pPr>
              <w:spacing w:after="0"/>
            </w:pPr>
            <w:r>
              <w:rPr>
                <w:rFonts w:ascii="宋体" w:hAnsi="宋体" w:eastAsia="宋体"/>
                <w:sz w:val="22"/>
              </w:rPr>
              <w:t>第5-8天</w:t>
            </w:r>
          </w:p>
        </w:tc>
        <w:tc>
          <w:tcPr>
            <w:tcW w:w="1729" w:type="dxa"/>
          </w:tcPr>
          <w:p w14:paraId="2990C7AC">
            <w:pPr>
              <w:spacing w:after="0"/>
            </w:pPr>
            <w:r>
              <w:rPr>
                <w:rFonts w:ascii="宋体" w:hAnsi="宋体" w:eastAsia="宋体"/>
                <w:sz w:val="22"/>
              </w:rPr>
              <w:t>安全加固工程师</w:t>
            </w:r>
          </w:p>
        </w:tc>
        <w:tc>
          <w:tcPr>
            <w:tcW w:w="1729" w:type="dxa"/>
          </w:tcPr>
          <w:p w14:paraId="0E4BD3BF">
            <w:pPr>
              <w:spacing w:after="0"/>
            </w:pPr>
            <w:r>
              <w:rPr>
                <w:rFonts w:ascii="宋体" w:hAnsi="宋体" w:eastAsia="宋体"/>
                <w:sz w:val="22"/>
              </w:rPr>
              <w:t>基线检查报告</w:t>
            </w:r>
          </w:p>
        </w:tc>
      </w:tr>
      <w:tr w14:paraId="1542D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07E9D3B2">
            <w:pPr>
              <w:spacing w:after="0"/>
            </w:pPr>
            <w:r>
              <w:rPr>
                <w:rFonts w:ascii="宋体" w:hAnsi="宋体" w:eastAsia="宋体"/>
                <w:sz w:val="22"/>
              </w:rPr>
              <w:t>6</w:t>
            </w:r>
          </w:p>
        </w:tc>
        <w:tc>
          <w:tcPr>
            <w:tcW w:w="1729" w:type="dxa"/>
          </w:tcPr>
          <w:p w14:paraId="46CF420A">
            <w:pPr>
              <w:spacing w:after="0"/>
            </w:pPr>
            <w:r>
              <w:rPr>
                <w:rFonts w:ascii="宋体" w:hAnsi="宋体" w:eastAsia="宋体"/>
                <w:sz w:val="22"/>
              </w:rPr>
              <w:t>监测现状分析</w:t>
            </w:r>
          </w:p>
        </w:tc>
        <w:tc>
          <w:tcPr>
            <w:tcW w:w="1729" w:type="dxa"/>
          </w:tcPr>
          <w:p w14:paraId="1CBA47F9">
            <w:pPr>
              <w:spacing w:after="0"/>
            </w:pPr>
            <w:r>
              <w:rPr>
                <w:rFonts w:ascii="宋体" w:hAnsi="宋体" w:eastAsia="宋体"/>
                <w:sz w:val="22"/>
              </w:rPr>
              <w:t>第6-9天</w:t>
            </w:r>
          </w:p>
        </w:tc>
        <w:tc>
          <w:tcPr>
            <w:tcW w:w="1729" w:type="dxa"/>
          </w:tcPr>
          <w:p w14:paraId="58F4D714">
            <w:pPr>
              <w:spacing w:after="0"/>
            </w:pPr>
            <w:r>
              <w:rPr>
                <w:rFonts w:ascii="宋体" w:hAnsi="宋体" w:eastAsia="宋体"/>
                <w:sz w:val="22"/>
              </w:rPr>
              <w:t>监测系统工程师</w:t>
            </w:r>
          </w:p>
        </w:tc>
        <w:tc>
          <w:tcPr>
            <w:tcW w:w="1729" w:type="dxa"/>
          </w:tcPr>
          <w:p w14:paraId="042839D5">
            <w:pPr>
              <w:spacing w:after="0"/>
            </w:pPr>
            <w:r>
              <w:rPr>
                <w:rFonts w:ascii="宋体" w:hAnsi="宋体" w:eastAsia="宋体"/>
                <w:sz w:val="22"/>
              </w:rPr>
              <w:t>现状分析报告</w:t>
            </w:r>
          </w:p>
        </w:tc>
      </w:tr>
      <w:tr w14:paraId="36FB9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065C04DC">
            <w:pPr>
              <w:spacing w:after="0"/>
            </w:pPr>
            <w:r>
              <w:rPr>
                <w:rFonts w:ascii="宋体" w:hAnsi="宋体" w:eastAsia="宋体"/>
                <w:sz w:val="22"/>
              </w:rPr>
              <w:t>7</w:t>
            </w:r>
          </w:p>
        </w:tc>
        <w:tc>
          <w:tcPr>
            <w:tcW w:w="1729" w:type="dxa"/>
          </w:tcPr>
          <w:p w14:paraId="6F03C58F">
            <w:pPr>
              <w:spacing w:after="0"/>
            </w:pPr>
            <w:r>
              <w:rPr>
                <w:rFonts w:ascii="宋体" w:hAnsi="宋体" w:eastAsia="宋体"/>
                <w:sz w:val="22"/>
              </w:rPr>
              <w:t>综合评估报告编制</w:t>
            </w:r>
          </w:p>
        </w:tc>
        <w:tc>
          <w:tcPr>
            <w:tcW w:w="1729" w:type="dxa"/>
          </w:tcPr>
          <w:p w14:paraId="4976A2B5">
            <w:pPr>
              <w:spacing w:after="0"/>
            </w:pPr>
            <w:r>
              <w:rPr>
                <w:rFonts w:ascii="宋体" w:hAnsi="宋体" w:eastAsia="宋体"/>
                <w:sz w:val="22"/>
              </w:rPr>
              <w:t>第8-10天</w:t>
            </w:r>
          </w:p>
        </w:tc>
        <w:tc>
          <w:tcPr>
            <w:tcW w:w="1729" w:type="dxa"/>
          </w:tcPr>
          <w:p w14:paraId="2227DC3C">
            <w:pPr>
              <w:spacing w:after="0"/>
            </w:pPr>
            <w:r>
              <w:rPr>
                <w:rFonts w:ascii="宋体" w:hAnsi="宋体" w:eastAsia="宋体"/>
                <w:sz w:val="22"/>
              </w:rPr>
              <w:t>技术负责人</w:t>
            </w:r>
          </w:p>
        </w:tc>
        <w:tc>
          <w:tcPr>
            <w:tcW w:w="1729" w:type="dxa"/>
          </w:tcPr>
          <w:p w14:paraId="257601BA">
            <w:pPr>
              <w:spacing w:after="0"/>
            </w:pPr>
            <w:r>
              <w:rPr>
                <w:rFonts w:ascii="宋体" w:hAnsi="宋体" w:eastAsia="宋体"/>
                <w:sz w:val="22"/>
              </w:rPr>
              <w:t>综合评估报告</w:t>
            </w:r>
          </w:p>
        </w:tc>
      </w:tr>
      <w:tr w14:paraId="4A4A2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1F518F73">
            <w:pPr>
              <w:spacing w:after="0"/>
            </w:pPr>
            <w:r>
              <w:rPr>
                <w:rFonts w:ascii="宋体" w:hAnsi="宋体" w:eastAsia="宋体"/>
                <w:sz w:val="22"/>
              </w:rPr>
              <w:t>8</w:t>
            </w:r>
          </w:p>
        </w:tc>
        <w:tc>
          <w:tcPr>
            <w:tcW w:w="1729" w:type="dxa"/>
          </w:tcPr>
          <w:p w14:paraId="29C41729">
            <w:pPr>
              <w:spacing w:after="0"/>
            </w:pPr>
            <w:r>
              <w:rPr>
                <w:rFonts w:ascii="宋体" w:hAnsi="宋体" w:eastAsia="宋体"/>
                <w:sz w:val="22"/>
              </w:rPr>
              <w:t>实施方案编制和评审</w:t>
            </w:r>
          </w:p>
        </w:tc>
        <w:tc>
          <w:tcPr>
            <w:tcW w:w="1729" w:type="dxa"/>
          </w:tcPr>
          <w:p w14:paraId="17F08EB0">
            <w:pPr>
              <w:spacing w:after="0"/>
            </w:pPr>
            <w:r>
              <w:rPr>
                <w:rFonts w:ascii="宋体" w:hAnsi="宋体" w:eastAsia="宋体"/>
                <w:sz w:val="22"/>
              </w:rPr>
              <w:t>第9-14天</w:t>
            </w:r>
          </w:p>
        </w:tc>
        <w:tc>
          <w:tcPr>
            <w:tcW w:w="1729" w:type="dxa"/>
          </w:tcPr>
          <w:p w14:paraId="78D0B85F">
            <w:pPr>
              <w:spacing w:after="0"/>
            </w:pPr>
            <w:r>
              <w:rPr>
                <w:rFonts w:ascii="宋体" w:hAnsi="宋体" w:eastAsia="宋体"/>
                <w:sz w:val="22"/>
              </w:rPr>
              <w:t>全体人员</w:t>
            </w:r>
          </w:p>
        </w:tc>
        <w:tc>
          <w:tcPr>
            <w:tcW w:w="1729" w:type="dxa"/>
          </w:tcPr>
          <w:p w14:paraId="237514B7">
            <w:pPr>
              <w:spacing w:after="0"/>
            </w:pPr>
            <w:r>
              <w:rPr>
                <w:rFonts w:ascii="宋体" w:hAnsi="宋体" w:eastAsia="宋体"/>
                <w:sz w:val="22"/>
              </w:rPr>
              <w:t>实施方案（已审批）</w:t>
            </w:r>
          </w:p>
        </w:tc>
      </w:tr>
    </w:tbl>
    <w:p w14:paraId="717AD39C"/>
    <w:p w14:paraId="7ED7D6E4">
      <w:pPr>
        <w:spacing w:line="360" w:lineRule="auto"/>
        <w:ind w:firstLine="480"/>
      </w:pPr>
      <w:r>
        <w:rPr>
          <w:rFonts w:ascii="宋体" w:hAnsi="宋体" w:eastAsia="宋体"/>
          <w:b/>
          <w:sz w:val="24"/>
        </w:rPr>
        <w:t>13.2.2 第二阶段详细计划（第3-4周）</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729"/>
        <w:gridCol w:w="1729"/>
        <w:gridCol w:w="1729"/>
      </w:tblGrid>
      <w:tr w14:paraId="12C3D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23DDFE82">
            <w:pPr>
              <w:spacing w:after="0"/>
              <w:jc w:val="center"/>
            </w:pPr>
            <w:r>
              <w:rPr>
                <w:rFonts w:ascii="宋体" w:hAnsi="宋体" w:eastAsia="宋体"/>
                <w:b/>
                <w:sz w:val="22"/>
              </w:rPr>
              <w:t>序号</w:t>
            </w:r>
          </w:p>
        </w:tc>
        <w:tc>
          <w:tcPr>
            <w:tcW w:w="1729" w:type="dxa"/>
          </w:tcPr>
          <w:p w14:paraId="19A652EC">
            <w:pPr>
              <w:spacing w:after="0"/>
              <w:jc w:val="center"/>
            </w:pPr>
            <w:r>
              <w:rPr>
                <w:rFonts w:ascii="宋体" w:hAnsi="宋体" w:eastAsia="宋体"/>
                <w:b/>
                <w:sz w:val="22"/>
              </w:rPr>
              <w:t>工作内容</w:t>
            </w:r>
          </w:p>
        </w:tc>
        <w:tc>
          <w:tcPr>
            <w:tcW w:w="1729" w:type="dxa"/>
          </w:tcPr>
          <w:p w14:paraId="7ACD342D">
            <w:pPr>
              <w:spacing w:after="0"/>
              <w:jc w:val="center"/>
            </w:pPr>
            <w:r>
              <w:rPr>
                <w:rFonts w:ascii="宋体" w:hAnsi="宋体" w:eastAsia="宋体"/>
                <w:b/>
                <w:sz w:val="22"/>
              </w:rPr>
              <w:t>计划时间</w:t>
            </w:r>
          </w:p>
        </w:tc>
        <w:tc>
          <w:tcPr>
            <w:tcW w:w="1729" w:type="dxa"/>
          </w:tcPr>
          <w:p w14:paraId="4F41C873">
            <w:pPr>
              <w:spacing w:after="0"/>
              <w:jc w:val="center"/>
            </w:pPr>
            <w:r>
              <w:rPr>
                <w:rFonts w:ascii="宋体" w:hAnsi="宋体" w:eastAsia="宋体"/>
                <w:b/>
                <w:sz w:val="22"/>
              </w:rPr>
              <w:t>负责人</w:t>
            </w:r>
          </w:p>
        </w:tc>
        <w:tc>
          <w:tcPr>
            <w:tcW w:w="1729" w:type="dxa"/>
          </w:tcPr>
          <w:p w14:paraId="6B3272A7">
            <w:pPr>
              <w:spacing w:after="0"/>
              <w:jc w:val="center"/>
            </w:pPr>
            <w:r>
              <w:rPr>
                <w:rFonts w:ascii="宋体" w:hAnsi="宋体" w:eastAsia="宋体"/>
                <w:b/>
                <w:sz w:val="22"/>
              </w:rPr>
              <w:t>交付成果</w:t>
            </w:r>
          </w:p>
        </w:tc>
      </w:tr>
      <w:tr w14:paraId="77A2A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1A8A7706">
            <w:pPr>
              <w:spacing w:after="0"/>
            </w:pPr>
            <w:r>
              <w:rPr>
                <w:rFonts w:ascii="宋体" w:hAnsi="宋体" w:eastAsia="宋体"/>
                <w:sz w:val="22"/>
              </w:rPr>
              <w:t>1</w:t>
            </w:r>
          </w:p>
        </w:tc>
        <w:tc>
          <w:tcPr>
            <w:tcW w:w="1729" w:type="dxa"/>
          </w:tcPr>
          <w:p w14:paraId="5D8646C9">
            <w:pPr>
              <w:spacing w:after="0"/>
            </w:pPr>
            <w:r>
              <w:rPr>
                <w:rFonts w:ascii="宋体" w:hAnsi="宋体" w:eastAsia="宋体"/>
                <w:sz w:val="22"/>
              </w:rPr>
              <w:t>高危漏洞修复</w:t>
            </w:r>
          </w:p>
        </w:tc>
        <w:tc>
          <w:tcPr>
            <w:tcW w:w="1729" w:type="dxa"/>
          </w:tcPr>
          <w:p w14:paraId="57044DC9">
            <w:pPr>
              <w:spacing w:after="0"/>
            </w:pPr>
            <w:r>
              <w:rPr>
                <w:rFonts w:ascii="宋体" w:hAnsi="宋体" w:eastAsia="宋体"/>
                <w:sz w:val="22"/>
              </w:rPr>
              <w:t>第15-19天</w:t>
            </w:r>
          </w:p>
        </w:tc>
        <w:tc>
          <w:tcPr>
            <w:tcW w:w="1729" w:type="dxa"/>
          </w:tcPr>
          <w:p w14:paraId="17750B79">
            <w:pPr>
              <w:spacing w:after="0"/>
            </w:pPr>
            <w:r>
              <w:rPr>
                <w:rFonts w:ascii="宋体" w:hAnsi="宋体" w:eastAsia="宋体"/>
                <w:sz w:val="22"/>
              </w:rPr>
              <w:t>安全加固工程师</w:t>
            </w:r>
          </w:p>
        </w:tc>
        <w:tc>
          <w:tcPr>
            <w:tcW w:w="1729" w:type="dxa"/>
          </w:tcPr>
          <w:p w14:paraId="0FF021EB">
            <w:pPr>
              <w:spacing w:after="0"/>
            </w:pPr>
            <w:r>
              <w:rPr>
                <w:rFonts w:ascii="宋体" w:hAnsi="宋体" w:eastAsia="宋体"/>
                <w:sz w:val="22"/>
              </w:rPr>
              <w:t>漏洞修复记录</w:t>
            </w:r>
          </w:p>
        </w:tc>
      </w:tr>
      <w:tr w14:paraId="0D097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30CF34F9">
            <w:pPr>
              <w:spacing w:after="0"/>
            </w:pPr>
            <w:r>
              <w:rPr>
                <w:rFonts w:ascii="宋体" w:hAnsi="宋体" w:eastAsia="宋体"/>
                <w:sz w:val="22"/>
              </w:rPr>
              <w:t>2</w:t>
            </w:r>
          </w:p>
        </w:tc>
        <w:tc>
          <w:tcPr>
            <w:tcW w:w="1729" w:type="dxa"/>
          </w:tcPr>
          <w:p w14:paraId="61680E08">
            <w:pPr>
              <w:spacing w:after="0"/>
            </w:pPr>
            <w:r>
              <w:rPr>
                <w:rFonts w:ascii="宋体" w:hAnsi="宋体" w:eastAsia="宋体"/>
                <w:sz w:val="22"/>
              </w:rPr>
              <w:t>中危漏洞修复</w:t>
            </w:r>
          </w:p>
        </w:tc>
        <w:tc>
          <w:tcPr>
            <w:tcW w:w="1729" w:type="dxa"/>
          </w:tcPr>
          <w:p w14:paraId="38E82C32">
            <w:pPr>
              <w:spacing w:after="0"/>
            </w:pPr>
            <w:r>
              <w:rPr>
                <w:rFonts w:ascii="宋体" w:hAnsi="宋体" w:eastAsia="宋体"/>
                <w:sz w:val="22"/>
              </w:rPr>
              <w:t>第18-22天</w:t>
            </w:r>
          </w:p>
        </w:tc>
        <w:tc>
          <w:tcPr>
            <w:tcW w:w="1729" w:type="dxa"/>
          </w:tcPr>
          <w:p w14:paraId="74EC8E4B">
            <w:pPr>
              <w:spacing w:after="0"/>
            </w:pPr>
            <w:r>
              <w:rPr>
                <w:rFonts w:ascii="宋体" w:hAnsi="宋体" w:eastAsia="宋体"/>
                <w:sz w:val="22"/>
              </w:rPr>
              <w:t>安全加固工程师</w:t>
            </w:r>
          </w:p>
        </w:tc>
        <w:tc>
          <w:tcPr>
            <w:tcW w:w="1729" w:type="dxa"/>
          </w:tcPr>
          <w:p w14:paraId="05F60A8A">
            <w:pPr>
              <w:spacing w:after="0"/>
            </w:pPr>
            <w:r>
              <w:rPr>
                <w:rFonts w:ascii="宋体" w:hAnsi="宋体" w:eastAsia="宋体"/>
                <w:sz w:val="22"/>
              </w:rPr>
              <w:t>漏洞修复记录</w:t>
            </w:r>
          </w:p>
        </w:tc>
      </w:tr>
      <w:tr w14:paraId="09EE2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25044BC2">
            <w:pPr>
              <w:spacing w:after="0"/>
            </w:pPr>
            <w:r>
              <w:rPr>
                <w:rFonts w:ascii="宋体" w:hAnsi="宋体" w:eastAsia="宋体"/>
                <w:sz w:val="22"/>
              </w:rPr>
              <w:t>3</w:t>
            </w:r>
          </w:p>
        </w:tc>
        <w:tc>
          <w:tcPr>
            <w:tcW w:w="1729" w:type="dxa"/>
          </w:tcPr>
          <w:p w14:paraId="46872BF8">
            <w:pPr>
              <w:spacing w:after="0"/>
            </w:pPr>
            <w:r>
              <w:rPr>
                <w:rFonts w:ascii="宋体" w:hAnsi="宋体" w:eastAsia="宋体"/>
                <w:sz w:val="22"/>
              </w:rPr>
              <w:t>设备接入安全监测系统</w:t>
            </w:r>
          </w:p>
        </w:tc>
        <w:tc>
          <w:tcPr>
            <w:tcW w:w="1729" w:type="dxa"/>
          </w:tcPr>
          <w:p w14:paraId="30D8FC18">
            <w:pPr>
              <w:spacing w:after="0"/>
            </w:pPr>
            <w:r>
              <w:rPr>
                <w:rFonts w:ascii="宋体" w:hAnsi="宋体" w:eastAsia="宋体"/>
                <w:sz w:val="22"/>
              </w:rPr>
              <w:t>第15-21天</w:t>
            </w:r>
          </w:p>
        </w:tc>
        <w:tc>
          <w:tcPr>
            <w:tcW w:w="1729" w:type="dxa"/>
          </w:tcPr>
          <w:p w14:paraId="363A10D6">
            <w:pPr>
              <w:spacing w:after="0"/>
            </w:pPr>
            <w:r>
              <w:rPr>
                <w:rFonts w:ascii="宋体" w:hAnsi="宋体" w:eastAsia="宋体"/>
                <w:sz w:val="22"/>
              </w:rPr>
              <w:t>监测系统工程师</w:t>
            </w:r>
          </w:p>
        </w:tc>
        <w:tc>
          <w:tcPr>
            <w:tcW w:w="1729" w:type="dxa"/>
          </w:tcPr>
          <w:p w14:paraId="622923DC">
            <w:pPr>
              <w:spacing w:after="0"/>
            </w:pPr>
            <w:r>
              <w:rPr>
                <w:rFonts w:ascii="宋体" w:hAnsi="宋体" w:eastAsia="宋体"/>
                <w:sz w:val="22"/>
              </w:rPr>
              <w:t>接入配置记录</w:t>
            </w:r>
          </w:p>
        </w:tc>
      </w:tr>
      <w:tr w14:paraId="26C6F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7F7F67A4">
            <w:pPr>
              <w:spacing w:after="0"/>
            </w:pPr>
            <w:r>
              <w:rPr>
                <w:rFonts w:ascii="宋体" w:hAnsi="宋体" w:eastAsia="宋体"/>
                <w:sz w:val="22"/>
              </w:rPr>
              <w:t>4</w:t>
            </w:r>
          </w:p>
        </w:tc>
        <w:tc>
          <w:tcPr>
            <w:tcW w:w="1729" w:type="dxa"/>
          </w:tcPr>
          <w:p w14:paraId="771E919D">
            <w:pPr>
              <w:spacing w:after="0"/>
            </w:pPr>
            <w:r>
              <w:rPr>
                <w:rFonts w:ascii="宋体" w:hAnsi="宋体" w:eastAsia="宋体"/>
                <w:sz w:val="22"/>
              </w:rPr>
              <w:t>不必要端口封堵</w:t>
            </w:r>
          </w:p>
        </w:tc>
        <w:tc>
          <w:tcPr>
            <w:tcW w:w="1729" w:type="dxa"/>
          </w:tcPr>
          <w:p w14:paraId="02A43697">
            <w:pPr>
              <w:spacing w:after="0"/>
            </w:pPr>
            <w:r>
              <w:rPr>
                <w:rFonts w:ascii="宋体" w:hAnsi="宋体" w:eastAsia="宋体"/>
                <w:sz w:val="22"/>
              </w:rPr>
              <w:t>第20-23天</w:t>
            </w:r>
          </w:p>
        </w:tc>
        <w:tc>
          <w:tcPr>
            <w:tcW w:w="1729" w:type="dxa"/>
          </w:tcPr>
          <w:p w14:paraId="322A34DD">
            <w:pPr>
              <w:spacing w:after="0"/>
            </w:pPr>
            <w:r>
              <w:rPr>
                <w:rFonts w:ascii="宋体" w:hAnsi="宋体" w:eastAsia="宋体"/>
                <w:sz w:val="22"/>
              </w:rPr>
              <w:t>安全加固工程师</w:t>
            </w:r>
          </w:p>
        </w:tc>
        <w:tc>
          <w:tcPr>
            <w:tcW w:w="1729" w:type="dxa"/>
          </w:tcPr>
          <w:p w14:paraId="00271F18">
            <w:pPr>
              <w:spacing w:after="0"/>
            </w:pPr>
            <w:r>
              <w:rPr>
                <w:rFonts w:ascii="宋体" w:hAnsi="宋体" w:eastAsia="宋体"/>
                <w:sz w:val="22"/>
              </w:rPr>
              <w:t>封堵操作记录</w:t>
            </w:r>
          </w:p>
        </w:tc>
      </w:tr>
      <w:tr w14:paraId="76A43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7983508D">
            <w:pPr>
              <w:spacing w:after="0"/>
            </w:pPr>
            <w:r>
              <w:rPr>
                <w:rFonts w:ascii="宋体" w:hAnsi="宋体" w:eastAsia="宋体"/>
                <w:sz w:val="22"/>
              </w:rPr>
              <w:t>5</w:t>
            </w:r>
          </w:p>
        </w:tc>
        <w:tc>
          <w:tcPr>
            <w:tcW w:w="1729" w:type="dxa"/>
          </w:tcPr>
          <w:p w14:paraId="6693154C">
            <w:pPr>
              <w:spacing w:after="0"/>
            </w:pPr>
            <w:r>
              <w:rPr>
                <w:rFonts w:ascii="宋体" w:hAnsi="宋体" w:eastAsia="宋体"/>
                <w:sz w:val="22"/>
              </w:rPr>
              <w:t>设备安全加固实施</w:t>
            </w:r>
          </w:p>
        </w:tc>
        <w:tc>
          <w:tcPr>
            <w:tcW w:w="1729" w:type="dxa"/>
          </w:tcPr>
          <w:p w14:paraId="2047A80A">
            <w:pPr>
              <w:spacing w:after="0"/>
            </w:pPr>
            <w:r>
              <w:rPr>
                <w:rFonts w:ascii="宋体" w:hAnsi="宋体" w:eastAsia="宋体"/>
                <w:sz w:val="22"/>
              </w:rPr>
              <w:t>第22-28天</w:t>
            </w:r>
          </w:p>
        </w:tc>
        <w:tc>
          <w:tcPr>
            <w:tcW w:w="1729" w:type="dxa"/>
          </w:tcPr>
          <w:p w14:paraId="0F0FDD85">
            <w:pPr>
              <w:spacing w:after="0"/>
            </w:pPr>
            <w:r>
              <w:rPr>
                <w:rFonts w:ascii="宋体" w:hAnsi="宋体" w:eastAsia="宋体"/>
                <w:sz w:val="22"/>
              </w:rPr>
              <w:t>安全加固工程师</w:t>
            </w:r>
          </w:p>
        </w:tc>
        <w:tc>
          <w:tcPr>
            <w:tcW w:w="1729" w:type="dxa"/>
          </w:tcPr>
          <w:p w14:paraId="4563169F">
            <w:pPr>
              <w:spacing w:after="0"/>
            </w:pPr>
            <w:r>
              <w:rPr>
                <w:rFonts w:ascii="宋体" w:hAnsi="宋体" w:eastAsia="宋体"/>
                <w:sz w:val="22"/>
              </w:rPr>
              <w:t>加固操作记录</w:t>
            </w:r>
          </w:p>
        </w:tc>
      </w:tr>
      <w:tr w14:paraId="2EC04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053C6D71">
            <w:pPr>
              <w:spacing w:after="0"/>
            </w:pPr>
            <w:r>
              <w:rPr>
                <w:rFonts w:ascii="宋体" w:hAnsi="宋体" w:eastAsia="宋体"/>
                <w:sz w:val="22"/>
              </w:rPr>
              <w:t>6</w:t>
            </w:r>
          </w:p>
        </w:tc>
        <w:tc>
          <w:tcPr>
            <w:tcW w:w="1729" w:type="dxa"/>
          </w:tcPr>
          <w:p w14:paraId="60D2AA41">
            <w:pPr>
              <w:spacing w:after="0"/>
            </w:pPr>
            <w:r>
              <w:rPr>
                <w:rFonts w:ascii="宋体" w:hAnsi="宋体" w:eastAsia="宋体"/>
                <w:sz w:val="22"/>
              </w:rPr>
              <w:t>阶段性验证</w:t>
            </w:r>
          </w:p>
        </w:tc>
        <w:tc>
          <w:tcPr>
            <w:tcW w:w="1729" w:type="dxa"/>
          </w:tcPr>
          <w:p w14:paraId="2645AE94">
            <w:pPr>
              <w:spacing w:after="0"/>
            </w:pPr>
            <w:r>
              <w:rPr>
                <w:rFonts w:ascii="宋体" w:hAnsi="宋体" w:eastAsia="宋体"/>
                <w:sz w:val="22"/>
              </w:rPr>
              <w:t>第26-28天</w:t>
            </w:r>
          </w:p>
        </w:tc>
        <w:tc>
          <w:tcPr>
            <w:tcW w:w="1729" w:type="dxa"/>
          </w:tcPr>
          <w:p w14:paraId="1672F75E">
            <w:pPr>
              <w:spacing w:after="0"/>
            </w:pPr>
            <w:r>
              <w:rPr>
                <w:rFonts w:ascii="宋体" w:hAnsi="宋体" w:eastAsia="宋体"/>
                <w:sz w:val="22"/>
              </w:rPr>
              <w:t>验证测试工程师</w:t>
            </w:r>
          </w:p>
        </w:tc>
        <w:tc>
          <w:tcPr>
            <w:tcW w:w="1729" w:type="dxa"/>
          </w:tcPr>
          <w:p w14:paraId="6D89D3E0">
            <w:pPr>
              <w:spacing w:after="0"/>
            </w:pPr>
            <w:r>
              <w:rPr>
                <w:rFonts w:ascii="宋体" w:hAnsi="宋体" w:eastAsia="宋体"/>
                <w:sz w:val="22"/>
              </w:rPr>
              <w:t>阶段验证报告</w:t>
            </w:r>
          </w:p>
        </w:tc>
      </w:tr>
    </w:tbl>
    <w:p w14:paraId="1C95547E"/>
    <w:p w14:paraId="509CCD0F">
      <w:pPr>
        <w:spacing w:line="360" w:lineRule="auto"/>
        <w:ind w:firstLine="480"/>
      </w:pPr>
      <w:r>
        <w:rPr>
          <w:rFonts w:ascii="宋体" w:hAnsi="宋体" w:eastAsia="宋体"/>
          <w:b/>
          <w:sz w:val="24"/>
        </w:rPr>
        <w:t>13.2.3 第三阶段详细计划（第5-6周）</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729"/>
        <w:gridCol w:w="1729"/>
        <w:gridCol w:w="1729"/>
      </w:tblGrid>
      <w:tr w14:paraId="55857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2E104D67">
            <w:pPr>
              <w:spacing w:after="0"/>
              <w:jc w:val="center"/>
            </w:pPr>
            <w:r>
              <w:rPr>
                <w:rFonts w:ascii="宋体" w:hAnsi="宋体" w:eastAsia="宋体"/>
                <w:b/>
                <w:sz w:val="22"/>
              </w:rPr>
              <w:t>序号</w:t>
            </w:r>
          </w:p>
        </w:tc>
        <w:tc>
          <w:tcPr>
            <w:tcW w:w="1729" w:type="dxa"/>
          </w:tcPr>
          <w:p w14:paraId="0F0E131A">
            <w:pPr>
              <w:spacing w:after="0"/>
              <w:jc w:val="center"/>
            </w:pPr>
            <w:r>
              <w:rPr>
                <w:rFonts w:ascii="宋体" w:hAnsi="宋体" w:eastAsia="宋体"/>
                <w:b/>
                <w:sz w:val="22"/>
              </w:rPr>
              <w:t>工作内容</w:t>
            </w:r>
          </w:p>
        </w:tc>
        <w:tc>
          <w:tcPr>
            <w:tcW w:w="1729" w:type="dxa"/>
          </w:tcPr>
          <w:p w14:paraId="3B3F23C3">
            <w:pPr>
              <w:spacing w:after="0"/>
              <w:jc w:val="center"/>
            </w:pPr>
            <w:r>
              <w:rPr>
                <w:rFonts w:ascii="宋体" w:hAnsi="宋体" w:eastAsia="宋体"/>
                <w:b/>
                <w:sz w:val="22"/>
              </w:rPr>
              <w:t>计划时间</w:t>
            </w:r>
          </w:p>
        </w:tc>
        <w:tc>
          <w:tcPr>
            <w:tcW w:w="1729" w:type="dxa"/>
          </w:tcPr>
          <w:p w14:paraId="1E1EFA45">
            <w:pPr>
              <w:spacing w:after="0"/>
              <w:jc w:val="center"/>
            </w:pPr>
            <w:r>
              <w:rPr>
                <w:rFonts w:ascii="宋体" w:hAnsi="宋体" w:eastAsia="宋体"/>
                <w:b/>
                <w:sz w:val="22"/>
              </w:rPr>
              <w:t>负责人</w:t>
            </w:r>
          </w:p>
        </w:tc>
        <w:tc>
          <w:tcPr>
            <w:tcW w:w="1729" w:type="dxa"/>
          </w:tcPr>
          <w:p w14:paraId="6457BAA3">
            <w:pPr>
              <w:spacing w:after="0"/>
              <w:jc w:val="center"/>
            </w:pPr>
            <w:r>
              <w:rPr>
                <w:rFonts w:ascii="宋体" w:hAnsi="宋体" w:eastAsia="宋体"/>
                <w:b/>
                <w:sz w:val="22"/>
              </w:rPr>
              <w:t>交付成果</w:t>
            </w:r>
          </w:p>
        </w:tc>
      </w:tr>
      <w:tr w14:paraId="5CD00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3F7581DB">
            <w:pPr>
              <w:spacing w:after="0"/>
            </w:pPr>
            <w:r>
              <w:rPr>
                <w:rFonts w:ascii="宋体" w:hAnsi="宋体" w:eastAsia="宋体"/>
                <w:sz w:val="22"/>
              </w:rPr>
              <w:t>1</w:t>
            </w:r>
          </w:p>
        </w:tc>
        <w:tc>
          <w:tcPr>
            <w:tcW w:w="1729" w:type="dxa"/>
          </w:tcPr>
          <w:p w14:paraId="36D95CA8">
            <w:pPr>
              <w:spacing w:after="0"/>
            </w:pPr>
            <w:r>
              <w:rPr>
                <w:rFonts w:ascii="宋体" w:hAnsi="宋体" w:eastAsia="宋体"/>
                <w:sz w:val="22"/>
              </w:rPr>
              <w:t>流量基线采集（72小时+）</w:t>
            </w:r>
          </w:p>
        </w:tc>
        <w:tc>
          <w:tcPr>
            <w:tcW w:w="1729" w:type="dxa"/>
          </w:tcPr>
          <w:p w14:paraId="47DC6BCC">
            <w:pPr>
              <w:spacing w:after="0"/>
            </w:pPr>
            <w:r>
              <w:rPr>
                <w:rFonts w:ascii="宋体" w:hAnsi="宋体" w:eastAsia="宋体"/>
                <w:sz w:val="22"/>
              </w:rPr>
              <w:t>第29-33天</w:t>
            </w:r>
          </w:p>
        </w:tc>
        <w:tc>
          <w:tcPr>
            <w:tcW w:w="1729" w:type="dxa"/>
          </w:tcPr>
          <w:p w14:paraId="47B59B5C">
            <w:pPr>
              <w:spacing w:after="0"/>
            </w:pPr>
            <w:r>
              <w:rPr>
                <w:rFonts w:ascii="宋体" w:hAnsi="宋体" w:eastAsia="宋体"/>
                <w:sz w:val="22"/>
              </w:rPr>
              <w:t>监测系统工程师</w:t>
            </w:r>
          </w:p>
        </w:tc>
        <w:tc>
          <w:tcPr>
            <w:tcW w:w="1729" w:type="dxa"/>
          </w:tcPr>
          <w:p w14:paraId="2FEEF913">
            <w:pPr>
              <w:spacing w:after="0"/>
            </w:pPr>
            <w:r>
              <w:rPr>
                <w:rFonts w:ascii="宋体" w:hAnsi="宋体" w:eastAsia="宋体"/>
                <w:sz w:val="22"/>
              </w:rPr>
              <w:t>基线数据</w:t>
            </w:r>
          </w:p>
        </w:tc>
      </w:tr>
      <w:tr w14:paraId="51B66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66BBB2EA">
            <w:pPr>
              <w:spacing w:after="0"/>
            </w:pPr>
            <w:r>
              <w:rPr>
                <w:rFonts w:ascii="宋体" w:hAnsi="宋体" w:eastAsia="宋体"/>
                <w:sz w:val="22"/>
              </w:rPr>
              <w:t>2</w:t>
            </w:r>
          </w:p>
        </w:tc>
        <w:tc>
          <w:tcPr>
            <w:tcW w:w="1729" w:type="dxa"/>
          </w:tcPr>
          <w:p w14:paraId="71615576">
            <w:pPr>
              <w:spacing w:after="0"/>
            </w:pPr>
            <w:r>
              <w:rPr>
                <w:rFonts w:ascii="宋体" w:hAnsi="宋体" w:eastAsia="宋体"/>
                <w:sz w:val="22"/>
              </w:rPr>
              <w:t>探针策略评估和优化</w:t>
            </w:r>
          </w:p>
        </w:tc>
        <w:tc>
          <w:tcPr>
            <w:tcW w:w="1729" w:type="dxa"/>
          </w:tcPr>
          <w:p w14:paraId="1BC60463">
            <w:pPr>
              <w:spacing w:after="0"/>
            </w:pPr>
            <w:r>
              <w:rPr>
                <w:rFonts w:ascii="宋体" w:hAnsi="宋体" w:eastAsia="宋体"/>
                <w:sz w:val="22"/>
              </w:rPr>
              <w:t>第33-38天</w:t>
            </w:r>
          </w:p>
        </w:tc>
        <w:tc>
          <w:tcPr>
            <w:tcW w:w="1729" w:type="dxa"/>
          </w:tcPr>
          <w:p w14:paraId="41D32DF8">
            <w:pPr>
              <w:spacing w:after="0"/>
            </w:pPr>
            <w:r>
              <w:rPr>
                <w:rFonts w:ascii="宋体" w:hAnsi="宋体" w:eastAsia="宋体"/>
                <w:sz w:val="22"/>
              </w:rPr>
              <w:t>监测系统工程师</w:t>
            </w:r>
          </w:p>
        </w:tc>
        <w:tc>
          <w:tcPr>
            <w:tcW w:w="1729" w:type="dxa"/>
          </w:tcPr>
          <w:p w14:paraId="590CC30F">
            <w:pPr>
              <w:spacing w:after="0"/>
            </w:pPr>
            <w:r>
              <w:rPr>
                <w:rFonts w:ascii="宋体" w:hAnsi="宋体" w:eastAsia="宋体"/>
                <w:sz w:val="22"/>
              </w:rPr>
              <w:t>优化策略配置</w:t>
            </w:r>
          </w:p>
        </w:tc>
      </w:tr>
      <w:tr w14:paraId="5714E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5B7D7E55">
            <w:pPr>
              <w:spacing w:after="0"/>
            </w:pPr>
            <w:r>
              <w:rPr>
                <w:rFonts w:ascii="宋体" w:hAnsi="宋体" w:eastAsia="宋体"/>
                <w:sz w:val="22"/>
              </w:rPr>
              <w:t>3</w:t>
            </w:r>
          </w:p>
        </w:tc>
        <w:tc>
          <w:tcPr>
            <w:tcW w:w="1729" w:type="dxa"/>
          </w:tcPr>
          <w:p w14:paraId="3B6E2429">
            <w:pPr>
              <w:spacing w:after="0"/>
            </w:pPr>
            <w:r>
              <w:rPr>
                <w:rFonts w:ascii="宋体" w:hAnsi="宋体" w:eastAsia="宋体"/>
                <w:sz w:val="22"/>
              </w:rPr>
              <w:t>二次设备指纹采集</w:t>
            </w:r>
          </w:p>
        </w:tc>
        <w:tc>
          <w:tcPr>
            <w:tcW w:w="1729" w:type="dxa"/>
          </w:tcPr>
          <w:p w14:paraId="0F715D5A">
            <w:pPr>
              <w:spacing w:after="0"/>
            </w:pPr>
            <w:r>
              <w:rPr>
                <w:rFonts w:ascii="宋体" w:hAnsi="宋体" w:eastAsia="宋体"/>
                <w:sz w:val="22"/>
              </w:rPr>
              <w:t>第29-33天</w:t>
            </w:r>
          </w:p>
        </w:tc>
        <w:tc>
          <w:tcPr>
            <w:tcW w:w="1729" w:type="dxa"/>
          </w:tcPr>
          <w:p w14:paraId="74FF1649">
            <w:pPr>
              <w:spacing w:after="0"/>
            </w:pPr>
            <w:r>
              <w:rPr>
                <w:rFonts w:ascii="宋体" w:hAnsi="宋体" w:eastAsia="宋体"/>
                <w:sz w:val="22"/>
              </w:rPr>
              <w:t>监测系统工程师</w:t>
            </w:r>
          </w:p>
        </w:tc>
        <w:tc>
          <w:tcPr>
            <w:tcW w:w="1729" w:type="dxa"/>
          </w:tcPr>
          <w:p w14:paraId="1EF99E9F">
            <w:pPr>
              <w:spacing w:after="0"/>
            </w:pPr>
            <w:r>
              <w:rPr>
                <w:rFonts w:ascii="宋体" w:hAnsi="宋体" w:eastAsia="宋体"/>
                <w:sz w:val="22"/>
              </w:rPr>
              <w:t>指纹数据</w:t>
            </w:r>
          </w:p>
        </w:tc>
      </w:tr>
      <w:tr w14:paraId="1D76F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5758F2E4">
            <w:pPr>
              <w:spacing w:after="0"/>
            </w:pPr>
            <w:r>
              <w:rPr>
                <w:rFonts w:ascii="宋体" w:hAnsi="宋体" w:eastAsia="宋体"/>
                <w:sz w:val="22"/>
              </w:rPr>
              <w:t>4</w:t>
            </w:r>
          </w:p>
        </w:tc>
        <w:tc>
          <w:tcPr>
            <w:tcW w:w="1729" w:type="dxa"/>
          </w:tcPr>
          <w:p w14:paraId="7621C3C3">
            <w:pPr>
              <w:spacing w:after="0"/>
            </w:pPr>
            <w:r>
              <w:rPr>
                <w:rFonts w:ascii="宋体" w:hAnsi="宋体" w:eastAsia="宋体"/>
                <w:sz w:val="22"/>
              </w:rPr>
              <w:t>设备特征库更新和辨识提升</w:t>
            </w:r>
          </w:p>
        </w:tc>
        <w:tc>
          <w:tcPr>
            <w:tcW w:w="1729" w:type="dxa"/>
          </w:tcPr>
          <w:p w14:paraId="69F0B4FB">
            <w:pPr>
              <w:spacing w:after="0"/>
            </w:pPr>
            <w:r>
              <w:rPr>
                <w:rFonts w:ascii="宋体" w:hAnsi="宋体" w:eastAsia="宋体"/>
                <w:sz w:val="22"/>
              </w:rPr>
              <w:t>第33-38天</w:t>
            </w:r>
          </w:p>
        </w:tc>
        <w:tc>
          <w:tcPr>
            <w:tcW w:w="1729" w:type="dxa"/>
          </w:tcPr>
          <w:p w14:paraId="42649792">
            <w:pPr>
              <w:spacing w:after="0"/>
            </w:pPr>
            <w:r>
              <w:rPr>
                <w:rFonts w:ascii="宋体" w:hAnsi="宋体" w:eastAsia="宋体"/>
                <w:sz w:val="22"/>
              </w:rPr>
              <w:t>监测系统工程师</w:t>
            </w:r>
          </w:p>
        </w:tc>
        <w:tc>
          <w:tcPr>
            <w:tcW w:w="1729" w:type="dxa"/>
          </w:tcPr>
          <w:p w14:paraId="25857281">
            <w:pPr>
              <w:spacing w:after="0"/>
            </w:pPr>
            <w:r>
              <w:rPr>
                <w:rFonts w:ascii="宋体" w:hAnsi="宋体" w:eastAsia="宋体"/>
                <w:sz w:val="22"/>
              </w:rPr>
              <w:t>特征库文件</w:t>
            </w:r>
          </w:p>
        </w:tc>
      </w:tr>
      <w:tr w14:paraId="539C3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58C28FCA">
            <w:pPr>
              <w:spacing w:after="0"/>
            </w:pPr>
            <w:r>
              <w:rPr>
                <w:rFonts w:ascii="宋体" w:hAnsi="宋体" w:eastAsia="宋体"/>
                <w:sz w:val="22"/>
              </w:rPr>
              <w:t>5</w:t>
            </w:r>
          </w:p>
        </w:tc>
        <w:tc>
          <w:tcPr>
            <w:tcW w:w="1729" w:type="dxa"/>
          </w:tcPr>
          <w:p w14:paraId="3581BD56">
            <w:pPr>
              <w:spacing w:after="0"/>
            </w:pPr>
            <w:r>
              <w:rPr>
                <w:rFonts w:ascii="宋体" w:hAnsi="宋体" w:eastAsia="宋体"/>
                <w:sz w:val="22"/>
              </w:rPr>
              <w:t>代理软件接入策略整改</w:t>
            </w:r>
          </w:p>
        </w:tc>
        <w:tc>
          <w:tcPr>
            <w:tcW w:w="1729" w:type="dxa"/>
          </w:tcPr>
          <w:p w14:paraId="33C7656C">
            <w:pPr>
              <w:spacing w:after="0"/>
            </w:pPr>
            <w:r>
              <w:rPr>
                <w:rFonts w:ascii="宋体" w:hAnsi="宋体" w:eastAsia="宋体"/>
                <w:sz w:val="22"/>
              </w:rPr>
              <w:t>第35-40天</w:t>
            </w:r>
          </w:p>
        </w:tc>
        <w:tc>
          <w:tcPr>
            <w:tcW w:w="1729" w:type="dxa"/>
          </w:tcPr>
          <w:p w14:paraId="327FB383">
            <w:pPr>
              <w:spacing w:after="0"/>
            </w:pPr>
            <w:r>
              <w:rPr>
                <w:rFonts w:ascii="宋体" w:hAnsi="宋体" w:eastAsia="宋体"/>
                <w:sz w:val="22"/>
              </w:rPr>
              <w:t>安全加固工程师</w:t>
            </w:r>
          </w:p>
        </w:tc>
        <w:tc>
          <w:tcPr>
            <w:tcW w:w="1729" w:type="dxa"/>
          </w:tcPr>
          <w:p w14:paraId="092D3A82">
            <w:pPr>
              <w:spacing w:after="0"/>
            </w:pPr>
            <w:r>
              <w:rPr>
                <w:rFonts w:ascii="宋体" w:hAnsi="宋体" w:eastAsia="宋体"/>
                <w:sz w:val="22"/>
              </w:rPr>
              <w:t>策略整改记录</w:t>
            </w:r>
          </w:p>
        </w:tc>
      </w:tr>
      <w:tr w14:paraId="74A85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335768BD">
            <w:pPr>
              <w:spacing w:after="0"/>
            </w:pPr>
            <w:r>
              <w:rPr>
                <w:rFonts w:ascii="宋体" w:hAnsi="宋体" w:eastAsia="宋体"/>
                <w:sz w:val="22"/>
              </w:rPr>
              <w:t>6</w:t>
            </w:r>
          </w:p>
        </w:tc>
        <w:tc>
          <w:tcPr>
            <w:tcW w:w="1729" w:type="dxa"/>
          </w:tcPr>
          <w:p w14:paraId="30FED941">
            <w:pPr>
              <w:spacing w:after="0"/>
            </w:pPr>
            <w:r>
              <w:rPr>
                <w:rFonts w:ascii="宋体" w:hAnsi="宋体" w:eastAsia="宋体"/>
                <w:sz w:val="22"/>
              </w:rPr>
              <w:t>策略调优迭代验证</w:t>
            </w:r>
          </w:p>
        </w:tc>
        <w:tc>
          <w:tcPr>
            <w:tcW w:w="1729" w:type="dxa"/>
          </w:tcPr>
          <w:p w14:paraId="1EAC33C6">
            <w:pPr>
              <w:spacing w:after="0"/>
            </w:pPr>
            <w:r>
              <w:rPr>
                <w:rFonts w:ascii="宋体" w:hAnsi="宋体" w:eastAsia="宋体"/>
                <w:sz w:val="22"/>
              </w:rPr>
              <w:t>第38-42天</w:t>
            </w:r>
          </w:p>
        </w:tc>
        <w:tc>
          <w:tcPr>
            <w:tcW w:w="1729" w:type="dxa"/>
          </w:tcPr>
          <w:p w14:paraId="5002DDE1">
            <w:pPr>
              <w:spacing w:after="0"/>
            </w:pPr>
            <w:r>
              <w:rPr>
                <w:rFonts w:ascii="宋体" w:hAnsi="宋体" w:eastAsia="宋体"/>
                <w:sz w:val="22"/>
              </w:rPr>
              <w:t>验证测试工程师</w:t>
            </w:r>
          </w:p>
        </w:tc>
        <w:tc>
          <w:tcPr>
            <w:tcW w:w="1729" w:type="dxa"/>
          </w:tcPr>
          <w:p w14:paraId="1A32755B">
            <w:pPr>
              <w:spacing w:after="0"/>
            </w:pPr>
            <w:r>
              <w:rPr>
                <w:rFonts w:ascii="宋体" w:hAnsi="宋体" w:eastAsia="宋体"/>
                <w:sz w:val="22"/>
              </w:rPr>
              <w:t>调优效果评估</w:t>
            </w:r>
          </w:p>
        </w:tc>
      </w:tr>
    </w:tbl>
    <w:p w14:paraId="5825F56E"/>
    <w:p w14:paraId="095022FB">
      <w:pPr>
        <w:spacing w:line="360" w:lineRule="auto"/>
        <w:ind w:firstLine="480"/>
      </w:pPr>
      <w:r>
        <w:rPr>
          <w:rFonts w:ascii="宋体" w:hAnsi="宋体" w:eastAsia="宋体"/>
          <w:b/>
          <w:sz w:val="24"/>
        </w:rPr>
        <w:t>13.2.4 第四阶段详细计划（第7-8周）</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729"/>
        <w:gridCol w:w="1729"/>
        <w:gridCol w:w="1729"/>
      </w:tblGrid>
      <w:tr w14:paraId="116D2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2441EFA6">
            <w:pPr>
              <w:spacing w:after="0"/>
              <w:jc w:val="center"/>
            </w:pPr>
            <w:r>
              <w:rPr>
                <w:rFonts w:ascii="宋体" w:hAnsi="宋体" w:eastAsia="宋体"/>
                <w:b/>
                <w:sz w:val="22"/>
              </w:rPr>
              <w:t>序号</w:t>
            </w:r>
          </w:p>
        </w:tc>
        <w:tc>
          <w:tcPr>
            <w:tcW w:w="1729" w:type="dxa"/>
          </w:tcPr>
          <w:p w14:paraId="27636889">
            <w:pPr>
              <w:spacing w:after="0"/>
              <w:jc w:val="center"/>
            </w:pPr>
            <w:r>
              <w:rPr>
                <w:rFonts w:ascii="宋体" w:hAnsi="宋体" w:eastAsia="宋体"/>
                <w:b/>
                <w:sz w:val="22"/>
              </w:rPr>
              <w:t>工作内容</w:t>
            </w:r>
          </w:p>
        </w:tc>
        <w:tc>
          <w:tcPr>
            <w:tcW w:w="1729" w:type="dxa"/>
          </w:tcPr>
          <w:p w14:paraId="71DE4BE8">
            <w:pPr>
              <w:spacing w:after="0"/>
              <w:jc w:val="center"/>
            </w:pPr>
            <w:r>
              <w:rPr>
                <w:rFonts w:ascii="宋体" w:hAnsi="宋体" w:eastAsia="宋体"/>
                <w:b/>
                <w:sz w:val="22"/>
              </w:rPr>
              <w:t>计划时间</w:t>
            </w:r>
          </w:p>
        </w:tc>
        <w:tc>
          <w:tcPr>
            <w:tcW w:w="1729" w:type="dxa"/>
          </w:tcPr>
          <w:p w14:paraId="76E5B9B7">
            <w:pPr>
              <w:spacing w:after="0"/>
              <w:jc w:val="center"/>
            </w:pPr>
            <w:r>
              <w:rPr>
                <w:rFonts w:ascii="宋体" w:hAnsi="宋体" w:eastAsia="宋体"/>
                <w:b/>
                <w:sz w:val="22"/>
              </w:rPr>
              <w:t>负责人</w:t>
            </w:r>
          </w:p>
        </w:tc>
        <w:tc>
          <w:tcPr>
            <w:tcW w:w="1729" w:type="dxa"/>
          </w:tcPr>
          <w:p w14:paraId="13631E08">
            <w:pPr>
              <w:spacing w:after="0"/>
              <w:jc w:val="center"/>
            </w:pPr>
            <w:r>
              <w:rPr>
                <w:rFonts w:ascii="宋体" w:hAnsi="宋体" w:eastAsia="宋体"/>
                <w:b/>
                <w:sz w:val="22"/>
              </w:rPr>
              <w:t>交付成果</w:t>
            </w:r>
          </w:p>
        </w:tc>
      </w:tr>
      <w:tr w14:paraId="0CA57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12425728">
            <w:pPr>
              <w:spacing w:after="0"/>
            </w:pPr>
            <w:r>
              <w:rPr>
                <w:rFonts w:ascii="宋体" w:hAnsi="宋体" w:eastAsia="宋体"/>
                <w:sz w:val="22"/>
              </w:rPr>
              <w:t>1</w:t>
            </w:r>
          </w:p>
        </w:tc>
        <w:tc>
          <w:tcPr>
            <w:tcW w:w="1729" w:type="dxa"/>
          </w:tcPr>
          <w:p w14:paraId="145D1574">
            <w:pPr>
              <w:spacing w:after="0"/>
            </w:pPr>
            <w:r>
              <w:rPr>
                <w:rFonts w:ascii="宋体" w:hAnsi="宋体" w:eastAsia="宋体"/>
                <w:sz w:val="22"/>
              </w:rPr>
              <w:t>全面效果验证</w:t>
            </w:r>
          </w:p>
        </w:tc>
        <w:tc>
          <w:tcPr>
            <w:tcW w:w="1729" w:type="dxa"/>
          </w:tcPr>
          <w:p w14:paraId="6D8EAE68">
            <w:pPr>
              <w:spacing w:after="0"/>
            </w:pPr>
            <w:r>
              <w:rPr>
                <w:rFonts w:ascii="宋体" w:hAnsi="宋体" w:eastAsia="宋体"/>
                <w:sz w:val="22"/>
              </w:rPr>
              <w:t>第43-45天</w:t>
            </w:r>
          </w:p>
        </w:tc>
        <w:tc>
          <w:tcPr>
            <w:tcW w:w="1729" w:type="dxa"/>
          </w:tcPr>
          <w:p w14:paraId="4D274A12">
            <w:pPr>
              <w:spacing w:after="0"/>
            </w:pPr>
            <w:r>
              <w:rPr>
                <w:rFonts w:ascii="宋体" w:hAnsi="宋体" w:eastAsia="宋体"/>
                <w:sz w:val="22"/>
              </w:rPr>
              <w:t>验证测试工程师</w:t>
            </w:r>
          </w:p>
        </w:tc>
        <w:tc>
          <w:tcPr>
            <w:tcW w:w="1729" w:type="dxa"/>
          </w:tcPr>
          <w:p w14:paraId="506BAEDA">
            <w:pPr>
              <w:spacing w:after="0"/>
            </w:pPr>
            <w:r>
              <w:rPr>
                <w:rFonts w:ascii="宋体" w:hAnsi="宋体" w:eastAsia="宋体"/>
                <w:sz w:val="22"/>
              </w:rPr>
              <w:t>效果验证报告</w:t>
            </w:r>
          </w:p>
        </w:tc>
      </w:tr>
      <w:tr w14:paraId="67FD5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3C9BBAB2">
            <w:pPr>
              <w:spacing w:after="0"/>
            </w:pPr>
            <w:r>
              <w:rPr>
                <w:rFonts w:ascii="宋体" w:hAnsi="宋体" w:eastAsia="宋体"/>
                <w:sz w:val="22"/>
              </w:rPr>
              <w:t>2</w:t>
            </w:r>
          </w:p>
        </w:tc>
        <w:tc>
          <w:tcPr>
            <w:tcW w:w="1729" w:type="dxa"/>
          </w:tcPr>
          <w:p w14:paraId="3C462938">
            <w:pPr>
              <w:spacing w:after="0"/>
            </w:pPr>
            <w:r>
              <w:rPr>
                <w:rFonts w:ascii="宋体" w:hAnsi="宋体" w:eastAsia="宋体"/>
                <w:sz w:val="22"/>
              </w:rPr>
              <w:t>观察期监测（7天）</w:t>
            </w:r>
          </w:p>
        </w:tc>
        <w:tc>
          <w:tcPr>
            <w:tcW w:w="1729" w:type="dxa"/>
          </w:tcPr>
          <w:p w14:paraId="3B84CB21">
            <w:pPr>
              <w:spacing w:after="0"/>
            </w:pPr>
            <w:r>
              <w:rPr>
                <w:rFonts w:ascii="宋体" w:hAnsi="宋体" w:eastAsia="宋体"/>
                <w:sz w:val="22"/>
              </w:rPr>
              <w:t>第43-49天</w:t>
            </w:r>
          </w:p>
        </w:tc>
        <w:tc>
          <w:tcPr>
            <w:tcW w:w="1729" w:type="dxa"/>
          </w:tcPr>
          <w:p w14:paraId="25CB1E42">
            <w:pPr>
              <w:spacing w:after="0"/>
            </w:pPr>
            <w:r>
              <w:rPr>
                <w:rFonts w:ascii="宋体" w:hAnsi="宋体" w:eastAsia="宋体"/>
                <w:sz w:val="22"/>
              </w:rPr>
              <w:t>监测系统工程师</w:t>
            </w:r>
          </w:p>
        </w:tc>
        <w:tc>
          <w:tcPr>
            <w:tcW w:w="1729" w:type="dxa"/>
          </w:tcPr>
          <w:p w14:paraId="6A4F7E61">
            <w:pPr>
              <w:spacing w:after="0"/>
            </w:pPr>
            <w:r>
              <w:rPr>
                <w:rFonts w:ascii="宋体" w:hAnsi="宋体" w:eastAsia="宋体"/>
                <w:sz w:val="22"/>
              </w:rPr>
              <w:t>观察期记录</w:t>
            </w:r>
          </w:p>
        </w:tc>
      </w:tr>
      <w:tr w14:paraId="630B1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3F7C1517">
            <w:pPr>
              <w:spacing w:after="0"/>
            </w:pPr>
            <w:r>
              <w:rPr>
                <w:rFonts w:ascii="宋体" w:hAnsi="宋体" w:eastAsia="宋体"/>
                <w:sz w:val="22"/>
              </w:rPr>
              <w:t>3</w:t>
            </w:r>
          </w:p>
        </w:tc>
        <w:tc>
          <w:tcPr>
            <w:tcW w:w="1729" w:type="dxa"/>
          </w:tcPr>
          <w:p w14:paraId="625A9C91">
            <w:pPr>
              <w:spacing w:after="0"/>
            </w:pPr>
            <w:r>
              <w:rPr>
                <w:rFonts w:ascii="宋体" w:hAnsi="宋体" w:eastAsia="宋体"/>
                <w:sz w:val="22"/>
              </w:rPr>
              <w:t>问题整改和优化</w:t>
            </w:r>
          </w:p>
        </w:tc>
        <w:tc>
          <w:tcPr>
            <w:tcW w:w="1729" w:type="dxa"/>
          </w:tcPr>
          <w:p w14:paraId="4D27F848">
            <w:pPr>
              <w:spacing w:after="0"/>
            </w:pPr>
            <w:r>
              <w:rPr>
                <w:rFonts w:ascii="宋体" w:hAnsi="宋体" w:eastAsia="宋体"/>
                <w:sz w:val="22"/>
              </w:rPr>
              <w:t>第47-52天</w:t>
            </w:r>
          </w:p>
        </w:tc>
        <w:tc>
          <w:tcPr>
            <w:tcW w:w="1729" w:type="dxa"/>
          </w:tcPr>
          <w:p w14:paraId="72B590C4">
            <w:pPr>
              <w:spacing w:after="0"/>
            </w:pPr>
            <w:r>
              <w:rPr>
                <w:rFonts w:ascii="宋体" w:hAnsi="宋体" w:eastAsia="宋体"/>
                <w:sz w:val="22"/>
              </w:rPr>
              <w:t>全体技术人员</w:t>
            </w:r>
          </w:p>
        </w:tc>
        <w:tc>
          <w:tcPr>
            <w:tcW w:w="1729" w:type="dxa"/>
          </w:tcPr>
          <w:p w14:paraId="3A44EB8A">
            <w:pPr>
              <w:spacing w:after="0"/>
            </w:pPr>
            <w:r>
              <w:rPr>
                <w:rFonts w:ascii="宋体" w:hAnsi="宋体" w:eastAsia="宋体"/>
                <w:sz w:val="22"/>
              </w:rPr>
              <w:t>整改记录</w:t>
            </w:r>
          </w:p>
        </w:tc>
      </w:tr>
      <w:tr w14:paraId="4BE60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32017EEB">
            <w:pPr>
              <w:spacing w:after="0"/>
            </w:pPr>
            <w:r>
              <w:rPr>
                <w:rFonts w:ascii="宋体" w:hAnsi="宋体" w:eastAsia="宋体"/>
                <w:sz w:val="22"/>
              </w:rPr>
              <w:t>4</w:t>
            </w:r>
          </w:p>
        </w:tc>
        <w:tc>
          <w:tcPr>
            <w:tcW w:w="1729" w:type="dxa"/>
          </w:tcPr>
          <w:p w14:paraId="23451412">
            <w:pPr>
              <w:spacing w:after="0"/>
            </w:pPr>
            <w:r>
              <w:rPr>
                <w:rFonts w:ascii="宋体" w:hAnsi="宋体" w:eastAsia="宋体"/>
                <w:sz w:val="22"/>
              </w:rPr>
              <w:t>项目文档编制</w:t>
            </w:r>
          </w:p>
        </w:tc>
        <w:tc>
          <w:tcPr>
            <w:tcW w:w="1729" w:type="dxa"/>
          </w:tcPr>
          <w:p w14:paraId="62EFB11F">
            <w:pPr>
              <w:spacing w:after="0"/>
            </w:pPr>
            <w:r>
              <w:rPr>
                <w:rFonts w:ascii="宋体" w:hAnsi="宋体" w:eastAsia="宋体"/>
                <w:sz w:val="22"/>
              </w:rPr>
              <w:t>第50-54天</w:t>
            </w:r>
          </w:p>
        </w:tc>
        <w:tc>
          <w:tcPr>
            <w:tcW w:w="1729" w:type="dxa"/>
          </w:tcPr>
          <w:p w14:paraId="49871D1F">
            <w:pPr>
              <w:spacing w:after="0"/>
            </w:pPr>
            <w:r>
              <w:rPr>
                <w:rFonts w:ascii="宋体" w:hAnsi="宋体" w:eastAsia="宋体"/>
                <w:sz w:val="22"/>
              </w:rPr>
              <w:t>项目负责人</w:t>
            </w:r>
          </w:p>
        </w:tc>
        <w:tc>
          <w:tcPr>
            <w:tcW w:w="1729" w:type="dxa"/>
          </w:tcPr>
          <w:p w14:paraId="4F8D45E3">
            <w:pPr>
              <w:spacing w:after="0"/>
            </w:pPr>
            <w:r>
              <w:rPr>
                <w:rFonts w:ascii="宋体" w:hAnsi="宋体" w:eastAsia="宋体"/>
                <w:sz w:val="22"/>
              </w:rPr>
              <w:t>全套交付文档</w:t>
            </w:r>
          </w:p>
        </w:tc>
      </w:tr>
      <w:tr w14:paraId="7279B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7705762B">
            <w:pPr>
              <w:spacing w:after="0"/>
            </w:pPr>
            <w:r>
              <w:rPr>
                <w:rFonts w:ascii="宋体" w:hAnsi="宋体" w:eastAsia="宋体"/>
                <w:sz w:val="22"/>
              </w:rPr>
              <w:t>5</w:t>
            </w:r>
          </w:p>
        </w:tc>
        <w:tc>
          <w:tcPr>
            <w:tcW w:w="1729" w:type="dxa"/>
          </w:tcPr>
          <w:p w14:paraId="694E935E">
            <w:pPr>
              <w:spacing w:after="0"/>
            </w:pPr>
            <w:r>
              <w:rPr>
                <w:rFonts w:ascii="宋体" w:hAnsi="宋体" w:eastAsia="宋体"/>
                <w:sz w:val="22"/>
              </w:rPr>
              <w:t>成果提交和项目验收</w:t>
            </w:r>
          </w:p>
        </w:tc>
        <w:tc>
          <w:tcPr>
            <w:tcW w:w="1729" w:type="dxa"/>
          </w:tcPr>
          <w:p w14:paraId="2E6820C0">
            <w:pPr>
              <w:spacing w:after="0"/>
            </w:pPr>
            <w:r>
              <w:rPr>
                <w:rFonts w:ascii="宋体" w:hAnsi="宋体" w:eastAsia="宋体"/>
                <w:sz w:val="22"/>
              </w:rPr>
              <w:t>第54-56天</w:t>
            </w:r>
          </w:p>
        </w:tc>
        <w:tc>
          <w:tcPr>
            <w:tcW w:w="1729" w:type="dxa"/>
          </w:tcPr>
          <w:p w14:paraId="05F8C527">
            <w:pPr>
              <w:spacing w:after="0"/>
            </w:pPr>
            <w:r>
              <w:rPr>
                <w:rFonts w:ascii="宋体" w:hAnsi="宋体" w:eastAsia="宋体"/>
                <w:sz w:val="22"/>
              </w:rPr>
              <w:t>项目负责人</w:t>
            </w:r>
          </w:p>
        </w:tc>
        <w:tc>
          <w:tcPr>
            <w:tcW w:w="1729" w:type="dxa"/>
          </w:tcPr>
          <w:p w14:paraId="00C3449D">
            <w:pPr>
              <w:spacing w:after="0"/>
            </w:pPr>
            <w:r>
              <w:rPr>
                <w:rFonts w:ascii="宋体" w:hAnsi="宋体" w:eastAsia="宋体"/>
                <w:sz w:val="22"/>
              </w:rPr>
              <w:t>验收报告</w:t>
            </w:r>
          </w:p>
        </w:tc>
      </w:tr>
    </w:tbl>
    <w:p w14:paraId="45383B0C"/>
    <w:p w14:paraId="443DD5A5">
      <w:pPr>
        <w:pStyle w:val="5"/>
      </w:pPr>
      <w:r>
        <w:rPr>
          <w:rFonts w:ascii="黑体" w:hAnsi="黑体" w:eastAsia="黑体"/>
          <w:b/>
        </w:rPr>
        <w:t>13.3 沟通协调计划</w:t>
      </w:r>
    </w:p>
    <w:p w14:paraId="33AFC558">
      <w:pPr>
        <w:spacing w:line="360" w:lineRule="auto"/>
        <w:ind w:firstLine="480"/>
      </w:pPr>
      <w:r>
        <w:rPr>
          <w:rFonts w:ascii="宋体" w:hAnsi="宋体" w:eastAsia="宋体"/>
          <w:b w:val="0"/>
          <w:sz w:val="24"/>
        </w:rPr>
        <w:t>（1）项目启动会：项目进场第一天召开，与阿克苏供电公司明确工作要求和配合事项。</w:t>
      </w:r>
    </w:p>
    <w:p w14:paraId="40F3E8AE">
      <w:pPr>
        <w:spacing w:line="360" w:lineRule="auto"/>
        <w:ind w:firstLine="480"/>
      </w:pPr>
      <w:r>
        <w:rPr>
          <w:rFonts w:ascii="宋体" w:hAnsi="宋体" w:eastAsia="宋体"/>
          <w:b w:val="0"/>
          <w:sz w:val="24"/>
        </w:rPr>
        <w:t>（2）日报告制度：每个工作日下班前向阿克苏供电公司汇报当日工作进展和发现的问题。</w:t>
      </w:r>
    </w:p>
    <w:p w14:paraId="1B089124">
      <w:pPr>
        <w:spacing w:line="360" w:lineRule="auto"/>
        <w:ind w:firstLine="480"/>
      </w:pPr>
      <w:r>
        <w:rPr>
          <w:rFonts w:ascii="宋体" w:hAnsi="宋体" w:eastAsia="宋体"/>
          <w:b w:val="0"/>
          <w:sz w:val="24"/>
        </w:rPr>
        <w:t>（3）周例会：每周召开一次项目例会，汇报整体进展、讨论技术问题、协调配合事项。</w:t>
      </w:r>
    </w:p>
    <w:p w14:paraId="41DBBB59">
      <w:pPr>
        <w:spacing w:line="360" w:lineRule="auto"/>
        <w:ind w:firstLine="480"/>
      </w:pPr>
      <w:r>
        <w:rPr>
          <w:rFonts w:ascii="宋体" w:hAnsi="宋体" w:eastAsia="宋体"/>
          <w:b w:val="0"/>
          <w:sz w:val="24"/>
        </w:rPr>
        <w:t>（4）关键节点确认：每个阶段转换和关键操作执行前，与阿克苏供电公司进行确认。</w:t>
      </w:r>
    </w:p>
    <w:p w14:paraId="015B6F71">
      <w:pPr>
        <w:spacing w:line="360" w:lineRule="auto"/>
        <w:ind w:firstLine="480"/>
      </w:pPr>
      <w:r>
        <w:rPr>
          <w:rFonts w:ascii="宋体" w:hAnsi="宋体" w:eastAsia="宋体"/>
          <w:b w:val="0"/>
          <w:sz w:val="24"/>
        </w:rPr>
        <w:t>（5）验收评审会：项目完成后组织验收评审会，提交成果文档，接受验收评审。</w:t>
      </w:r>
    </w:p>
    <w:p w14:paraId="29F88E28">
      <w:pPr>
        <w:pStyle w:val="5"/>
      </w:pPr>
      <w:r>
        <w:rPr>
          <w:rFonts w:ascii="黑体" w:hAnsi="黑体" w:eastAsia="黑体"/>
          <w:b/>
        </w:rPr>
        <w:t>13.4 风险管控计划</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42516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517CBC5">
            <w:pPr>
              <w:spacing w:after="0"/>
              <w:jc w:val="center"/>
            </w:pPr>
            <w:r>
              <w:rPr>
                <w:rFonts w:ascii="宋体" w:hAnsi="宋体" w:eastAsia="宋体"/>
                <w:b/>
                <w:sz w:val="22"/>
              </w:rPr>
              <w:t>序号</w:t>
            </w:r>
          </w:p>
        </w:tc>
        <w:tc>
          <w:tcPr>
            <w:tcW w:w="2161" w:type="dxa"/>
          </w:tcPr>
          <w:p w14:paraId="7C96DF2F">
            <w:pPr>
              <w:spacing w:after="0"/>
              <w:jc w:val="center"/>
            </w:pPr>
            <w:r>
              <w:rPr>
                <w:rFonts w:ascii="宋体" w:hAnsi="宋体" w:eastAsia="宋体"/>
                <w:b/>
                <w:sz w:val="22"/>
              </w:rPr>
              <w:t>风险类型</w:t>
            </w:r>
          </w:p>
        </w:tc>
        <w:tc>
          <w:tcPr>
            <w:tcW w:w="2161" w:type="dxa"/>
          </w:tcPr>
          <w:p w14:paraId="66EE7978">
            <w:pPr>
              <w:spacing w:after="0"/>
              <w:jc w:val="center"/>
            </w:pPr>
            <w:r>
              <w:rPr>
                <w:rFonts w:ascii="宋体" w:hAnsi="宋体" w:eastAsia="宋体"/>
                <w:b/>
                <w:sz w:val="22"/>
              </w:rPr>
              <w:t>风险描述</w:t>
            </w:r>
          </w:p>
        </w:tc>
        <w:tc>
          <w:tcPr>
            <w:tcW w:w="2161" w:type="dxa"/>
          </w:tcPr>
          <w:p w14:paraId="69721D49">
            <w:pPr>
              <w:spacing w:after="0"/>
              <w:jc w:val="center"/>
            </w:pPr>
            <w:r>
              <w:rPr>
                <w:rFonts w:ascii="宋体" w:hAnsi="宋体" w:eastAsia="宋体"/>
                <w:b/>
                <w:sz w:val="22"/>
              </w:rPr>
              <w:t>应对措施</w:t>
            </w:r>
          </w:p>
        </w:tc>
      </w:tr>
      <w:tr w14:paraId="7B5E7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1A51745">
            <w:pPr>
              <w:spacing w:after="0"/>
            </w:pPr>
            <w:r>
              <w:rPr>
                <w:rFonts w:ascii="宋体" w:hAnsi="宋体" w:eastAsia="宋体"/>
                <w:sz w:val="22"/>
              </w:rPr>
              <w:t>1</w:t>
            </w:r>
          </w:p>
        </w:tc>
        <w:tc>
          <w:tcPr>
            <w:tcW w:w="2161" w:type="dxa"/>
          </w:tcPr>
          <w:p w14:paraId="4E38D3BF">
            <w:pPr>
              <w:spacing w:after="0"/>
            </w:pPr>
            <w:r>
              <w:rPr>
                <w:rFonts w:ascii="宋体" w:hAnsi="宋体" w:eastAsia="宋体"/>
                <w:sz w:val="22"/>
              </w:rPr>
              <w:t>操作风险</w:t>
            </w:r>
          </w:p>
        </w:tc>
        <w:tc>
          <w:tcPr>
            <w:tcW w:w="2161" w:type="dxa"/>
          </w:tcPr>
          <w:p w14:paraId="21867D3A">
            <w:pPr>
              <w:spacing w:after="0"/>
            </w:pPr>
            <w:r>
              <w:rPr>
                <w:rFonts w:ascii="宋体" w:hAnsi="宋体" w:eastAsia="宋体"/>
                <w:sz w:val="22"/>
              </w:rPr>
              <w:t>设备操作导致功能异常</w:t>
            </w:r>
          </w:p>
        </w:tc>
        <w:tc>
          <w:tcPr>
            <w:tcW w:w="2161" w:type="dxa"/>
          </w:tcPr>
          <w:p w14:paraId="2B3DDB98">
            <w:pPr>
              <w:spacing w:after="0"/>
            </w:pPr>
            <w:r>
              <w:rPr>
                <w:rFonts w:ascii="宋体" w:hAnsi="宋体" w:eastAsia="宋体"/>
                <w:sz w:val="22"/>
              </w:rPr>
              <w:t>双人操作、备份先行、回退预案</w:t>
            </w:r>
          </w:p>
        </w:tc>
      </w:tr>
      <w:tr w14:paraId="2E725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E056E61">
            <w:pPr>
              <w:spacing w:after="0"/>
            </w:pPr>
            <w:r>
              <w:rPr>
                <w:rFonts w:ascii="宋体" w:hAnsi="宋体" w:eastAsia="宋体"/>
                <w:sz w:val="22"/>
              </w:rPr>
              <w:t>2</w:t>
            </w:r>
          </w:p>
        </w:tc>
        <w:tc>
          <w:tcPr>
            <w:tcW w:w="2161" w:type="dxa"/>
          </w:tcPr>
          <w:p w14:paraId="2551FF0C">
            <w:pPr>
              <w:spacing w:after="0"/>
            </w:pPr>
            <w:r>
              <w:rPr>
                <w:rFonts w:ascii="宋体" w:hAnsi="宋体" w:eastAsia="宋体"/>
                <w:sz w:val="22"/>
              </w:rPr>
              <w:t>进度风险</w:t>
            </w:r>
          </w:p>
        </w:tc>
        <w:tc>
          <w:tcPr>
            <w:tcW w:w="2161" w:type="dxa"/>
          </w:tcPr>
          <w:p w14:paraId="233A99B8">
            <w:pPr>
              <w:spacing w:after="0"/>
            </w:pPr>
            <w:r>
              <w:rPr>
                <w:rFonts w:ascii="宋体" w:hAnsi="宋体" w:eastAsia="宋体"/>
                <w:sz w:val="22"/>
              </w:rPr>
              <w:t>问题复杂度超出预期</w:t>
            </w:r>
          </w:p>
        </w:tc>
        <w:tc>
          <w:tcPr>
            <w:tcW w:w="2161" w:type="dxa"/>
          </w:tcPr>
          <w:p w14:paraId="70C77B26">
            <w:pPr>
              <w:spacing w:after="0"/>
            </w:pPr>
            <w:r>
              <w:rPr>
                <w:rFonts w:ascii="宋体" w:hAnsi="宋体" w:eastAsia="宋体"/>
                <w:sz w:val="22"/>
              </w:rPr>
              <w:t>预留缓冲时间、增加人力投入</w:t>
            </w:r>
          </w:p>
        </w:tc>
      </w:tr>
      <w:tr w14:paraId="7713D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CB19330">
            <w:pPr>
              <w:spacing w:after="0"/>
            </w:pPr>
            <w:r>
              <w:rPr>
                <w:rFonts w:ascii="宋体" w:hAnsi="宋体" w:eastAsia="宋体"/>
                <w:sz w:val="22"/>
              </w:rPr>
              <w:t>3</w:t>
            </w:r>
          </w:p>
        </w:tc>
        <w:tc>
          <w:tcPr>
            <w:tcW w:w="2161" w:type="dxa"/>
          </w:tcPr>
          <w:p w14:paraId="6586AD13">
            <w:pPr>
              <w:spacing w:after="0"/>
            </w:pPr>
            <w:r>
              <w:rPr>
                <w:rFonts w:ascii="宋体" w:hAnsi="宋体" w:eastAsia="宋体"/>
                <w:sz w:val="22"/>
              </w:rPr>
              <w:t>兼容性风险</w:t>
            </w:r>
          </w:p>
        </w:tc>
        <w:tc>
          <w:tcPr>
            <w:tcW w:w="2161" w:type="dxa"/>
          </w:tcPr>
          <w:p w14:paraId="1C916959">
            <w:pPr>
              <w:spacing w:after="0"/>
            </w:pPr>
            <w:r>
              <w:rPr>
                <w:rFonts w:ascii="宋体" w:hAnsi="宋体" w:eastAsia="宋体"/>
                <w:sz w:val="22"/>
              </w:rPr>
              <w:t>加固操作影响设备功能</w:t>
            </w:r>
          </w:p>
        </w:tc>
        <w:tc>
          <w:tcPr>
            <w:tcW w:w="2161" w:type="dxa"/>
          </w:tcPr>
          <w:p w14:paraId="4520068C">
            <w:pPr>
              <w:spacing w:after="0"/>
            </w:pPr>
            <w:r>
              <w:rPr>
                <w:rFonts w:ascii="宋体" w:hAnsi="宋体" w:eastAsia="宋体"/>
                <w:sz w:val="22"/>
              </w:rPr>
              <w:t>逐项实施验证、厂商技术支持</w:t>
            </w:r>
          </w:p>
        </w:tc>
      </w:tr>
      <w:tr w14:paraId="6A414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6D902E5">
            <w:pPr>
              <w:spacing w:after="0"/>
            </w:pPr>
            <w:r>
              <w:rPr>
                <w:rFonts w:ascii="宋体" w:hAnsi="宋体" w:eastAsia="宋体"/>
                <w:sz w:val="22"/>
              </w:rPr>
              <w:t>4</w:t>
            </w:r>
          </w:p>
        </w:tc>
        <w:tc>
          <w:tcPr>
            <w:tcW w:w="2161" w:type="dxa"/>
          </w:tcPr>
          <w:p w14:paraId="108CE62A">
            <w:pPr>
              <w:spacing w:after="0"/>
            </w:pPr>
            <w:r>
              <w:rPr>
                <w:rFonts w:ascii="宋体" w:hAnsi="宋体" w:eastAsia="宋体"/>
                <w:sz w:val="22"/>
              </w:rPr>
              <w:t>协调风险</w:t>
            </w:r>
          </w:p>
        </w:tc>
        <w:tc>
          <w:tcPr>
            <w:tcW w:w="2161" w:type="dxa"/>
          </w:tcPr>
          <w:p w14:paraId="70B93DD7">
            <w:pPr>
              <w:spacing w:after="0"/>
            </w:pPr>
            <w:r>
              <w:rPr>
                <w:rFonts w:ascii="宋体" w:hAnsi="宋体" w:eastAsia="宋体"/>
                <w:sz w:val="22"/>
              </w:rPr>
              <w:t>现场工作安排冲突</w:t>
            </w:r>
          </w:p>
        </w:tc>
        <w:tc>
          <w:tcPr>
            <w:tcW w:w="2161" w:type="dxa"/>
          </w:tcPr>
          <w:p w14:paraId="782831FF">
            <w:pPr>
              <w:spacing w:after="0"/>
            </w:pPr>
            <w:r>
              <w:rPr>
                <w:rFonts w:ascii="宋体" w:hAnsi="宋体" w:eastAsia="宋体"/>
                <w:sz w:val="22"/>
              </w:rPr>
              <w:t>提前协调、灵活调整计划</w:t>
            </w:r>
          </w:p>
        </w:tc>
      </w:tr>
      <w:tr w14:paraId="0741C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DFA5B6">
            <w:pPr>
              <w:spacing w:after="0"/>
            </w:pPr>
            <w:r>
              <w:rPr>
                <w:rFonts w:ascii="宋体" w:hAnsi="宋体" w:eastAsia="宋体"/>
                <w:sz w:val="22"/>
              </w:rPr>
              <w:t>5</w:t>
            </w:r>
          </w:p>
        </w:tc>
        <w:tc>
          <w:tcPr>
            <w:tcW w:w="2161" w:type="dxa"/>
          </w:tcPr>
          <w:p w14:paraId="6A391A09">
            <w:pPr>
              <w:spacing w:after="0"/>
            </w:pPr>
            <w:r>
              <w:rPr>
                <w:rFonts w:ascii="宋体" w:hAnsi="宋体" w:eastAsia="宋体"/>
                <w:sz w:val="22"/>
              </w:rPr>
              <w:t>效果风险</w:t>
            </w:r>
          </w:p>
        </w:tc>
        <w:tc>
          <w:tcPr>
            <w:tcW w:w="2161" w:type="dxa"/>
          </w:tcPr>
          <w:p w14:paraId="17E413BD">
            <w:pPr>
              <w:spacing w:after="0"/>
            </w:pPr>
            <w:r>
              <w:rPr>
                <w:rFonts w:ascii="宋体" w:hAnsi="宋体" w:eastAsia="宋体"/>
                <w:sz w:val="22"/>
              </w:rPr>
              <w:t>部分指标未达预期</w:t>
            </w:r>
          </w:p>
        </w:tc>
        <w:tc>
          <w:tcPr>
            <w:tcW w:w="2161" w:type="dxa"/>
          </w:tcPr>
          <w:p w14:paraId="5474454A">
            <w:pPr>
              <w:spacing w:after="0"/>
            </w:pPr>
            <w:r>
              <w:rPr>
                <w:rFonts w:ascii="宋体" w:hAnsi="宋体" w:eastAsia="宋体"/>
                <w:sz w:val="22"/>
              </w:rPr>
              <w:t>持续优化、延长观察期</w:t>
            </w:r>
          </w:p>
        </w:tc>
      </w:tr>
    </w:tbl>
    <w:p w14:paraId="13369D9D"/>
    <w:p w14:paraId="6759FDCD">
      <w:pPr>
        <w:pStyle w:val="5"/>
      </w:pPr>
      <w:r>
        <w:rPr>
          <w:rFonts w:ascii="黑体" w:hAnsi="黑体" w:eastAsia="黑体"/>
          <w:b/>
        </w:rPr>
        <w:t>13.5 成果交付清单</w:t>
      </w:r>
    </w:p>
    <w:p w14:paraId="5A6CEE0A">
      <w:pPr>
        <w:spacing w:line="360" w:lineRule="auto"/>
        <w:ind w:firstLine="480"/>
      </w:pPr>
      <w:r>
        <w:rPr>
          <w:rFonts w:ascii="宋体" w:hAnsi="宋体" w:eastAsia="宋体"/>
          <w:b w:val="0"/>
          <w:sz w:val="24"/>
        </w:rPr>
        <w:t>本项目计划交付以下成果文档：</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7AE19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E2A5BA6">
            <w:pPr>
              <w:spacing w:after="0"/>
              <w:jc w:val="center"/>
            </w:pPr>
            <w:r>
              <w:rPr>
                <w:rFonts w:ascii="宋体" w:hAnsi="宋体" w:eastAsia="宋体"/>
                <w:b/>
                <w:sz w:val="22"/>
              </w:rPr>
              <w:t>序号</w:t>
            </w:r>
          </w:p>
        </w:tc>
        <w:tc>
          <w:tcPr>
            <w:tcW w:w="2161" w:type="dxa"/>
          </w:tcPr>
          <w:p w14:paraId="23950C61">
            <w:pPr>
              <w:spacing w:after="0"/>
              <w:jc w:val="center"/>
            </w:pPr>
            <w:r>
              <w:rPr>
                <w:rFonts w:ascii="宋体" w:hAnsi="宋体" w:eastAsia="宋体"/>
                <w:b/>
                <w:sz w:val="22"/>
              </w:rPr>
              <w:t>交付成果</w:t>
            </w:r>
          </w:p>
        </w:tc>
        <w:tc>
          <w:tcPr>
            <w:tcW w:w="2161" w:type="dxa"/>
          </w:tcPr>
          <w:p w14:paraId="7F012915">
            <w:pPr>
              <w:spacing w:after="0"/>
              <w:jc w:val="center"/>
            </w:pPr>
            <w:r>
              <w:rPr>
                <w:rFonts w:ascii="宋体" w:hAnsi="宋体" w:eastAsia="宋体"/>
                <w:b/>
                <w:sz w:val="22"/>
              </w:rPr>
              <w:t>交付时间</w:t>
            </w:r>
          </w:p>
        </w:tc>
        <w:tc>
          <w:tcPr>
            <w:tcW w:w="2161" w:type="dxa"/>
          </w:tcPr>
          <w:p w14:paraId="47F0A805">
            <w:pPr>
              <w:spacing w:after="0"/>
              <w:jc w:val="center"/>
            </w:pPr>
            <w:r>
              <w:rPr>
                <w:rFonts w:ascii="宋体" w:hAnsi="宋体" w:eastAsia="宋体"/>
                <w:b/>
                <w:sz w:val="22"/>
              </w:rPr>
              <w:t>交付形式</w:t>
            </w:r>
          </w:p>
        </w:tc>
      </w:tr>
      <w:tr w14:paraId="5A305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747EC3">
            <w:pPr>
              <w:spacing w:after="0"/>
            </w:pPr>
            <w:r>
              <w:rPr>
                <w:rFonts w:ascii="宋体" w:hAnsi="宋体" w:eastAsia="宋体"/>
                <w:sz w:val="22"/>
              </w:rPr>
              <w:t>1</w:t>
            </w:r>
          </w:p>
        </w:tc>
        <w:tc>
          <w:tcPr>
            <w:tcW w:w="2161" w:type="dxa"/>
          </w:tcPr>
          <w:p w14:paraId="2AA08358">
            <w:pPr>
              <w:spacing w:after="0"/>
            </w:pPr>
            <w:r>
              <w:rPr>
                <w:rFonts w:ascii="宋体" w:hAnsi="宋体" w:eastAsia="宋体"/>
                <w:sz w:val="22"/>
              </w:rPr>
              <w:t>综合评估报告（含漏洞扫描报告）</w:t>
            </w:r>
          </w:p>
        </w:tc>
        <w:tc>
          <w:tcPr>
            <w:tcW w:w="2161" w:type="dxa"/>
          </w:tcPr>
          <w:p w14:paraId="4F53BA21">
            <w:pPr>
              <w:spacing w:after="0"/>
            </w:pPr>
            <w:r>
              <w:rPr>
                <w:rFonts w:ascii="宋体" w:hAnsi="宋体" w:eastAsia="宋体"/>
                <w:sz w:val="22"/>
              </w:rPr>
              <w:t>第2周末</w:t>
            </w:r>
          </w:p>
        </w:tc>
        <w:tc>
          <w:tcPr>
            <w:tcW w:w="2161" w:type="dxa"/>
          </w:tcPr>
          <w:p w14:paraId="79C87E56">
            <w:pPr>
              <w:spacing w:after="0"/>
            </w:pPr>
            <w:r>
              <w:rPr>
                <w:rFonts w:ascii="宋体" w:hAnsi="宋体" w:eastAsia="宋体"/>
                <w:sz w:val="22"/>
              </w:rPr>
              <w:t>纸质+电子版</w:t>
            </w:r>
          </w:p>
        </w:tc>
      </w:tr>
      <w:tr w14:paraId="558CC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03455D">
            <w:pPr>
              <w:spacing w:after="0"/>
            </w:pPr>
            <w:r>
              <w:rPr>
                <w:rFonts w:ascii="宋体" w:hAnsi="宋体" w:eastAsia="宋体"/>
                <w:sz w:val="22"/>
              </w:rPr>
              <w:t>2</w:t>
            </w:r>
          </w:p>
        </w:tc>
        <w:tc>
          <w:tcPr>
            <w:tcW w:w="2161" w:type="dxa"/>
          </w:tcPr>
          <w:p w14:paraId="5F5DC55B">
            <w:pPr>
              <w:spacing w:after="0"/>
            </w:pPr>
            <w:r>
              <w:rPr>
                <w:rFonts w:ascii="宋体" w:hAnsi="宋体" w:eastAsia="宋体"/>
                <w:sz w:val="22"/>
              </w:rPr>
              <w:t>实施方案（含各分项方案）</w:t>
            </w:r>
          </w:p>
        </w:tc>
        <w:tc>
          <w:tcPr>
            <w:tcW w:w="2161" w:type="dxa"/>
          </w:tcPr>
          <w:p w14:paraId="44357F94">
            <w:pPr>
              <w:spacing w:after="0"/>
            </w:pPr>
            <w:r>
              <w:rPr>
                <w:rFonts w:ascii="宋体" w:hAnsi="宋体" w:eastAsia="宋体"/>
                <w:sz w:val="22"/>
              </w:rPr>
              <w:t>第2周末</w:t>
            </w:r>
          </w:p>
        </w:tc>
        <w:tc>
          <w:tcPr>
            <w:tcW w:w="2161" w:type="dxa"/>
          </w:tcPr>
          <w:p w14:paraId="6B57692E">
            <w:pPr>
              <w:spacing w:after="0"/>
            </w:pPr>
            <w:r>
              <w:rPr>
                <w:rFonts w:ascii="宋体" w:hAnsi="宋体" w:eastAsia="宋体"/>
                <w:sz w:val="22"/>
              </w:rPr>
              <w:t>纸质+电子版</w:t>
            </w:r>
          </w:p>
        </w:tc>
      </w:tr>
      <w:tr w14:paraId="0578B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8C1A865">
            <w:pPr>
              <w:spacing w:after="0"/>
            </w:pPr>
            <w:r>
              <w:rPr>
                <w:rFonts w:ascii="宋体" w:hAnsi="宋体" w:eastAsia="宋体"/>
                <w:sz w:val="22"/>
              </w:rPr>
              <w:t>3</w:t>
            </w:r>
          </w:p>
        </w:tc>
        <w:tc>
          <w:tcPr>
            <w:tcW w:w="2161" w:type="dxa"/>
          </w:tcPr>
          <w:p w14:paraId="4F5E3973">
            <w:pPr>
              <w:spacing w:after="0"/>
            </w:pPr>
            <w:r>
              <w:rPr>
                <w:rFonts w:ascii="宋体" w:hAnsi="宋体" w:eastAsia="宋体"/>
                <w:sz w:val="22"/>
              </w:rPr>
              <w:t>漏洞修复验证报告</w:t>
            </w:r>
          </w:p>
        </w:tc>
        <w:tc>
          <w:tcPr>
            <w:tcW w:w="2161" w:type="dxa"/>
          </w:tcPr>
          <w:p w14:paraId="30724F8E">
            <w:pPr>
              <w:spacing w:after="0"/>
            </w:pPr>
            <w:r>
              <w:rPr>
                <w:rFonts w:ascii="宋体" w:hAnsi="宋体" w:eastAsia="宋体"/>
                <w:sz w:val="22"/>
              </w:rPr>
              <w:t>第4周末</w:t>
            </w:r>
          </w:p>
        </w:tc>
        <w:tc>
          <w:tcPr>
            <w:tcW w:w="2161" w:type="dxa"/>
          </w:tcPr>
          <w:p w14:paraId="0357114B">
            <w:pPr>
              <w:spacing w:after="0"/>
            </w:pPr>
            <w:r>
              <w:rPr>
                <w:rFonts w:ascii="宋体" w:hAnsi="宋体" w:eastAsia="宋体"/>
                <w:sz w:val="22"/>
              </w:rPr>
              <w:t>纸质+电子版</w:t>
            </w:r>
          </w:p>
        </w:tc>
      </w:tr>
      <w:tr w14:paraId="3DFE8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67B64EF">
            <w:pPr>
              <w:spacing w:after="0"/>
            </w:pPr>
            <w:r>
              <w:rPr>
                <w:rFonts w:ascii="宋体" w:hAnsi="宋体" w:eastAsia="宋体"/>
                <w:sz w:val="22"/>
              </w:rPr>
              <w:t>4</w:t>
            </w:r>
          </w:p>
        </w:tc>
        <w:tc>
          <w:tcPr>
            <w:tcW w:w="2161" w:type="dxa"/>
          </w:tcPr>
          <w:p w14:paraId="354264CC">
            <w:pPr>
              <w:spacing w:after="0"/>
            </w:pPr>
            <w:r>
              <w:rPr>
                <w:rFonts w:ascii="宋体" w:hAnsi="宋体" w:eastAsia="宋体"/>
                <w:sz w:val="22"/>
              </w:rPr>
              <w:t>设备接入验证报告</w:t>
            </w:r>
          </w:p>
        </w:tc>
        <w:tc>
          <w:tcPr>
            <w:tcW w:w="2161" w:type="dxa"/>
          </w:tcPr>
          <w:p w14:paraId="21237EA3">
            <w:pPr>
              <w:spacing w:after="0"/>
            </w:pPr>
            <w:r>
              <w:rPr>
                <w:rFonts w:ascii="宋体" w:hAnsi="宋体" w:eastAsia="宋体"/>
                <w:sz w:val="22"/>
              </w:rPr>
              <w:t>第4周末</w:t>
            </w:r>
          </w:p>
        </w:tc>
        <w:tc>
          <w:tcPr>
            <w:tcW w:w="2161" w:type="dxa"/>
          </w:tcPr>
          <w:p w14:paraId="396190B0">
            <w:pPr>
              <w:spacing w:after="0"/>
            </w:pPr>
            <w:r>
              <w:rPr>
                <w:rFonts w:ascii="宋体" w:hAnsi="宋体" w:eastAsia="宋体"/>
                <w:sz w:val="22"/>
              </w:rPr>
              <w:t>纸质+电子版</w:t>
            </w:r>
          </w:p>
        </w:tc>
      </w:tr>
      <w:tr w14:paraId="72066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1A6B03D">
            <w:pPr>
              <w:spacing w:after="0"/>
            </w:pPr>
            <w:r>
              <w:rPr>
                <w:rFonts w:ascii="宋体" w:hAnsi="宋体" w:eastAsia="宋体"/>
                <w:sz w:val="22"/>
              </w:rPr>
              <w:t>5</w:t>
            </w:r>
          </w:p>
        </w:tc>
        <w:tc>
          <w:tcPr>
            <w:tcW w:w="2161" w:type="dxa"/>
          </w:tcPr>
          <w:p w14:paraId="534B3E5E">
            <w:pPr>
              <w:spacing w:after="0"/>
            </w:pPr>
            <w:r>
              <w:rPr>
                <w:rFonts w:ascii="宋体" w:hAnsi="宋体" w:eastAsia="宋体"/>
                <w:sz w:val="22"/>
              </w:rPr>
              <w:t>安全加固报告</w:t>
            </w:r>
          </w:p>
        </w:tc>
        <w:tc>
          <w:tcPr>
            <w:tcW w:w="2161" w:type="dxa"/>
          </w:tcPr>
          <w:p w14:paraId="591DC59F">
            <w:pPr>
              <w:spacing w:after="0"/>
            </w:pPr>
            <w:r>
              <w:rPr>
                <w:rFonts w:ascii="宋体" w:hAnsi="宋体" w:eastAsia="宋体"/>
                <w:sz w:val="22"/>
              </w:rPr>
              <w:t>第4周末</w:t>
            </w:r>
          </w:p>
        </w:tc>
        <w:tc>
          <w:tcPr>
            <w:tcW w:w="2161" w:type="dxa"/>
          </w:tcPr>
          <w:p w14:paraId="25D32496">
            <w:pPr>
              <w:spacing w:after="0"/>
            </w:pPr>
            <w:r>
              <w:rPr>
                <w:rFonts w:ascii="宋体" w:hAnsi="宋体" w:eastAsia="宋体"/>
                <w:sz w:val="22"/>
              </w:rPr>
              <w:t>纸质+电子版</w:t>
            </w:r>
          </w:p>
        </w:tc>
      </w:tr>
      <w:tr w14:paraId="0683D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457BFBE">
            <w:pPr>
              <w:spacing w:after="0"/>
            </w:pPr>
            <w:r>
              <w:rPr>
                <w:rFonts w:ascii="宋体" w:hAnsi="宋体" w:eastAsia="宋体"/>
                <w:sz w:val="22"/>
              </w:rPr>
              <w:t>6</w:t>
            </w:r>
          </w:p>
        </w:tc>
        <w:tc>
          <w:tcPr>
            <w:tcW w:w="2161" w:type="dxa"/>
          </w:tcPr>
          <w:p w14:paraId="4BDC874E">
            <w:pPr>
              <w:spacing w:after="0"/>
            </w:pPr>
            <w:r>
              <w:rPr>
                <w:rFonts w:ascii="宋体" w:hAnsi="宋体" w:eastAsia="宋体"/>
                <w:sz w:val="22"/>
              </w:rPr>
              <w:t>端口封堵验证报告</w:t>
            </w:r>
          </w:p>
        </w:tc>
        <w:tc>
          <w:tcPr>
            <w:tcW w:w="2161" w:type="dxa"/>
          </w:tcPr>
          <w:p w14:paraId="0FA52A1A">
            <w:pPr>
              <w:spacing w:after="0"/>
            </w:pPr>
            <w:r>
              <w:rPr>
                <w:rFonts w:ascii="宋体" w:hAnsi="宋体" w:eastAsia="宋体"/>
                <w:sz w:val="22"/>
              </w:rPr>
              <w:t>第4周末</w:t>
            </w:r>
          </w:p>
        </w:tc>
        <w:tc>
          <w:tcPr>
            <w:tcW w:w="2161" w:type="dxa"/>
          </w:tcPr>
          <w:p w14:paraId="449819D6">
            <w:pPr>
              <w:spacing w:after="0"/>
            </w:pPr>
            <w:r>
              <w:rPr>
                <w:rFonts w:ascii="宋体" w:hAnsi="宋体" w:eastAsia="宋体"/>
                <w:sz w:val="22"/>
              </w:rPr>
              <w:t>纸质+电子版</w:t>
            </w:r>
          </w:p>
        </w:tc>
      </w:tr>
      <w:tr w14:paraId="08A33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9E81D1">
            <w:pPr>
              <w:spacing w:after="0"/>
            </w:pPr>
            <w:r>
              <w:rPr>
                <w:rFonts w:ascii="宋体" w:hAnsi="宋体" w:eastAsia="宋体"/>
                <w:sz w:val="22"/>
              </w:rPr>
              <w:t>7</w:t>
            </w:r>
          </w:p>
        </w:tc>
        <w:tc>
          <w:tcPr>
            <w:tcW w:w="2161" w:type="dxa"/>
          </w:tcPr>
          <w:p w14:paraId="4DB31D40">
            <w:pPr>
              <w:spacing w:after="0"/>
            </w:pPr>
            <w:r>
              <w:rPr>
                <w:rFonts w:ascii="宋体" w:hAnsi="宋体" w:eastAsia="宋体"/>
                <w:sz w:val="22"/>
              </w:rPr>
              <w:t>探针策略调优报告</w:t>
            </w:r>
          </w:p>
        </w:tc>
        <w:tc>
          <w:tcPr>
            <w:tcW w:w="2161" w:type="dxa"/>
          </w:tcPr>
          <w:p w14:paraId="1ECD3250">
            <w:pPr>
              <w:spacing w:after="0"/>
            </w:pPr>
            <w:r>
              <w:rPr>
                <w:rFonts w:ascii="宋体" w:hAnsi="宋体" w:eastAsia="宋体"/>
                <w:sz w:val="22"/>
              </w:rPr>
              <w:t>第6周末</w:t>
            </w:r>
          </w:p>
        </w:tc>
        <w:tc>
          <w:tcPr>
            <w:tcW w:w="2161" w:type="dxa"/>
          </w:tcPr>
          <w:p w14:paraId="065BBDDB">
            <w:pPr>
              <w:spacing w:after="0"/>
            </w:pPr>
            <w:r>
              <w:rPr>
                <w:rFonts w:ascii="宋体" w:hAnsi="宋体" w:eastAsia="宋体"/>
                <w:sz w:val="22"/>
              </w:rPr>
              <w:t>纸质+电子版</w:t>
            </w:r>
          </w:p>
        </w:tc>
      </w:tr>
      <w:tr w14:paraId="38882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100787F">
            <w:pPr>
              <w:spacing w:after="0"/>
            </w:pPr>
            <w:r>
              <w:rPr>
                <w:rFonts w:ascii="宋体" w:hAnsi="宋体" w:eastAsia="宋体"/>
                <w:sz w:val="22"/>
              </w:rPr>
              <w:t>8</w:t>
            </w:r>
          </w:p>
        </w:tc>
        <w:tc>
          <w:tcPr>
            <w:tcW w:w="2161" w:type="dxa"/>
          </w:tcPr>
          <w:p w14:paraId="584FFC8C">
            <w:pPr>
              <w:spacing w:after="0"/>
            </w:pPr>
            <w:r>
              <w:rPr>
                <w:rFonts w:ascii="宋体" w:hAnsi="宋体" w:eastAsia="宋体"/>
                <w:sz w:val="22"/>
              </w:rPr>
              <w:t>二次辨识提升报告</w:t>
            </w:r>
          </w:p>
        </w:tc>
        <w:tc>
          <w:tcPr>
            <w:tcW w:w="2161" w:type="dxa"/>
          </w:tcPr>
          <w:p w14:paraId="64B8EADD">
            <w:pPr>
              <w:spacing w:after="0"/>
            </w:pPr>
            <w:r>
              <w:rPr>
                <w:rFonts w:ascii="宋体" w:hAnsi="宋体" w:eastAsia="宋体"/>
                <w:sz w:val="22"/>
              </w:rPr>
              <w:t>第6周末</w:t>
            </w:r>
          </w:p>
        </w:tc>
        <w:tc>
          <w:tcPr>
            <w:tcW w:w="2161" w:type="dxa"/>
          </w:tcPr>
          <w:p w14:paraId="213F12C3">
            <w:pPr>
              <w:spacing w:after="0"/>
            </w:pPr>
            <w:r>
              <w:rPr>
                <w:rFonts w:ascii="宋体" w:hAnsi="宋体" w:eastAsia="宋体"/>
                <w:sz w:val="22"/>
              </w:rPr>
              <w:t>纸质+电子版</w:t>
            </w:r>
          </w:p>
        </w:tc>
      </w:tr>
      <w:tr w14:paraId="5424F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67D4F9E">
            <w:pPr>
              <w:spacing w:after="0"/>
            </w:pPr>
            <w:r>
              <w:rPr>
                <w:rFonts w:ascii="宋体" w:hAnsi="宋体" w:eastAsia="宋体"/>
                <w:sz w:val="22"/>
              </w:rPr>
              <w:t>9</w:t>
            </w:r>
          </w:p>
        </w:tc>
        <w:tc>
          <w:tcPr>
            <w:tcW w:w="2161" w:type="dxa"/>
          </w:tcPr>
          <w:p w14:paraId="6847131D">
            <w:pPr>
              <w:spacing w:after="0"/>
            </w:pPr>
            <w:r>
              <w:rPr>
                <w:rFonts w:ascii="宋体" w:hAnsi="宋体" w:eastAsia="宋体"/>
                <w:sz w:val="22"/>
              </w:rPr>
              <w:t>项目效果验证报告</w:t>
            </w:r>
          </w:p>
        </w:tc>
        <w:tc>
          <w:tcPr>
            <w:tcW w:w="2161" w:type="dxa"/>
          </w:tcPr>
          <w:p w14:paraId="63CF61C0">
            <w:pPr>
              <w:spacing w:after="0"/>
            </w:pPr>
            <w:r>
              <w:rPr>
                <w:rFonts w:ascii="宋体" w:hAnsi="宋体" w:eastAsia="宋体"/>
                <w:sz w:val="22"/>
              </w:rPr>
              <w:t>第8周末</w:t>
            </w:r>
          </w:p>
        </w:tc>
        <w:tc>
          <w:tcPr>
            <w:tcW w:w="2161" w:type="dxa"/>
          </w:tcPr>
          <w:p w14:paraId="416115C7">
            <w:pPr>
              <w:spacing w:after="0"/>
            </w:pPr>
            <w:r>
              <w:rPr>
                <w:rFonts w:ascii="宋体" w:hAnsi="宋体" w:eastAsia="宋体"/>
                <w:sz w:val="22"/>
              </w:rPr>
              <w:t>纸质+电子版</w:t>
            </w:r>
          </w:p>
        </w:tc>
      </w:tr>
      <w:tr w14:paraId="0DF92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1B2499D">
            <w:pPr>
              <w:spacing w:after="0"/>
            </w:pPr>
            <w:r>
              <w:rPr>
                <w:rFonts w:ascii="宋体" w:hAnsi="宋体" w:eastAsia="宋体"/>
                <w:sz w:val="22"/>
              </w:rPr>
              <w:t>10</w:t>
            </w:r>
          </w:p>
        </w:tc>
        <w:tc>
          <w:tcPr>
            <w:tcW w:w="2161" w:type="dxa"/>
          </w:tcPr>
          <w:p w14:paraId="3F2E420F">
            <w:pPr>
              <w:spacing w:after="0"/>
            </w:pPr>
            <w:r>
              <w:rPr>
                <w:rFonts w:ascii="宋体" w:hAnsi="宋体" w:eastAsia="宋体"/>
                <w:sz w:val="22"/>
              </w:rPr>
              <w:t>项目总结报告</w:t>
            </w:r>
          </w:p>
        </w:tc>
        <w:tc>
          <w:tcPr>
            <w:tcW w:w="2161" w:type="dxa"/>
          </w:tcPr>
          <w:p w14:paraId="6AC3E973">
            <w:pPr>
              <w:spacing w:after="0"/>
            </w:pPr>
            <w:r>
              <w:rPr>
                <w:rFonts w:ascii="宋体" w:hAnsi="宋体" w:eastAsia="宋体"/>
                <w:sz w:val="22"/>
              </w:rPr>
              <w:t>第8周末</w:t>
            </w:r>
          </w:p>
        </w:tc>
        <w:tc>
          <w:tcPr>
            <w:tcW w:w="2161" w:type="dxa"/>
          </w:tcPr>
          <w:p w14:paraId="4B8779C7">
            <w:pPr>
              <w:spacing w:after="0"/>
            </w:pPr>
            <w:r>
              <w:rPr>
                <w:rFonts w:ascii="宋体" w:hAnsi="宋体" w:eastAsia="宋体"/>
                <w:sz w:val="22"/>
              </w:rPr>
              <w:t>纸质+电子版</w:t>
            </w:r>
          </w:p>
        </w:tc>
      </w:tr>
    </w:tbl>
    <w:p w14:paraId="6FE39C4A"/>
    <w:p w14:paraId="7160233F">
      <w:pPr>
        <w:spacing w:line="360" w:lineRule="auto"/>
        <w:ind w:firstLine="480"/>
        <w:rPr>
          <w:rFonts w:ascii="宋体" w:hAnsi="宋体" w:eastAsia="宋体"/>
          <w:b w:val="0"/>
          <w:sz w:val="24"/>
        </w:rPr>
      </w:pPr>
      <w:r>
        <w:rPr>
          <w:rFonts w:ascii="宋体" w:hAnsi="宋体" w:eastAsia="宋体"/>
          <w:b w:val="0"/>
          <w:sz w:val="24"/>
        </w:rPr>
        <w:t>以上为本项目全部工作计划安排。我们将严格按照计划进度推进各项工作，确保项目高质量按期完成，为阿克苏供电公司220kV纺织园变电站的网络安全监测能力提升提供有力的技术支撑。</w:t>
      </w:r>
    </w:p>
    <w:p w14:paraId="7EA65522">
      <w:pPr>
        <w:spacing w:line="360" w:lineRule="auto"/>
        <w:ind w:firstLine="480"/>
        <w:rPr>
          <w:rFonts w:ascii="宋体" w:hAnsi="宋体" w:eastAsia="宋体"/>
          <w:b w:val="0"/>
          <w:sz w:val="24"/>
        </w:rPr>
      </w:pPr>
      <w:bookmarkStart w:id="0" w:name="_GoBack"/>
      <w:bookmarkEnd w:id="0"/>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C7C7D68"/>
    <w:rsid w:val="75921A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Normal Indent"/>
    <w:basedOn w:val="1"/>
    <w:qFormat/>
    <w:uiPriority w:val="0"/>
    <w:pPr>
      <w:ind w:firstLine="420"/>
    </w:pPr>
    <w:rPr>
      <w:rFonts w:ascii="Times New Roman" w:hAnsi="Times New Roman"/>
      <w:szCs w:val="24"/>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uiPriority w:val="99"/>
    <w:pPr>
      <w:tabs>
        <w:tab w:val="center" w:pos="4680"/>
        <w:tab w:val="right" w:pos="9360"/>
      </w:tabs>
      <w:spacing w:after="0" w:line="240" w:lineRule="auto"/>
    </w:pPr>
  </w:style>
  <w:style w:type="paragraph" w:styleId="26">
    <w:name w:val="header"/>
    <w:basedOn w:val="1"/>
    <w:link w:val="136"/>
    <w:unhideWhenUsed/>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qFormat/>
    <w:uiPriority w:val="99"/>
  </w:style>
  <w:style w:type="character" w:customStyle="1" w:styleId="137">
    <w:name w:val="Footer Char"/>
    <w:basedOn w:val="133"/>
    <w:link w:val="2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qFormat/>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正文字缩1字"/>
    <w:basedOn w:val="1"/>
    <w:qFormat/>
    <w:uiPriority w:val="0"/>
    <w:pPr>
      <w:spacing w:before="60" w:after="60"/>
      <w:ind w:left="100" w:leftChars="100"/>
    </w:pPr>
    <w:rPr>
      <w:rFonts w:ascii="Times New Roman" w:hAnsi="Times New Roman" w:eastAsia="宋体"/>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67</Pages>
  <Words>11263</Words>
  <Characters>11807</Characters>
  <Lines>0</Lines>
  <Paragraphs>0</Paragraphs>
  <TotalTime>3</TotalTime>
  <ScaleCrop>false</ScaleCrop>
  <LinksUpToDate>false</LinksUpToDate>
  <CharactersWithSpaces>11939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骚年</cp:lastModifiedBy>
  <dcterms:modified xsi:type="dcterms:W3CDTF">2026-05-12T09:20:50Z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eyJoZGlkIjoiNjA2ZDk3ZTc3MzQxM2RlNDMwOGQ0ZWJkOGMzYTI2ZjgiLCJ1c2VySWQiOiIzNzc1MzAxMDgifQ==</vt:lpwstr>
  </property>
  <property fmtid="{D5CDD505-2E9C-101B-9397-08002B2CF9AE}" pid="3" name="KSOProductBuildVer">
    <vt:lpwstr>2052-12.1.0.25865</vt:lpwstr>
  </property>
  <property fmtid="{D5CDD505-2E9C-101B-9397-08002B2CF9AE}" pid="4" name="ICV">
    <vt:lpwstr>48B083FCD2294EA6A269173311693F39_12</vt:lpwstr>
  </property>
</Properties>
</file>