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F38FC">
      <w:pPr>
        <w:numPr>
          <w:ilvl w:val="0"/>
          <w:numId w:val="3"/>
        </w:numPr>
        <w:adjustRightInd w:val="0"/>
        <w:snapToGrid w:val="0"/>
        <w:spacing w:line="360" w:lineRule="auto"/>
        <w:ind w:left="425" w:leftChars="0" w:hanging="425" w:firstLineChars="0"/>
        <w:outlineLvl w:val="1"/>
        <w:rPr>
          <w:rFonts w:hint="eastAsia" w:ascii="宋体" w:hAnsi="宋体" w:eastAsia="宋体" w:cs="宋体"/>
          <w:b/>
          <w:color w:val="000000" w:themeColor="text1"/>
          <w:sz w:val="24"/>
          <w:szCs w:val="28"/>
          <w:highlight w:val="none"/>
          <w14:textFill>
            <w14:solidFill>
              <w14:schemeClr w14:val="tx1"/>
            </w14:solidFill>
          </w14:textFill>
        </w:rPr>
      </w:pPr>
      <w:bookmarkStart w:id="0" w:name="_Toc5680"/>
      <w:r>
        <w:rPr>
          <w:rFonts w:hint="eastAsia" w:ascii="宋体" w:hAnsi="宋体" w:eastAsia="宋体" w:cs="宋体"/>
          <w:b/>
          <w:color w:val="000000" w:themeColor="text1"/>
          <w:sz w:val="24"/>
          <w:szCs w:val="28"/>
          <w:highlight w:val="none"/>
          <w14:textFill>
            <w14:solidFill>
              <w14:schemeClr w14:val="tx1"/>
            </w14:solidFill>
          </w14:textFill>
        </w:rPr>
        <w:t>对项目的理解</w:t>
      </w:r>
      <w:bookmarkEnd w:id="0"/>
    </w:p>
    <w:p w14:paraId="494BBF81">
      <w:pPr>
        <w:numPr>
          <w:ilvl w:val="1"/>
          <w:numId w:val="3"/>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bookmarkStart w:id="1" w:name="_Toc31258"/>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w:t>
      </w:r>
      <w:bookmarkEnd w:id="1"/>
      <w:r>
        <w:rPr>
          <w:rFonts w:hint="eastAsia" w:ascii="宋体" w:hAnsi="宋体" w:cs="宋体"/>
          <w:b/>
          <w:color w:val="000000" w:themeColor="text1"/>
          <w:sz w:val="24"/>
          <w:szCs w:val="28"/>
          <w:highlight w:val="none"/>
          <w:lang w:val="en-US" w:eastAsia="zh-CN"/>
          <w14:textFill>
            <w14:solidFill>
              <w14:schemeClr w14:val="tx1"/>
            </w14:solidFill>
          </w14:textFill>
        </w:rPr>
        <w:t>背景</w:t>
      </w:r>
    </w:p>
    <w:p w14:paraId="6D1E63BE">
      <w:pPr>
        <w:spacing w:before="0" w:after="0" w:line="360" w:lineRule="auto"/>
        <w:ind w:firstLine="420"/>
      </w:pPr>
      <w:r>
        <w:rPr>
          <w:rFonts w:ascii="Times New Roman" w:hAnsi="Times New Roman" w:eastAsia="宋体"/>
          <w:b w:val="0"/>
          <w:sz w:val="24"/>
        </w:rPr>
        <w:t>国网新疆阿勒泰供电公司（以下简称"阿勒泰供电公司"）地处新疆北部，辖区地域辽阔、地形复杂，配电网规模持续扩大，配网设备数量庞大，用电客户分布分散。随着国家电网公司数字化转型战略的深入推进，配网微应用平台已成为支撑配电网运营管理的重要数字化工具，在倒闸操作管理、停电复电管控、设备状态监测、工单流转预警等业务场景中发挥着不可替代的作用。</w:t>
      </w:r>
    </w:p>
    <w:p w14:paraId="5CF840E3">
      <w:pPr>
        <w:spacing w:before="0" w:after="0" w:line="360" w:lineRule="auto"/>
        <w:ind w:firstLine="420"/>
      </w:pPr>
      <w:r>
        <w:rPr>
          <w:rFonts w:ascii="Times New Roman" w:hAnsi="Times New Roman" w:eastAsia="宋体"/>
          <w:b w:val="0"/>
          <w:sz w:val="24"/>
        </w:rPr>
        <w:t>然而，在配网微应用系统深化应用过程中，阿勒泰供电公司面临以下突出问题：</w:t>
      </w:r>
    </w:p>
    <w:p w14:paraId="595051D4">
      <w:pPr>
        <w:spacing w:before="0" w:after="0" w:line="360" w:lineRule="auto"/>
        <w:ind w:firstLine="420"/>
      </w:pPr>
      <w:r>
        <w:rPr>
          <w:rFonts w:ascii="Times New Roman" w:hAnsi="Times New Roman" w:eastAsia="宋体"/>
          <w:b w:val="0"/>
          <w:sz w:val="24"/>
        </w:rPr>
        <w:t>一是业务流程管控不规范，数据质量参差不齐。配网微应用系统涉及配电运检、调度、营销等多个业务部门，各专业对系统功能的掌握程度和使用规范性差异较大，部分业务流程存在不规范操作，导致系统数据准确性、完整性不足，直接影响配网管理指标的真实性和决策参考价值。</w:t>
      </w:r>
    </w:p>
    <w:p w14:paraId="01FD82F0">
      <w:pPr>
        <w:spacing w:before="0" w:after="0" w:line="360" w:lineRule="auto"/>
        <w:ind w:firstLine="420"/>
      </w:pPr>
      <w:r>
        <w:rPr>
          <w:rFonts w:ascii="Times New Roman" w:hAnsi="Times New Roman" w:eastAsia="宋体"/>
          <w:b w:val="0"/>
          <w:sz w:val="24"/>
        </w:rPr>
        <w:t>二是移动功能应用深度不足，现场作业数字化程度有待提升。配网微应用移动端功能较为丰富，但现场作业人员对移动功能的熟练使用程度参差不齐，部分场景下仍依赖传统纸质记录方式，移动功能对现场作业效率提升的赋能作用未能充分发挥。</w:t>
      </w:r>
    </w:p>
    <w:p w14:paraId="44C62910">
      <w:pPr>
        <w:spacing w:before="0" w:after="0" w:line="360" w:lineRule="auto"/>
        <w:ind w:firstLine="420"/>
      </w:pPr>
      <w:r>
        <w:rPr>
          <w:rFonts w:ascii="Times New Roman" w:hAnsi="Times New Roman" w:eastAsia="宋体"/>
          <w:b w:val="0"/>
          <w:sz w:val="24"/>
        </w:rPr>
        <w:t>三是停电复核机制不健全，停电计划执行偏差较大。停电计划的申报、执行与复核环节存在数据不一致问题，停电时长、停电范围与实际执行存在偏差，影响供电可靠性指标的准确统计和客观评价。</w:t>
      </w:r>
    </w:p>
    <w:p w14:paraId="7959B4AB">
      <w:pPr>
        <w:spacing w:before="0" w:after="0" w:line="360" w:lineRule="auto"/>
        <w:ind w:firstLine="420"/>
      </w:pPr>
      <w:r>
        <w:rPr>
          <w:rFonts w:ascii="Times New Roman" w:hAnsi="Times New Roman" w:eastAsia="宋体"/>
          <w:b w:val="0"/>
          <w:sz w:val="24"/>
        </w:rPr>
        <w:t>四是设备状态异常监测预警能力不足。系统积累了大量设备状态数据，但数据利用率偏低，缺乏有效的异常监测预警机制，对潜在设备隐患的发现主要依赖人工巡视，不能充分发挥数据赋能的价值，存在隐患发现不及时的风险。</w:t>
      </w:r>
    </w:p>
    <w:p w14:paraId="71810C46">
      <w:pPr>
        <w:spacing w:before="0" w:after="0" w:line="360" w:lineRule="auto"/>
        <w:ind w:firstLine="420"/>
      </w:pPr>
      <w:r>
        <w:rPr>
          <w:rFonts w:ascii="Times New Roman" w:hAnsi="Times New Roman" w:eastAsia="宋体"/>
          <w:b w:val="0"/>
          <w:sz w:val="24"/>
        </w:rPr>
        <w:t>五是工单管理精细化水平有待提升。配网业务工单在流转过程中存在超期、滞留等问题，缺乏有效的预警提醒机制，影响工单按时完成率和客户服务满意度。</w:t>
      </w:r>
    </w:p>
    <w:p w14:paraId="5946D9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ascii="Times New Roman" w:hAnsi="Times New Roman" w:eastAsia="宋体"/>
          <w:b w:val="0"/>
          <w:sz w:val="24"/>
        </w:rPr>
        <w:t>为全面提升配网微应用系统的深化应用水平，充分发挥数据赋能效能，阿勒泰供电公司启动"2026配电网微应用数据赋能及分析技术服务"项目，通过引入专业技术服务团队，开展业务流程管控深化、移动功能支撑、停电复核、指标提升、设备状态异常监测、工单预警及系统培训等全方位技术服务，推动配电网管理向精益化、数据驱动方向迈进</w:t>
      </w:r>
      <w:r>
        <w:rPr>
          <w:rFonts w:hint="eastAsia" w:ascii="宋体" w:hAnsi="宋体" w:eastAsia="宋体"/>
          <w:sz w:val="24"/>
        </w:rPr>
        <w:t>。</w:t>
      </w:r>
    </w:p>
    <w:p w14:paraId="60AE8AC6">
      <w:pPr>
        <w:numPr>
          <w:ilvl w:val="1"/>
          <w:numId w:val="3"/>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bookmarkStart w:id="2" w:name="_Toc20210"/>
      <w:r>
        <w:rPr>
          <w:rFonts w:hint="eastAsia" w:ascii="宋体" w:hAnsi="宋体" w:cs="宋体"/>
          <w:b/>
          <w:color w:val="000000" w:themeColor="text1"/>
          <w:sz w:val="24"/>
          <w:szCs w:val="28"/>
          <w:highlight w:val="none"/>
          <w:lang w:val="en-US" w:eastAsia="zh-CN"/>
          <w14:textFill>
            <w14:solidFill>
              <w14:schemeClr w14:val="tx1"/>
            </w14:solidFill>
          </w14:textFill>
        </w:rPr>
        <w:t>项目目标</w:t>
      </w:r>
    </w:p>
    <w:p w14:paraId="4377AD1A">
      <w:pPr>
        <w:spacing w:before="0" w:after="0" w:line="360" w:lineRule="auto"/>
        <w:ind w:firstLine="420"/>
      </w:pPr>
      <w:r>
        <w:rPr>
          <w:rFonts w:ascii="Times New Roman" w:hAnsi="Times New Roman" w:eastAsia="宋体"/>
          <w:b w:val="0"/>
          <w:sz w:val="24"/>
        </w:rPr>
        <w:t>本项目总体目标是通过专业技术服务，全面深化国网新疆阿勒泰供电公司配网微应用系统的应用水平，实现配电网业务数据质量、管理效率和智能化水平的显著提升。具体目标如下：</w:t>
      </w:r>
    </w:p>
    <w:p w14:paraId="0D73E57D">
      <w:pPr>
        <w:spacing w:before="0" w:after="0" w:line="360" w:lineRule="auto"/>
        <w:ind w:firstLine="420"/>
      </w:pPr>
      <w:r>
        <w:rPr>
          <w:rFonts w:ascii="Times New Roman" w:hAnsi="Times New Roman" w:eastAsia="宋体"/>
          <w:b w:val="0"/>
          <w:sz w:val="24"/>
        </w:rPr>
        <w:t>一、规范配网微应用业务流程管控。全面梳理配网微应用系统涉及的各类业务流程（含倒闸操作管理等核心业务），识别流程不规范节点，制定并推动落实标准化操作规范，确保各业务环节的操作记录完整、数据准确，从源头提升系统数据质量，为各项管理指标的准确统计奠定基础。</w:t>
      </w:r>
    </w:p>
    <w:p w14:paraId="62D238F6">
      <w:pPr>
        <w:spacing w:before="0" w:after="0" w:line="360" w:lineRule="auto"/>
        <w:ind w:firstLine="420"/>
      </w:pPr>
      <w:r>
        <w:rPr>
          <w:rFonts w:ascii="Times New Roman" w:hAnsi="Times New Roman" w:eastAsia="宋体"/>
          <w:b w:val="0"/>
          <w:sz w:val="24"/>
        </w:rPr>
        <w:t>二、提升配网微应用移动功能的现场应用深度。通过现场培训、操作指导和技术支撑，帮助配网运检、抢修等一线作业人员熟练掌握并规范使用移动端功能（含现场作业票、缺陷上报、工单处理等），推动现场作业向无纸化、移动化方向转变，切实提升现场作业效率和数据即时录入率。</w:t>
      </w:r>
    </w:p>
    <w:p w14:paraId="786BEE05">
      <w:pPr>
        <w:spacing w:before="0" w:after="0" w:line="360" w:lineRule="auto"/>
        <w:ind w:firstLine="420"/>
      </w:pPr>
      <w:r>
        <w:rPr>
          <w:rFonts w:ascii="Times New Roman" w:hAnsi="Times New Roman" w:eastAsia="宋体"/>
          <w:b w:val="0"/>
          <w:sz w:val="24"/>
        </w:rPr>
        <w:t>三、完善停电复核机制，提升供电可靠性指标准确性。基于配网微应用系统开展停电复核专项工作，核查停电计划执行情况，核对停电时长、停电范围等关键数据，发现并纠正数据偏差，确保供电可靠性等核心指标统计的准确性和真实性，为管理决策提供可靠数据支撑。</w:t>
      </w:r>
    </w:p>
    <w:p w14:paraId="77B637E4">
      <w:pPr>
        <w:spacing w:before="0" w:after="0" w:line="360" w:lineRule="auto"/>
        <w:ind w:firstLine="420"/>
      </w:pPr>
      <w:r>
        <w:rPr>
          <w:rFonts w:ascii="Times New Roman" w:hAnsi="Times New Roman" w:eastAsia="宋体"/>
          <w:b w:val="0"/>
          <w:sz w:val="24"/>
        </w:rPr>
        <w:t>四、持续推动配网微应用指标提升。结合阿勒泰供电公司年度工作目标，协助开展配网微应用相关管理指标（设备数据完整率、工单按期完成率、移动应用覆盖率等）的分析诊断，制定针对性提升措施并跟踪落实，确保各项指标按期达到上级要求。</w:t>
      </w:r>
    </w:p>
    <w:p w14:paraId="3B9DB971">
      <w:pPr>
        <w:spacing w:before="0" w:after="0" w:line="360" w:lineRule="auto"/>
        <w:ind w:firstLine="420"/>
      </w:pPr>
      <w:r>
        <w:rPr>
          <w:rFonts w:ascii="Times New Roman" w:hAnsi="Times New Roman" w:eastAsia="宋体"/>
          <w:b w:val="0"/>
          <w:sz w:val="24"/>
        </w:rPr>
        <w:t>五、建立设备状态异常监测预警机制。充分利用配网微应用系统积累的设备状态数据，开展设备状态异常的监测与分析，建立主动预警机制，及时发现并推送设备异常信息，辅助运检人员主动开展隐患排查，降低设备故障风险。</w:t>
      </w:r>
    </w:p>
    <w:p w14:paraId="39250FD7">
      <w:pPr>
        <w:spacing w:before="0" w:after="0" w:line="360" w:lineRule="auto"/>
        <w:ind w:firstLine="420"/>
      </w:pPr>
      <w:r>
        <w:rPr>
          <w:rFonts w:ascii="Times New Roman" w:hAnsi="Times New Roman" w:eastAsia="宋体"/>
          <w:b w:val="0"/>
          <w:sz w:val="24"/>
        </w:rPr>
        <w:t>六、强化工单预警管理，提升工单闭环效率。对配网微应用系统中各类业务工单（缺陷工单、抢修工单、计划检修工单等）的流转状态进行实时监控，对超时未处理、即将到期等工单发出预警提醒，督促责任人及时处置，提升工单按时完成率和客户服务质量。</w:t>
      </w:r>
    </w:p>
    <w:p w14:paraId="0A6EBF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lang w:val="en-US" w:eastAsia="zh-CN"/>
        </w:rPr>
      </w:pPr>
      <w:r>
        <w:rPr>
          <w:rFonts w:ascii="Times New Roman" w:hAnsi="Times New Roman" w:eastAsia="宋体"/>
          <w:b w:val="0"/>
          <w:sz w:val="24"/>
        </w:rPr>
        <w:t>七、全面提升系统培训覆盖率和使用规范性。面向配电运检、调度、营销等各专业用户开展分层次、分模块的配网微应用系统培训，结合实际业务场景讲解系统操作规范，确保各岗位人员熟练掌握系统功能，最大化发挥系统的业务赋能价值</w:t>
      </w:r>
      <w:r>
        <w:rPr>
          <w:rFonts w:hint="eastAsia" w:ascii="Times New Roman" w:hAnsi="Times New Roman"/>
          <w:b w:val="0"/>
          <w:sz w:val="24"/>
          <w:lang w:eastAsia="zh-CN"/>
        </w:rPr>
        <w:t>。</w:t>
      </w:r>
    </w:p>
    <w:p w14:paraId="5745D997">
      <w:pPr>
        <w:numPr>
          <w:ilvl w:val="1"/>
          <w:numId w:val="3"/>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项目重难点</w:t>
      </w:r>
      <w:bookmarkEnd w:id="2"/>
      <w:r>
        <w:rPr>
          <w:rFonts w:hint="eastAsia" w:ascii="宋体" w:hAnsi="宋体" w:cs="宋体"/>
          <w:b/>
          <w:color w:val="000000" w:themeColor="text1"/>
          <w:sz w:val="24"/>
          <w:szCs w:val="28"/>
          <w:highlight w:val="none"/>
          <w:lang w:val="en-US" w:eastAsia="zh-CN"/>
          <w14:textFill>
            <w14:solidFill>
              <w14:schemeClr w14:val="tx1"/>
            </w14:solidFill>
          </w14:textFill>
        </w:rPr>
        <w:t>分析</w:t>
      </w:r>
    </w:p>
    <w:p w14:paraId="36C2B48B">
      <w:pPr>
        <w:spacing w:before="0" w:after="0" w:line="360" w:lineRule="auto"/>
        <w:ind w:firstLine="420"/>
      </w:pPr>
      <w:r>
        <w:rPr>
          <w:rFonts w:ascii="Times New Roman" w:hAnsi="Times New Roman" w:eastAsia="宋体"/>
          <w:b w:val="0"/>
          <w:sz w:val="24"/>
        </w:rPr>
        <w:t>本项目为综合性技术服务项目，服务内容覆盖业务流程管控、数据质量提升、设备状态监测、工单管理等多个维度，在实施过程中将面临以下重点与难点：</w:t>
      </w:r>
    </w:p>
    <w:p w14:paraId="2A8B1B30">
      <w:pPr>
        <w:spacing w:before="0" w:after="0" w:line="360" w:lineRule="auto"/>
        <w:ind w:firstLine="420"/>
      </w:pPr>
      <w:r>
        <w:rPr>
          <w:rFonts w:ascii="Times New Roman" w:hAnsi="Times New Roman" w:eastAsia="宋体"/>
          <w:b w:val="0"/>
          <w:sz w:val="24"/>
        </w:rPr>
        <w:t>【重点一：多专业协同配合下的业务流程规范推进】</w:t>
      </w:r>
    </w:p>
    <w:p w14:paraId="3CF8341A">
      <w:pPr>
        <w:spacing w:before="0" w:after="0" w:line="360" w:lineRule="auto"/>
        <w:ind w:firstLine="420"/>
      </w:pPr>
      <w:r>
        <w:rPr>
          <w:rFonts w:ascii="Times New Roman" w:hAnsi="Times New Roman" w:eastAsia="宋体"/>
          <w:b w:val="0"/>
          <w:sz w:val="24"/>
        </w:rPr>
        <w:t>配网微应用系统的深化应用涉及配电运检、调度、营销、客服等多个专业部门，各专业的业务流程和操作习惯差异较大，推动业务流程规范化需要在不影响正常业务运转的前提下，协调多方参与、统一标准、逐步推进，难度较大。</w:t>
      </w:r>
    </w:p>
    <w:p w14:paraId="5BE0AF33">
      <w:pPr>
        <w:spacing w:before="0" w:after="0" w:line="360" w:lineRule="auto"/>
        <w:ind w:firstLine="420"/>
      </w:pPr>
      <w:r>
        <w:rPr>
          <w:rFonts w:ascii="Times New Roman" w:hAnsi="Times New Roman" w:eastAsia="宋体"/>
          <w:b w:val="0"/>
          <w:sz w:val="24"/>
        </w:rPr>
        <w:t>解决方案：采取"调研先行、分业务分步骤推进"策略。首先深入各专业部门开展现状调研，充分了解各专业的实际业务流程和操作痛点，在此基础上制定符合实际的规范化操作指引；采取试点先行、以点带面的推进方式，通过树立示范案例形成示范效应，降低规范化推进的阻力。</w:t>
      </w:r>
    </w:p>
    <w:p w14:paraId="52863E34">
      <w:pPr>
        <w:spacing w:before="0" w:after="0" w:line="360" w:lineRule="auto"/>
        <w:ind w:firstLine="420"/>
      </w:pPr>
      <w:r>
        <w:rPr>
          <w:rFonts w:ascii="Times New Roman" w:hAnsi="Times New Roman" w:eastAsia="宋体"/>
          <w:b w:val="0"/>
          <w:sz w:val="24"/>
        </w:rPr>
        <w:t>【重点二：移动功能推广的持续性与覆盖面保障】</w:t>
      </w:r>
    </w:p>
    <w:p w14:paraId="52DC4E79">
      <w:pPr>
        <w:spacing w:before="0" w:after="0" w:line="360" w:lineRule="auto"/>
        <w:ind w:firstLine="420"/>
      </w:pPr>
      <w:r>
        <w:rPr>
          <w:rFonts w:ascii="Times New Roman" w:hAnsi="Times New Roman" w:eastAsia="宋体"/>
          <w:b w:val="0"/>
          <w:sz w:val="24"/>
        </w:rPr>
        <w:t>阿勒泰地区配网作业人员分布分散、流动性较强，移动功能的培训和使用推广难以一次性覆盖所有人员，且培训效果需要持续跟踪强化，防止出现"培训后回到老方法"的反弹现象。</w:t>
      </w:r>
    </w:p>
    <w:p w14:paraId="54E9AE24">
      <w:pPr>
        <w:spacing w:before="0" w:after="0" w:line="360" w:lineRule="auto"/>
        <w:ind w:firstLine="420"/>
      </w:pPr>
      <w:r>
        <w:rPr>
          <w:rFonts w:ascii="Times New Roman" w:hAnsi="Times New Roman" w:eastAsia="宋体"/>
          <w:b w:val="0"/>
          <w:sz w:val="24"/>
        </w:rPr>
        <w:t>解决方案：制定分批次、滚动式的培训计划，采取集中培训与现场一对一指导相结合的方式；建立使用率追踪机制，定期统计各班组移动功能使用数据，对使用率偏低的班组进行针对性督导；建立简明易用的操作指引手册，方便作业人员随时查阅。</w:t>
      </w:r>
    </w:p>
    <w:p w14:paraId="7721EFF9">
      <w:pPr>
        <w:spacing w:before="0" w:after="0" w:line="360" w:lineRule="auto"/>
        <w:ind w:firstLine="420"/>
      </w:pPr>
      <w:r>
        <w:rPr>
          <w:rFonts w:ascii="Times New Roman" w:hAnsi="Times New Roman" w:eastAsia="宋体"/>
          <w:b w:val="0"/>
          <w:sz w:val="24"/>
        </w:rPr>
        <w:t>【重点三：停电复核数据准确性与工作量的平衡】</w:t>
      </w:r>
    </w:p>
    <w:p w14:paraId="71158378">
      <w:pPr>
        <w:spacing w:before="0" w:after="0" w:line="360" w:lineRule="auto"/>
        <w:ind w:firstLine="420"/>
      </w:pPr>
      <w:r>
        <w:rPr>
          <w:rFonts w:ascii="Times New Roman" w:hAnsi="Times New Roman" w:eastAsia="宋体"/>
          <w:b w:val="0"/>
          <w:sz w:val="24"/>
        </w:rPr>
        <w:t>停电复核涉及对历史停电记录的系统性核查，数据量大、核查工作量大，且部分历史数据问题需要与相关业务部门协同核实，耗时长、协调难度大。在有限的服务周期内确保复核工作的覆盖面和准确性，需要合理的工作规划和高效的工具支撑。</w:t>
      </w:r>
    </w:p>
    <w:p w14:paraId="033C62BF">
      <w:pPr>
        <w:spacing w:before="0" w:after="0" w:line="360" w:lineRule="auto"/>
        <w:ind w:firstLine="420"/>
      </w:pPr>
      <w:r>
        <w:rPr>
          <w:rFonts w:ascii="Times New Roman" w:hAnsi="Times New Roman" w:eastAsia="宋体"/>
          <w:b w:val="0"/>
          <w:sz w:val="24"/>
        </w:rPr>
        <w:t>解决方案：制定分批次、优先级排序的复核计划（重要用户、高电压等级线路优先），借助系统数据自动比对工具辅助人工核查，提高复核效率；建立数据异常快速响应机制，对发现的数据偏差及时与相关部门沟通确认，确保复核结果的权威性。</w:t>
      </w:r>
    </w:p>
    <w:p w14:paraId="287ED506">
      <w:pPr>
        <w:spacing w:before="0" w:after="0" w:line="360" w:lineRule="auto"/>
        <w:ind w:firstLine="420"/>
      </w:pPr>
      <w:r>
        <w:rPr>
          <w:rFonts w:ascii="Times New Roman" w:hAnsi="Times New Roman" w:eastAsia="宋体"/>
          <w:b w:val="0"/>
          <w:sz w:val="24"/>
        </w:rPr>
        <w:t>【重点四：设备状态异常监测规则的有效性】</w:t>
      </w:r>
    </w:p>
    <w:p w14:paraId="3C33349D">
      <w:pPr>
        <w:spacing w:before="0" w:after="0" w:line="360" w:lineRule="auto"/>
        <w:ind w:firstLine="420"/>
      </w:pPr>
      <w:r>
        <w:rPr>
          <w:rFonts w:ascii="Times New Roman" w:hAnsi="Times New Roman" w:eastAsia="宋体"/>
          <w:b w:val="0"/>
          <w:sz w:val="24"/>
        </w:rPr>
        <w:t>设备状态异常监测的有效性取决于监测规则的合理性——规则过于宽松会导致漏报，规则过于严格会产生大量误报，影响运检人员对预警信息的信任度和使用积极性。如何根据阿勒泰地区配网设备特点和运行规律，制定精准有效的监测规则是技术难点。</w:t>
      </w:r>
    </w:p>
    <w:p w14:paraId="00E2FD0D">
      <w:pPr>
        <w:spacing w:before="0" w:after="0" w:line="360" w:lineRule="auto"/>
        <w:ind w:firstLine="420"/>
      </w:pPr>
      <w:r>
        <w:rPr>
          <w:rFonts w:ascii="Times New Roman" w:hAnsi="Times New Roman" w:eastAsia="宋体"/>
          <w:b w:val="0"/>
          <w:sz w:val="24"/>
        </w:rPr>
        <w:t>解决方案：结合阿勒泰地区气候特点（温差大、风沙多）和配网设备运行历史数据，与运检专业人员共同研讨确定合理的异常判断阈值，建立动态优化机制，根据实际运行效果持续调整优化监测规则，确保预警的准确性和实用性。</w:t>
      </w:r>
    </w:p>
    <w:p w14:paraId="66957479">
      <w:pPr>
        <w:spacing w:before="0" w:after="0" w:line="360" w:lineRule="auto"/>
        <w:ind w:firstLine="420"/>
      </w:pPr>
      <w:r>
        <w:rPr>
          <w:rFonts w:ascii="Times New Roman" w:hAnsi="Times New Roman" w:eastAsia="宋体"/>
          <w:b w:val="0"/>
          <w:sz w:val="24"/>
        </w:rPr>
        <w:t>【重点五：人员稳定性与服务连续性保障】</w:t>
      </w:r>
    </w:p>
    <w:p w14:paraId="2B794D0F">
      <w:pPr>
        <w:spacing w:before="0" w:after="0" w:line="360" w:lineRule="auto"/>
        <w:ind w:firstLine="420"/>
      </w:pPr>
      <w:r>
        <w:rPr>
          <w:rFonts w:ascii="Times New Roman" w:hAnsi="Times New Roman" w:eastAsia="宋体"/>
          <w:b w:val="0"/>
          <w:sz w:val="24"/>
        </w:rPr>
        <w:t>技术规范书明确要求确保人员稳定，项目实施人员如不满足要求需及时更换。在为期一年的服务周期内，如何保持服务团队的稳定性和专业能力的连续性，是项目管理的重要挑战。</w:t>
      </w:r>
    </w:p>
    <w:p w14:paraId="427D1F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sz w:val="24"/>
          <w:lang w:val="en-US" w:eastAsia="zh-CN"/>
        </w:rPr>
      </w:pPr>
      <w:r>
        <w:rPr>
          <w:rFonts w:ascii="Times New Roman" w:hAnsi="Times New Roman" w:eastAsia="宋体"/>
          <w:b w:val="0"/>
          <w:sz w:val="24"/>
        </w:rPr>
        <w:t>解决方案：建立备岗机制，对核心服务岗位配备后备人员并提前培训，确保人员变动时能快速完成交接；建立完善的项目知识库和工作文档，确保服务经验和业务知识的有效传承，不因人员变动导致服务中断</w:t>
      </w:r>
      <w:r>
        <w:rPr>
          <w:rFonts w:hint="eastAsia" w:ascii="宋体" w:hAnsi="宋体"/>
          <w:sz w:val="24"/>
          <w:lang w:val="en-US" w:eastAsia="zh-CN"/>
        </w:rPr>
        <w:t>。</w:t>
      </w:r>
    </w:p>
    <w:p w14:paraId="0FAF0053">
      <w:pPr>
        <w:numPr>
          <w:ilvl w:val="1"/>
          <w:numId w:val="3"/>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项目实施路径</w:t>
      </w:r>
    </w:p>
    <w:p w14:paraId="4FAEC996">
      <w:pPr>
        <w:spacing w:before="0" w:after="0" w:line="360" w:lineRule="auto"/>
        <w:ind w:firstLine="420"/>
      </w:pPr>
      <w:r>
        <w:rPr>
          <w:rFonts w:ascii="Times New Roman" w:hAnsi="Times New Roman" w:eastAsia="宋体"/>
          <w:b w:val="0"/>
          <w:sz w:val="24"/>
        </w:rPr>
        <w:t>本项目实施遵循"摸清现状、制定方案、分步推进、持续优化"的总体路径，以月度为基本服务周期，滚动推进各项技术服务工作，确保全年服务工作有序开展、成效可见。</w:t>
      </w:r>
    </w:p>
    <w:p w14:paraId="42DC8576">
      <w:pPr>
        <w:spacing w:before="0" w:after="0" w:line="360" w:lineRule="auto"/>
        <w:ind w:firstLine="420"/>
      </w:pPr>
      <w:r>
        <w:rPr>
          <w:rFonts w:ascii="Times New Roman" w:hAnsi="Times New Roman" w:eastAsia="宋体"/>
          <w:b w:val="0"/>
          <w:sz w:val="24"/>
        </w:rPr>
        <w:t>【第一阶段：项目启动与现状调研（第1-4周）】</w:t>
      </w:r>
    </w:p>
    <w:p w14:paraId="57204F8B">
      <w:pPr>
        <w:spacing w:before="0" w:after="0" w:line="360" w:lineRule="auto"/>
        <w:ind w:firstLine="420"/>
      </w:pPr>
      <w:r>
        <w:rPr>
          <w:rFonts w:ascii="Times New Roman" w:hAnsi="Times New Roman" w:eastAsia="宋体"/>
          <w:b w:val="0"/>
          <w:sz w:val="24"/>
        </w:rPr>
        <w:t>项目正式启动后，立即开展以下工作：</w:t>
      </w:r>
    </w:p>
    <w:p w14:paraId="2152B0BD">
      <w:pPr>
        <w:spacing w:before="0" w:after="0" w:line="360" w:lineRule="auto"/>
        <w:ind w:firstLine="420"/>
      </w:pPr>
      <w:r>
        <w:rPr>
          <w:rFonts w:ascii="Times New Roman" w:hAnsi="Times New Roman" w:eastAsia="宋体"/>
          <w:b w:val="0"/>
          <w:sz w:val="24"/>
        </w:rPr>
        <w:t>召开项目启动会，完成项目团队组建，明确项目负责人及各岗位责任人，签署保密协议，建立沟通协调机制（阶段性成果汇报会、技术联络会、日常协同工作机制）。</w:t>
      </w:r>
    </w:p>
    <w:p w14:paraId="4868DFD1">
      <w:pPr>
        <w:spacing w:before="0" w:after="0" w:line="360" w:lineRule="auto"/>
        <w:ind w:firstLine="420"/>
      </w:pPr>
      <w:r>
        <w:rPr>
          <w:rFonts w:ascii="Times New Roman" w:hAnsi="Times New Roman" w:eastAsia="宋体"/>
          <w:b w:val="0"/>
          <w:sz w:val="24"/>
        </w:rPr>
        <w:t>深入各业务部门（配电运检、调度、营销等）开展现状调研，全面了解配网微应用系统当前的功能使用情况、业务流程现状、数据质量问题清单、各类指标达标情况、培训需求等，形成《配网微应用现状诊断分析报告》，提交项目单位确认。</w:t>
      </w:r>
    </w:p>
    <w:p w14:paraId="4773E535">
      <w:pPr>
        <w:spacing w:before="0" w:after="0" w:line="360" w:lineRule="auto"/>
        <w:ind w:firstLine="420"/>
      </w:pPr>
      <w:r>
        <w:rPr>
          <w:rFonts w:ascii="Times New Roman" w:hAnsi="Times New Roman" w:eastAsia="宋体"/>
          <w:b w:val="0"/>
          <w:sz w:val="24"/>
        </w:rPr>
        <w:t>基于现状诊断结果，制定年度技术服务实施方案（含业务流程规范化推进计划、移动功能推广计划、停电复核计划、设备状态监测规则制定计划、工单预警机制建立计划、培训计划等），经项目单位批准后作为服务执行基准。</w:t>
      </w:r>
    </w:p>
    <w:p w14:paraId="40ACC80B">
      <w:pPr>
        <w:spacing w:before="0" w:after="0" w:line="360" w:lineRule="auto"/>
        <w:ind w:firstLine="420"/>
      </w:pPr>
      <w:r>
        <w:rPr>
          <w:rFonts w:ascii="Times New Roman" w:hAnsi="Times New Roman" w:eastAsia="宋体"/>
          <w:b w:val="0"/>
          <w:sz w:val="24"/>
        </w:rPr>
        <w:t>【第二阶段：基础服务全面启动（第2-4月）】</w:t>
      </w:r>
    </w:p>
    <w:p w14:paraId="0FE54288">
      <w:pPr>
        <w:spacing w:before="0" w:after="0" w:line="360" w:lineRule="auto"/>
        <w:ind w:firstLine="420"/>
      </w:pPr>
      <w:r>
        <w:rPr>
          <w:rFonts w:ascii="Times New Roman" w:hAnsi="Times New Roman" w:eastAsia="宋体"/>
          <w:b w:val="0"/>
          <w:sz w:val="24"/>
        </w:rPr>
        <w:t>根据实施方案，同步启动各项技术服务工作：</w:t>
      </w:r>
    </w:p>
    <w:p w14:paraId="7A3C8639">
      <w:pPr>
        <w:spacing w:before="0" w:after="0" w:line="360" w:lineRule="auto"/>
        <w:ind w:firstLine="420"/>
      </w:pPr>
      <w:r>
        <w:rPr>
          <w:rFonts w:ascii="Times New Roman" w:hAnsi="Times New Roman" w:eastAsia="宋体"/>
          <w:b w:val="0"/>
          <w:sz w:val="24"/>
        </w:rPr>
        <w:t>业务流程管控深化方面，完成主要业务流程（倒闸操作管理等核心场景）的规范化操作指引编制，开展首批试点推广，收集反馈并优化。</w:t>
      </w:r>
    </w:p>
    <w:p w14:paraId="2577653E">
      <w:pPr>
        <w:spacing w:before="0" w:after="0" w:line="360" w:lineRule="auto"/>
        <w:ind w:firstLine="420"/>
      </w:pPr>
      <w:r>
        <w:rPr>
          <w:rFonts w:ascii="Times New Roman" w:hAnsi="Times New Roman" w:eastAsia="宋体"/>
          <w:b w:val="0"/>
          <w:sz w:val="24"/>
        </w:rPr>
        <w:t>移动功能支撑方面，完成首轮各专业用户培训，重点覆盖核心功能操作，建立移动功能使用率追踪机制。</w:t>
      </w:r>
    </w:p>
    <w:p w14:paraId="7CC1D6E8">
      <w:pPr>
        <w:spacing w:before="0" w:after="0" w:line="360" w:lineRule="auto"/>
        <w:ind w:firstLine="420"/>
      </w:pPr>
      <w:r>
        <w:rPr>
          <w:rFonts w:ascii="Times New Roman" w:hAnsi="Times New Roman" w:eastAsia="宋体"/>
          <w:b w:val="0"/>
          <w:sz w:val="24"/>
        </w:rPr>
        <w:t>停电复核方面，完成停电复核工作规程制定，启动历史停电数据的系统性核查工作，优先覆盖重要线路和重要用户。</w:t>
      </w:r>
    </w:p>
    <w:p w14:paraId="41C60233">
      <w:pPr>
        <w:spacing w:before="0" w:after="0" w:line="360" w:lineRule="auto"/>
        <w:ind w:firstLine="420"/>
      </w:pPr>
      <w:r>
        <w:rPr>
          <w:rFonts w:ascii="Times New Roman" w:hAnsi="Times New Roman" w:eastAsia="宋体"/>
          <w:b w:val="0"/>
          <w:sz w:val="24"/>
        </w:rPr>
        <w:t>设备状态异常监测方面，与运检专业人员协同确定异常监测规则，完成规则配置和初期运行验证。</w:t>
      </w:r>
    </w:p>
    <w:p w14:paraId="55AC5663">
      <w:pPr>
        <w:spacing w:before="0" w:after="0" w:line="360" w:lineRule="auto"/>
        <w:ind w:firstLine="420"/>
      </w:pPr>
      <w:r>
        <w:rPr>
          <w:rFonts w:ascii="Times New Roman" w:hAnsi="Times New Roman" w:eastAsia="宋体"/>
          <w:b w:val="0"/>
          <w:sz w:val="24"/>
        </w:rPr>
        <w:t>工单预警方面，建立工单超时预警机制，完成预警规则配置和首月运行效果评估。</w:t>
      </w:r>
    </w:p>
    <w:p w14:paraId="58C830FE">
      <w:pPr>
        <w:spacing w:before="0" w:after="0" w:line="360" w:lineRule="auto"/>
        <w:ind w:firstLine="420"/>
      </w:pPr>
      <w:r>
        <w:rPr>
          <w:rFonts w:ascii="Times New Roman" w:hAnsi="Times New Roman" w:eastAsia="宋体"/>
          <w:b w:val="0"/>
          <w:sz w:val="24"/>
        </w:rPr>
        <w:t>每月结束后，形成《月度工作总结报告》，向项目单位汇报当月工作成果和下月工作计划。</w:t>
      </w:r>
    </w:p>
    <w:p w14:paraId="74748608">
      <w:pPr>
        <w:spacing w:before="0" w:after="0" w:line="360" w:lineRule="auto"/>
        <w:ind w:firstLine="420"/>
      </w:pPr>
      <w:r>
        <w:rPr>
          <w:rFonts w:ascii="Times New Roman" w:hAnsi="Times New Roman" w:eastAsia="宋体"/>
          <w:b w:val="0"/>
          <w:sz w:val="24"/>
        </w:rPr>
        <w:t>【第三阶段：深化应用与持续优化（第5-10月）】</w:t>
      </w:r>
    </w:p>
    <w:p w14:paraId="24642B11">
      <w:pPr>
        <w:spacing w:before="0" w:after="0" w:line="360" w:lineRule="auto"/>
        <w:ind w:firstLine="420"/>
      </w:pPr>
      <w:r>
        <w:rPr>
          <w:rFonts w:ascii="Times New Roman" w:hAnsi="Times New Roman" w:eastAsia="宋体"/>
          <w:b w:val="0"/>
          <w:sz w:val="24"/>
        </w:rPr>
        <w:t>在各项服务机制建立并稳定运行的基础上，持续深化各项服务工作：</w:t>
      </w:r>
    </w:p>
    <w:p w14:paraId="2747F12A">
      <w:pPr>
        <w:spacing w:before="0" w:after="0" w:line="360" w:lineRule="auto"/>
        <w:ind w:firstLine="420"/>
      </w:pPr>
      <w:r>
        <w:rPr>
          <w:rFonts w:ascii="Times New Roman" w:hAnsi="Times New Roman" w:eastAsia="宋体"/>
          <w:b w:val="0"/>
          <w:sz w:val="24"/>
        </w:rPr>
        <w:t>开展移动功能使用数据分析，针对使用率偏低的班组和功能模块加强专项指导；持续推进停电复核工作，跟踪数据偏差整改情况；定期分析设备状态异常监测效果，动态优化监测规则；跟踪工单预警机制运行效果，持续提升工单按期完成率。</w:t>
      </w:r>
    </w:p>
    <w:p w14:paraId="7354A0AB">
      <w:pPr>
        <w:spacing w:before="0" w:after="0" w:line="360" w:lineRule="auto"/>
        <w:ind w:firstLine="420"/>
      </w:pPr>
      <w:r>
        <w:rPr>
          <w:rFonts w:ascii="Times New Roman" w:hAnsi="Times New Roman" w:eastAsia="宋体"/>
          <w:b w:val="0"/>
          <w:sz w:val="24"/>
        </w:rPr>
        <w:t>结合上级指标考核要求，开展配网微应用相关指标的专项分析，制定针对性提升措施，跟踪落实进展，确保年度指标目标实现。</w:t>
      </w:r>
    </w:p>
    <w:p w14:paraId="1965BB37">
      <w:pPr>
        <w:spacing w:before="0" w:after="0" w:line="360" w:lineRule="auto"/>
        <w:ind w:firstLine="420"/>
      </w:pPr>
      <w:r>
        <w:rPr>
          <w:rFonts w:ascii="Times New Roman" w:hAnsi="Times New Roman" w:eastAsia="宋体"/>
          <w:b w:val="0"/>
          <w:sz w:val="24"/>
        </w:rPr>
        <w:t>每月向项目单位提交月度工作总结，根据需要不定期召开技术联络会，及时协商解决服务过程中出现的问题。</w:t>
      </w:r>
    </w:p>
    <w:p w14:paraId="3AC4647C">
      <w:pPr>
        <w:spacing w:before="0" w:after="0" w:line="360" w:lineRule="auto"/>
        <w:ind w:firstLine="420"/>
      </w:pPr>
      <w:r>
        <w:rPr>
          <w:rFonts w:ascii="Times New Roman" w:hAnsi="Times New Roman" w:eastAsia="宋体"/>
          <w:b w:val="0"/>
          <w:sz w:val="24"/>
        </w:rPr>
        <w:t>【第四阶段：年度总结与服务收尾（第11-12月）】</w:t>
      </w:r>
    </w:p>
    <w:p w14:paraId="7765D227">
      <w:pPr>
        <w:spacing w:line="360" w:lineRule="auto"/>
        <w:ind w:firstLine="480"/>
        <w:rPr>
          <w:rFonts w:hint="eastAsia" w:ascii="宋体" w:hAnsi="宋体" w:eastAsia="宋体" w:cs="宋体"/>
          <w:sz w:val="24"/>
          <w:szCs w:val="24"/>
          <w:lang w:val="en-US" w:eastAsia="zh-CN"/>
        </w:rPr>
      </w:pPr>
      <w:r>
        <w:rPr>
          <w:rFonts w:ascii="Times New Roman" w:hAnsi="Times New Roman" w:eastAsia="宋体"/>
          <w:b w:val="0"/>
          <w:sz w:val="24"/>
        </w:rPr>
        <w:t>完成全年各项技术服务工作的系统性梳理和总结，形成《年度技术服务总结报告》，全面评估各项服务目标的达成情况。开展全年服务效果评估，配合项目单位完成技术服务质量考核评价工作。整理归档全年服务过程文档（月度工作总结、培训记录、问题处理记录、汇报材料等），完成项目收尾交付工作</w:t>
      </w:r>
      <w:r>
        <w:rPr>
          <w:rFonts w:hint="eastAsia" w:ascii="Times New Roman" w:hAnsi="Times New Roman"/>
          <w:b w:val="0"/>
          <w:sz w:val="24"/>
          <w:lang w:eastAsia="zh-CN"/>
        </w:rPr>
        <w:t>。</w:t>
      </w:r>
    </w:p>
    <w:p w14:paraId="6E15C471">
      <w:pPr>
        <w:numPr>
          <w:ilvl w:val="1"/>
          <w:numId w:val="3"/>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对工程有帮助的可行性建议</w:t>
      </w:r>
    </w:p>
    <w:p w14:paraId="586616A2">
      <w:pPr>
        <w:spacing w:before="0" w:after="0" w:line="360" w:lineRule="auto"/>
        <w:ind w:firstLine="420"/>
      </w:pPr>
      <w:r>
        <w:rPr>
          <w:rFonts w:ascii="Times New Roman" w:hAnsi="Times New Roman" w:eastAsia="宋体"/>
          <w:b w:val="0"/>
          <w:sz w:val="24"/>
        </w:rPr>
        <w:t>基于我方在电力信息系统运维服务及配网数字化应用领域的丰富实践经验，结合对本项目技术规范书的深入分析，提出以下可行性建议，供阿勒泰供电公司参考：</w:t>
      </w:r>
    </w:p>
    <w:p w14:paraId="704C4AB3">
      <w:pPr>
        <w:spacing w:before="0" w:after="0" w:line="360" w:lineRule="auto"/>
        <w:ind w:firstLine="420"/>
      </w:pPr>
      <w:r>
        <w:rPr>
          <w:rFonts w:ascii="Times New Roman" w:hAnsi="Times New Roman" w:eastAsia="宋体"/>
          <w:b w:val="0"/>
          <w:sz w:val="24"/>
        </w:rPr>
        <w:t>【建议一：建立配网微应用数据质量"红绿灯"常态化管控机制】</w:t>
      </w:r>
    </w:p>
    <w:p w14:paraId="2544F231">
      <w:pPr>
        <w:spacing w:before="0" w:after="0" w:line="360" w:lineRule="auto"/>
        <w:ind w:firstLine="420"/>
      </w:pPr>
      <w:r>
        <w:rPr>
          <w:rFonts w:ascii="Times New Roman" w:hAnsi="Times New Roman" w:eastAsia="宋体"/>
          <w:b w:val="0"/>
          <w:sz w:val="24"/>
        </w:rPr>
        <w:t>建议在日常技术服务过程中，围绕配网微应用系统的核心数据质量指标（设备台账完整率、缺陷工单录入及时率、停电数据准确率等），建立类似"红绿灯"的可视化数据质量管控看板，按班组、按线路、按专业维度实时展示数据质量状态，让管理人员能够一目了然地掌握数据质量薄弱环节，有针对性地督促整改，形成数据质量持续改善的常态化管控机制。</w:t>
      </w:r>
    </w:p>
    <w:p w14:paraId="356FAEB2">
      <w:pPr>
        <w:spacing w:before="0" w:after="0" w:line="360" w:lineRule="auto"/>
        <w:ind w:firstLine="420"/>
      </w:pPr>
      <w:r>
        <w:rPr>
          <w:rFonts w:ascii="Times New Roman" w:hAnsi="Times New Roman" w:eastAsia="宋体"/>
          <w:b w:val="0"/>
          <w:sz w:val="24"/>
        </w:rPr>
        <w:t>【建议二：推行"以赛促用"提升移动功能应用积极性】</w:t>
      </w:r>
    </w:p>
    <w:p w14:paraId="5034F1E0">
      <w:pPr>
        <w:spacing w:before="0" w:after="0" w:line="360" w:lineRule="auto"/>
        <w:ind w:firstLine="420"/>
      </w:pPr>
      <w:r>
        <w:rPr>
          <w:rFonts w:ascii="Times New Roman" w:hAnsi="Times New Roman" w:eastAsia="宋体"/>
          <w:b w:val="0"/>
          <w:sz w:val="24"/>
        </w:rPr>
        <w:t>移动功能推广的难点在于激发一线人员主动使用的积极性。建议在培训和推广过程中，结合公司已有的绩效考核机制，推动将移动功能使用率、现场作业无纸化率等纳入班组日常考核；同时可组织配网微应用技能竞赛活动，通过以赛促学、以赛促用的方式，营造比学赶超的良好氛围，有效提升一线人员的使用积极性和规范操作水平。</w:t>
      </w:r>
    </w:p>
    <w:p w14:paraId="0C8B7720">
      <w:pPr>
        <w:spacing w:before="0" w:after="0" w:line="360" w:lineRule="auto"/>
        <w:ind w:firstLine="420"/>
      </w:pPr>
      <w:r>
        <w:rPr>
          <w:rFonts w:ascii="Times New Roman" w:hAnsi="Times New Roman" w:eastAsia="宋体"/>
          <w:b w:val="0"/>
          <w:sz w:val="24"/>
        </w:rPr>
        <w:t>【建议三：停电复核与供电可靠性管理工作深度融合】</w:t>
      </w:r>
    </w:p>
    <w:p w14:paraId="7EC661DB">
      <w:pPr>
        <w:spacing w:before="0" w:after="0" w:line="360" w:lineRule="auto"/>
        <w:ind w:firstLine="420"/>
      </w:pPr>
      <w:r>
        <w:rPr>
          <w:rFonts w:ascii="Times New Roman" w:hAnsi="Times New Roman" w:eastAsia="宋体"/>
          <w:b w:val="0"/>
          <w:sz w:val="24"/>
        </w:rPr>
        <w:t>停电复核工作不应孤立推进，建议将其与供电可靠性管理工作深度融合，形成"停电数据采集→系统录入→复核校验→指标统计→问题追溯→持续改进"的完整闭环管理链条。在复核过程中，同步收集影响供电可靠性指标的系统性问题，形成问题清单并推动责任部门整改，从而实现通过数据复核带动供电可靠性管理水平整体提升的目标。</w:t>
      </w:r>
    </w:p>
    <w:p w14:paraId="1E074007">
      <w:pPr>
        <w:spacing w:before="0" w:after="0" w:line="360" w:lineRule="auto"/>
        <w:ind w:firstLine="420"/>
      </w:pPr>
      <w:r>
        <w:rPr>
          <w:rFonts w:ascii="Times New Roman" w:hAnsi="Times New Roman" w:eastAsia="宋体"/>
          <w:b w:val="0"/>
          <w:sz w:val="24"/>
        </w:rPr>
        <w:t>【建议四：工单预警与班组任务管理协同联动】</w:t>
      </w:r>
    </w:p>
    <w:p w14:paraId="0B2DF97E">
      <w:pPr>
        <w:spacing w:before="0" w:after="0" w:line="360" w:lineRule="auto"/>
        <w:ind w:firstLine="420"/>
      </w:pPr>
      <w:r>
        <w:rPr>
          <w:rFonts w:ascii="Times New Roman" w:hAnsi="Times New Roman" w:eastAsia="宋体"/>
          <w:b w:val="0"/>
          <w:sz w:val="24"/>
        </w:rPr>
        <w:t>工单预警机制的有效性需要与班组日常任务管理紧密结合。建议在建立系统侧工单预警的同时，配套建立班组责任人接收预警后的响应机制（如明确响应时限、升级报告规则等），并将工单预警处置情况纳入月度服务汇报内容，由项目单位管理人员定期审阅，确保工单预警机制真正发挥督促作用，而不流于形式。</w:t>
      </w:r>
    </w:p>
    <w:p w14:paraId="3FD49B90">
      <w:pPr>
        <w:spacing w:before="0" w:after="0" w:line="360" w:lineRule="auto"/>
        <w:ind w:firstLine="420"/>
      </w:pPr>
      <w:r>
        <w:rPr>
          <w:rFonts w:ascii="Times New Roman" w:hAnsi="Times New Roman" w:eastAsia="宋体"/>
          <w:b w:val="0"/>
          <w:sz w:val="24"/>
        </w:rPr>
        <w:t>【建议五：建立培训成效追踪评估体系】</w:t>
      </w:r>
    </w:p>
    <w:p w14:paraId="0926E7E5">
      <w:pPr>
        <w:spacing w:line="360" w:lineRule="auto"/>
        <w:ind w:firstLine="480"/>
        <w:rPr>
          <w:rFonts w:hint="eastAsia" w:ascii="宋体" w:hAnsi="宋体" w:eastAsia="宋体" w:cs="宋体"/>
          <w:sz w:val="24"/>
          <w:szCs w:val="24"/>
          <w:lang w:val="en-US" w:eastAsia="zh-CN"/>
        </w:rPr>
      </w:pPr>
      <w:r>
        <w:rPr>
          <w:rFonts w:ascii="Times New Roman" w:hAnsi="Times New Roman" w:eastAsia="宋体"/>
          <w:b w:val="0"/>
          <w:sz w:val="24"/>
        </w:rPr>
        <w:t>培训工作的价值不仅在于开展培训本身，更在于培训后学员实际应用能力的提升。建议在每次培训后设置简单的操作测试或考核，记录学员掌握情况；培训后一个月内跟踪相关功能的实际使用数据变化，评估培训实际效果，并据此优化后续培训内容和方式，确保培训投入产生实际效益</w:t>
      </w:r>
      <w:r>
        <w:rPr>
          <w:rFonts w:hint="eastAsia" w:ascii="宋体" w:hAnsi="宋体" w:eastAsia="宋体" w:cs="宋体"/>
          <w:sz w:val="24"/>
          <w:szCs w:val="24"/>
          <w:lang w:val="en-US" w:eastAsia="zh-CN"/>
        </w:rPr>
        <w:t>。</w:t>
      </w:r>
    </w:p>
    <w:p w14:paraId="4E85EDED">
      <w:pPr>
        <w:numPr>
          <w:ilvl w:val="1"/>
          <w:numId w:val="3"/>
        </w:numPr>
        <w:adjustRightInd w:val="0"/>
        <w:snapToGrid w:val="0"/>
        <w:spacing w:line="360" w:lineRule="auto"/>
        <w:ind w:left="567" w:leftChars="0" w:hanging="567" w:firstLineChars="0"/>
        <w:outlineLvl w:val="2"/>
        <w:rPr>
          <w:rFonts w:hint="default"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项目意义与展望</w:t>
      </w:r>
    </w:p>
    <w:p w14:paraId="3A87815A">
      <w:pPr>
        <w:spacing w:before="0" w:after="0" w:line="360" w:lineRule="auto"/>
        <w:ind w:firstLine="420"/>
      </w:pPr>
      <w:r>
        <w:rPr>
          <w:rFonts w:ascii="Times New Roman" w:hAnsi="Times New Roman" w:eastAsia="宋体"/>
          <w:b w:val="0"/>
          <w:sz w:val="24"/>
        </w:rPr>
        <w:t>本项目的成功实施对国网新疆阿勒泰供电公司提升配电网精益化管理水平具有重要的现实意义与积极的示范价值。</w:t>
      </w:r>
    </w:p>
    <w:p w14:paraId="041BC109">
      <w:pPr>
        <w:spacing w:before="0" w:after="0" w:line="360" w:lineRule="auto"/>
        <w:ind w:firstLine="420"/>
      </w:pPr>
      <w:r>
        <w:rPr>
          <w:rFonts w:ascii="Times New Roman" w:hAnsi="Times New Roman" w:eastAsia="宋体"/>
          <w:b w:val="0"/>
          <w:sz w:val="24"/>
        </w:rPr>
        <w:t>【直接效益】</w:t>
      </w:r>
    </w:p>
    <w:p w14:paraId="67EC6FBF">
      <w:pPr>
        <w:spacing w:before="0" w:after="0" w:line="360" w:lineRule="auto"/>
        <w:ind w:firstLine="420"/>
      </w:pPr>
      <w:r>
        <w:rPr>
          <w:rFonts w:ascii="Times New Roman" w:hAnsi="Times New Roman" w:eastAsia="宋体"/>
          <w:b w:val="0"/>
          <w:sz w:val="24"/>
        </w:rPr>
        <w:t>一是显著提升配网数据质量，夯实数字化管理基础。通过业务流程管控深化和停电复核工作，系统性修复和提升配网微应用系统数据质量，为供电可靠性、设备健康状态等核心管理指标的准确统计提供可靠的数据基础，使管理决策建立在真实、准确的数据之上，有效避免"数据失真、决策失准"的问题。</w:t>
      </w:r>
    </w:p>
    <w:p w14:paraId="631DFC74">
      <w:pPr>
        <w:spacing w:before="0" w:after="0" w:line="360" w:lineRule="auto"/>
        <w:ind w:firstLine="420"/>
      </w:pPr>
      <w:r>
        <w:rPr>
          <w:rFonts w:ascii="Times New Roman" w:hAnsi="Times New Roman" w:eastAsia="宋体"/>
          <w:b w:val="0"/>
          <w:sz w:val="24"/>
        </w:rPr>
        <w:t>二是切实提升现场作业效率与规范性。通过移动功能深化推广和系统培训，一线作业人员的数字化工具使用能力和规范操作水平得到显著提升，现场数据即时采集、工单无纸化流转成为常态，减少重复录入、减少信息传递偏差，直接提升配网运维作业的效率和准确性。</w:t>
      </w:r>
    </w:p>
    <w:p w14:paraId="71479B57">
      <w:pPr>
        <w:spacing w:before="0" w:after="0" w:line="360" w:lineRule="auto"/>
        <w:ind w:firstLine="420"/>
      </w:pPr>
      <w:r>
        <w:rPr>
          <w:rFonts w:ascii="Times New Roman" w:hAnsi="Times New Roman" w:eastAsia="宋体"/>
          <w:b w:val="0"/>
          <w:sz w:val="24"/>
        </w:rPr>
        <w:t>三是强化隐患发现和风险防控能力。通过设备状态异常监测预警机制的建立，从被动等待设备故障转向主动发现潜在隐患，有效延长设备使用寿命，减少计划外停电事件，提升供电可靠性，为阿勒泰地区经济社会发展提供更加安全可靠的电力保障。</w:t>
      </w:r>
    </w:p>
    <w:p w14:paraId="346BDE21">
      <w:pPr>
        <w:spacing w:before="0" w:after="0" w:line="360" w:lineRule="auto"/>
        <w:ind w:firstLine="420"/>
      </w:pPr>
      <w:r>
        <w:rPr>
          <w:rFonts w:ascii="Times New Roman" w:hAnsi="Times New Roman" w:eastAsia="宋体"/>
          <w:b w:val="0"/>
          <w:sz w:val="24"/>
        </w:rPr>
        <w:t>四是提升工单管理精细化水平。工单预警机制的建立使各类业务工单处于全程受控状态，超时预警的及时推送有效降低工单滞留率，提升各专业工单按时完成率，最终体现为客户问题处理效率的提升和服务满意度的改善。</w:t>
      </w:r>
    </w:p>
    <w:p w14:paraId="79C3706D">
      <w:pPr>
        <w:spacing w:before="0" w:after="0" w:line="360" w:lineRule="auto"/>
        <w:ind w:firstLine="420"/>
      </w:pPr>
      <w:r>
        <w:rPr>
          <w:rFonts w:ascii="Times New Roman" w:hAnsi="Times New Roman" w:eastAsia="宋体"/>
          <w:b w:val="0"/>
          <w:sz w:val="24"/>
        </w:rPr>
        <w:t>【战略意义与未来展望】</w:t>
      </w:r>
    </w:p>
    <w:p w14:paraId="359822BB">
      <w:pPr>
        <w:spacing w:before="0" w:after="0" w:line="360" w:lineRule="auto"/>
        <w:ind w:firstLine="420"/>
      </w:pPr>
      <w:r>
        <w:rPr>
          <w:rFonts w:ascii="Times New Roman" w:hAnsi="Times New Roman" w:eastAsia="宋体"/>
          <w:b w:val="0"/>
          <w:sz w:val="24"/>
        </w:rPr>
        <w:t>本项目是阿勒泰供电公司深化配网数字化应用、推进电网运营精益化管理的重要实践，也是贯彻落实国家电网公司数字化转型战略的具体举措。通过本项目的实施，阿勒泰供电公司将在配网微应用系统深化应用方面积累宝贵经验，形成可复制推广的业务规范化操作模板和数字化赋能工作方法。</w:t>
      </w:r>
    </w:p>
    <w:p w14:paraId="60F2D0A5">
      <w:pPr>
        <w:spacing w:line="360" w:lineRule="auto"/>
        <w:ind w:firstLine="480"/>
        <w:rPr>
          <w:rFonts w:hint="eastAsia" w:ascii="宋体" w:hAnsi="宋体" w:eastAsia="宋体" w:cs="宋体"/>
          <w:sz w:val="24"/>
          <w:szCs w:val="24"/>
          <w:lang w:val="en-US" w:eastAsia="zh-CN"/>
        </w:rPr>
      </w:pPr>
      <w:r>
        <w:rPr>
          <w:rFonts w:ascii="Times New Roman" w:hAnsi="Times New Roman" w:eastAsia="宋体"/>
          <w:b w:val="0"/>
          <w:sz w:val="24"/>
        </w:rPr>
        <w:t>展望未来，随着配网数字化基础不断夯实，可进一步探索人工智能、大数据分析技术在配网运营管理中的深度应用，如基于历史数据的设备故障预测、基于负荷特征的配网优化调度等，推动阿勒泰配网管理从数字化向智能化迈进，不断提升阿勒泰地区的电力供应保障能力和电网运营效益</w:t>
      </w:r>
      <w:r>
        <w:rPr>
          <w:rFonts w:hint="eastAsia" w:ascii="宋体" w:hAnsi="宋体" w:cs="宋体"/>
          <w:sz w:val="24"/>
          <w:szCs w:val="24"/>
          <w:lang w:eastAsia="zh-CN"/>
        </w:rPr>
        <w:t>。</w:t>
      </w:r>
    </w:p>
    <w:p w14:paraId="77652DC8">
      <w:pPr>
        <w:numPr>
          <w:ilvl w:val="0"/>
          <w:numId w:val="3"/>
        </w:numPr>
        <w:adjustRightInd w:val="0"/>
        <w:snapToGrid w:val="0"/>
        <w:spacing w:line="360" w:lineRule="auto"/>
        <w:ind w:left="425" w:leftChars="0" w:hanging="425" w:firstLineChars="0"/>
        <w:outlineLvl w:val="1"/>
        <w:rPr>
          <w:rFonts w:hint="eastAsia" w:ascii="宋体" w:hAnsi="宋体" w:eastAsia="宋体" w:cs="宋体"/>
          <w:b/>
          <w:color w:val="000000" w:themeColor="text1"/>
          <w:sz w:val="24"/>
          <w:szCs w:val="28"/>
          <w:highlight w:val="none"/>
          <w14:textFill>
            <w14:solidFill>
              <w14:schemeClr w14:val="tx1"/>
            </w14:solidFill>
          </w14:textFill>
        </w:rPr>
      </w:pPr>
      <w:bookmarkStart w:id="3" w:name="_Toc3223"/>
      <w:bookmarkStart w:id="4" w:name="_Toc2484"/>
      <w:bookmarkStart w:id="5" w:name="_Toc14811"/>
      <w:r>
        <w:rPr>
          <w:rFonts w:hint="eastAsia" w:ascii="宋体" w:hAnsi="宋体" w:eastAsia="宋体" w:cs="宋体"/>
          <w:b/>
          <w:color w:val="000000" w:themeColor="text1"/>
          <w:sz w:val="24"/>
          <w:szCs w:val="28"/>
          <w:highlight w:val="none"/>
          <w14:textFill>
            <w14:solidFill>
              <w14:schemeClr w14:val="tx1"/>
            </w14:solidFill>
          </w14:textFill>
        </w:rPr>
        <w:t>工作规划描述</w:t>
      </w:r>
      <w:bookmarkEnd w:id="3"/>
      <w:bookmarkEnd w:id="4"/>
      <w:bookmarkEnd w:id="5"/>
    </w:p>
    <w:p w14:paraId="37531333">
      <w:pPr>
        <w:numPr>
          <w:ilvl w:val="1"/>
          <w:numId w:val="3"/>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yellow"/>
          <w:lang w:val="en-US" w:eastAsia="zh-CN"/>
          <w14:textFill>
            <w14:solidFill>
              <w14:schemeClr w14:val="tx1"/>
            </w14:solidFill>
          </w14:textFill>
        </w:rPr>
      </w:pPr>
      <w:bookmarkStart w:id="6" w:name="_Toc23233"/>
      <w:r>
        <w:rPr>
          <w:rFonts w:hint="eastAsia" w:ascii="宋体" w:hAnsi="宋体" w:eastAsia="宋体" w:cs="宋体"/>
          <w:b/>
          <w:color w:val="000000" w:themeColor="text1"/>
          <w:sz w:val="24"/>
          <w:szCs w:val="28"/>
          <w:highlight w:val="yellow"/>
          <w:lang w:val="en-US" w:eastAsia="zh-CN"/>
          <w14:textFill>
            <w14:solidFill>
              <w14:schemeClr w14:val="tx1"/>
            </w14:solidFill>
          </w14:textFill>
        </w:rPr>
        <w:t>硬件、软件实力</w:t>
      </w:r>
    </w:p>
    <w:p w14:paraId="7F30E8FF">
      <w:pPr>
        <w:numPr>
          <w:ilvl w:val="2"/>
          <w:numId w:val="3"/>
        </w:numPr>
        <w:adjustRightInd w:val="0"/>
        <w:snapToGrid w:val="0"/>
        <w:spacing w:line="360" w:lineRule="auto"/>
        <w:ind w:left="709" w:leftChars="0" w:hanging="709" w:firstLineChars="0"/>
        <w:outlineLvl w:val="3"/>
        <w:rPr>
          <w:rFonts w:hint="eastAsia" w:ascii="宋体" w:hAnsi="宋体" w:eastAsia="宋体" w:cs="宋体"/>
          <w:b/>
          <w:color w:val="000000" w:themeColor="text1"/>
          <w:sz w:val="24"/>
          <w:szCs w:val="28"/>
          <w:highlight w:val="yellow"/>
          <w:lang w:val="en-US" w:eastAsia="zh-CN"/>
          <w14:textFill>
            <w14:solidFill>
              <w14:schemeClr w14:val="tx1"/>
            </w14:solidFill>
          </w14:textFill>
        </w:rPr>
      </w:pPr>
      <w:r>
        <w:rPr>
          <w:rFonts w:hint="eastAsia" w:ascii="宋体" w:hAnsi="宋体" w:eastAsia="宋体" w:cs="宋体"/>
          <w:b/>
          <w:color w:val="000000" w:themeColor="text1"/>
          <w:sz w:val="24"/>
          <w:szCs w:val="28"/>
          <w:highlight w:val="yellow"/>
          <w:lang w:val="en-US" w:eastAsia="zh-CN"/>
          <w14:textFill>
            <w14:solidFill>
              <w14:schemeClr w14:val="tx1"/>
            </w14:solidFill>
          </w14:textFill>
        </w:rPr>
        <w:t>硬件实力</w:t>
      </w:r>
    </w:p>
    <w:p w14:paraId="251058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p>
    <w:p w14:paraId="49F7922F">
      <w:pPr>
        <w:numPr>
          <w:ilvl w:val="2"/>
          <w:numId w:val="3"/>
        </w:numPr>
        <w:adjustRightInd w:val="0"/>
        <w:snapToGrid w:val="0"/>
        <w:spacing w:line="360" w:lineRule="auto"/>
        <w:ind w:left="709" w:leftChars="0" w:hanging="709" w:firstLineChars="0"/>
        <w:outlineLvl w:val="3"/>
        <w:rPr>
          <w:rFonts w:hint="eastAsia" w:ascii="宋体" w:hAnsi="宋体" w:eastAsia="宋体" w:cs="宋体"/>
          <w:b/>
          <w:color w:val="000000" w:themeColor="text1"/>
          <w:sz w:val="24"/>
          <w:szCs w:val="28"/>
          <w:highlight w:val="yellow"/>
          <w:lang w:val="en-US" w:eastAsia="zh-CN"/>
          <w14:textFill>
            <w14:solidFill>
              <w14:schemeClr w14:val="tx1"/>
            </w14:solidFill>
          </w14:textFill>
        </w:rPr>
      </w:pPr>
      <w:r>
        <w:rPr>
          <w:rFonts w:hint="eastAsia" w:ascii="宋体" w:hAnsi="宋体" w:eastAsia="宋体" w:cs="宋体"/>
          <w:b/>
          <w:color w:val="000000" w:themeColor="text1"/>
          <w:sz w:val="24"/>
          <w:szCs w:val="28"/>
          <w:highlight w:val="yellow"/>
          <w:lang w:val="en-US" w:eastAsia="zh-CN"/>
          <w14:textFill>
            <w14:solidFill>
              <w14:schemeClr w14:val="tx1"/>
            </w14:solidFill>
          </w14:textFill>
        </w:rPr>
        <w:t>软件实力</w:t>
      </w:r>
    </w:p>
    <w:p w14:paraId="593FCD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p>
    <w:p w14:paraId="5D907E3C">
      <w:pPr>
        <w:numPr>
          <w:ilvl w:val="1"/>
          <w:numId w:val="3"/>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项目实施规模、范围</w:t>
      </w:r>
    </w:p>
    <w:p w14:paraId="073FA352">
      <w:pPr>
        <w:spacing w:before="0" w:after="0" w:line="360" w:lineRule="auto"/>
        <w:ind w:firstLine="420"/>
      </w:pPr>
      <w:r>
        <w:rPr>
          <w:rFonts w:ascii="Times New Roman" w:hAnsi="Times New Roman" w:eastAsia="宋体"/>
          <w:b w:val="0"/>
          <w:sz w:val="24"/>
        </w:rPr>
        <w:t>本次项目服务范围为国网新疆阿勒泰供电公司2026配电网微应用数据赋能及分析技术服务，具体实施规模与范围如下：</w:t>
      </w:r>
    </w:p>
    <w:p w14:paraId="00F2D80D">
      <w:pPr>
        <w:spacing w:before="0" w:after="0" w:line="360" w:lineRule="auto"/>
        <w:ind w:firstLine="420"/>
      </w:pPr>
      <w:r>
        <w:rPr>
          <w:rFonts w:ascii="Times New Roman" w:hAnsi="Times New Roman" w:eastAsia="宋体"/>
          <w:b w:val="0"/>
          <w:sz w:val="24"/>
        </w:rPr>
        <w:t>【服务对象】</w:t>
      </w:r>
    </w:p>
    <w:p w14:paraId="7AA50393">
      <w:pPr>
        <w:spacing w:before="0" w:after="0" w:line="360" w:lineRule="auto"/>
        <w:ind w:firstLine="420"/>
      </w:pPr>
      <w:r>
        <w:rPr>
          <w:rFonts w:ascii="Times New Roman" w:hAnsi="Times New Roman" w:eastAsia="宋体"/>
          <w:b w:val="0"/>
          <w:sz w:val="24"/>
        </w:rPr>
        <w:t>本项目服务对象为国网新疆阿勒泰供电公司，具体涉及配电运检、电力调度、营销服务等相关业务部门及一线作业班组，覆盖配网微应用系统的全体使用人员。</w:t>
      </w:r>
    </w:p>
    <w:p w14:paraId="0AABF48B">
      <w:pPr>
        <w:spacing w:before="0" w:after="0" w:line="360" w:lineRule="auto"/>
        <w:ind w:firstLine="420"/>
      </w:pPr>
      <w:r>
        <w:rPr>
          <w:rFonts w:ascii="Times New Roman" w:hAnsi="Times New Roman" w:eastAsia="宋体"/>
          <w:b w:val="0"/>
          <w:sz w:val="24"/>
        </w:rPr>
        <w:t>【服务内容范围】</w:t>
      </w:r>
    </w:p>
    <w:p w14:paraId="2D19E8F6">
      <w:pPr>
        <w:spacing w:before="0" w:after="0" w:line="360" w:lineRule="auto"/>
        <w:ind w:firstLine="420"/>
      </w:pPr>
      <w:r>
        <w:rPr>
          <w:rFonts w:ascii="Times New Roman" w:hAnsi="Times New Roman" w:eastAsia="宋体"/>
          <w:b w:val="0"/>
          <w:sz w:val="24"/>
        </w:rPr>
        <w:t>本项目服务内容涵盖以下七个方面：</w:t>
      </w:r>
    </w:p>
    <w:p w14:paraId="0593F84C">
      <w:pPr>
        <w:spacing w:before="0" w:after="0" w:line="360" w:lineRule="auto"/>
        <w:ind w:firstLine="420"/>
      </w:pPr>
      <w:r>
        <w:rPr>
          <w:rFonts w:ascii="Times New Roman" w:hAnsi="Times New Roman" w:eastAsia="宋体"/>
          <w:b w:val="0"/>
          <w:sz w:val="24"/>
        </w:rPr>
        <w:t>（一）配网微应用业务流程管控服务：对配网微应用系统涉及的各类业务流程（重点包括倒闸操作管理等核心业务场景）进行全面梳理和规范化推进，制定标准化操作规范和操作指引，组织实施并跟踪落实，确保各业务环节操作规范、数据准确。</w:t>
      </w:r>
    </w:p>
    <w:p w14:paraId="277A6DF3">
      <w:pPr>
        <w:spacing w:before="0" w:after="0" w:line="360" w:lineRule="auto"/>
        <w:ind w:firstLine="420"/>
      </w:pPr>
      <w:r>
        <w:rPr>
          <w:rFonts w:ascii="Times New Roman" w:hAnsi="Times New Roman" w:eastAsia="宋体"/>
          <w:b w:val="0"/>
          <w:sz w:val="24"/>
        </w:rPr>
        <w:t>（二）配网微应用移动功能支撑服务：为配网运检、抢修等一线作业人员提供全程移动功能使用指导与技术支撑，推动现场作业票、缺陷上报、工单处理等移动端功能的规范化应用，提升现场数字化作业水平。</w:t>
      </w:r>
    </w:p>
    <w:p w14:paraId="2A4300A2">
      <w:pPr>
        <w:spacing w:before="0" w:after="0" w:line="360" w:lineRule="auto"/>
        <w:ind w:firstLine="420"/>
      </w:pPr>
      <w:r>
        <w:rPr>
          <w:rFonts w:ascii="Times New Roman" w:hAnsi="Times New Roman" w:eastAsia="宋体"/>
          <w:b w:val="0"/>
          <w:sz w:val="24"/>
        </w:rPr>
        <w:t>（三）基于配网微应用开展停电复核服务：系统性核查配网微应用系统中的停电数据，比对停电计划与实际执行情况，核实停电时长、停电范围等关键数据的准确性，对发现的数据偏差进行登记、协商确认并推动整改，保障供电可靠性等指标统计的准确性。</w:t>
      </w:r>
    </w:p>
    <w:p w14:paraId="5C4535BB">
      <w:pPr>
        <w:spacing w:before="0" w:after="0" w:line="360" w:lineRule="auto"/>
        <w:ind w:firstLine="420"/>
      </w:pPr>
      <w:r>
        <w:rPr>
          <w:rFonts w:ascii="Times New Roman" w:hAnsi="Times New Roman" w:eastAsia="宋体"/>
          <w:b w:val="0"/>
          <w:sz w:val="24"/>
        </w:rPr>
        <w:t>（四）配网微应用指标提升服务：配合项目单位完成配网微应用相关管理指标的分析诊断，制定针对性提升措施，跟踪落实进展，确保年度指标目标达成。指标范围涵盖设备数据完整率、工单按期完成率、移动应用覆盖率等项目单位重点关注的管理指标。</w:t>
      </w:r>
    </w:p>
    <w:p w14:paraId="31F31088">
      <w:pPr>
        <w:spacing w:before="0" w:after="0" w:line="360" w:lineRule="auto"/>
        <w:ind w:firstLine="420"/>
      </w:pPr>
      <w:r>
        <w:rPr>
          <w:rFonts w:ascii="Times New Roman" w:hAnsi="Times New Roman" w:eastAsia="宋体"/>
          <w:b w:val="0"/>
          <w:sz w:val="24"/>
        </w:rPr>
        <w:t>（五）配网微应用设备状态异常监测服务：基于配网微应用系统积累的设备运行状态数据，建立设备状态异常监测预警机制，定期开展数据分析，及时发现和推送设备异常信息，辅助运检人员主动开展隐患排查。</w:t>
      </w:r>
    </w:p>
    <w:p w14:paraId="65F4127C">
      <w:pPr>
        <w:spacing w:before="0" w:after="0" w:line="360" w:lineRule="auto"/>
        <w:ind w:firstLine="420"/>
      </w:pPr>
      <w:r>
        <w:rPr>
          <w:rFonts w:ascii="Times New Roman" w:hAnsi="Times New Roman" w:eastAsia="宋体"/>
          <w:b w:val="0"/>
          <w:sz w:val="24"/>
        </w:rPr>
        <w:t>（六）配网微应用工单预警服务：对配网微应用系统中各类业务工单（缺陷工单、抢修工单、计划检修工单等）的流转状态进行实时监控，对超时未处理、即将到期等工单发出预警提醒，督促责任人及时处置，提升工单闭环效率。</w:t>
      </w:r>
    </w:p>
    <w:p w14:paraId="5EC888CF">
      <w:pPr>
        <w:spacing w:before="0" w:after="0" w:line="360" w:lineRule="auto"/>
        <w:ind w:firstLine="420"/>
      </w:pPr>
      <w:r>
        <w:rPr>
          <w:rFonts w:ascii="Times New Roman" w:hAnsi="Times New Roman" w:eastAsia="宋体"/>
          <w:b w:val="0"/>
          <w:sz w:val="24"/>
        </w:rPr>
        <w:t>（七）配网微应用系统培训服务：面向配电运检、调度、营销等各专业用户开展分层次、分模块的系统培训，结合实际业务场景讲解系统操作规范，提供培训后的持续技术指导，培训所产生的各项费用均含在技术服务费用中。</w:t>
      </w:r>
    </w:p>
    <w:p w14:paraId="0E1AA993">
      <w:pPr>
        <w:spacing w:before="0" w:after="0" w:line="360" w:lineRule="auto"/>
        <w:ind w:firstLine="420"/>
      </w:pPr>
      <w:r>
        <w:rPr>
          <w:rFonts w:ascii="Times New Roman" w:hAnsi="Times New Roman" w:eastAsia="宋体"/>
          <w:b w:val="0"/>
          <w:sz w:val="24"/>
        </w:rPr>
        <w:t>【服务周期与人员要求】</w:t>
      </w:r>
    </w:p>
    <w:p w14:paraId="77C718FB">
      <w:pPr>
        <w:spacing w:line="360" w:lineRule="auto"/>
        <w:ind w:firstLine="480"/>
        <w:rPr>
          <w:rFonts w:hint="eastAsia" w:ascii="宋体" w:hAnsi="宋体" w:eastAsia="宋体" w:cs="宋体"/>
          <w:sz w:val="24"/>
          <w:szCs w:val="24"/>
        </w:rPr>
      </w:pPr>
      <w:r>
        <w:rPr>
          <w:rFonts w:ascii="Times New Roman" w:hAnsi="Times New Roman" w:eastAsia="宋体"/>
          <w:b w:val="0"/>
          <w:sz w:val="24"/>
        </w:rPr>
        <w:t>本项目服务周期为2026年度（以合同签订日期为准），全年持续提供技术服务。投标方需配置项目负责人一名及若干专业技术人员，人员须确保稳定，技术服务人员须保证24小时手机开机，随时响应项目单位的业务需求，对不能解决的问题须立即向项目单位对应负责人汇报</w:t>
      </w:r>
      <w:r>
        <w:rPr>
          <w:rFonts w:hint="eastAsia" w:ascii="宋体" w:hAnsi="宋体" w:cs="宋体"/>
          <w:sz w:val="24"/>
          <w:szCs w:val="24"/>
          <w:lang w:val="en-US" w:eastAsia="zh-CN"/>
        </w:rPr>
        <w:t>。</w:t>
      </w:r>
    </w:p>
    <w:p w14:paraId="56245566">
      <w:pPr>
        <w:numPr>
          <w:ilvl w:val="1"/>
          <w:numId w:val="3"/>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项目建设依据</w:t>
      </w:r>
    </w:p>
    <w:p w14:paraId="6668AEA7">
      <w:pPr>
        <w:spacing w:before="0" w:after="0" w:line="360" w:lineRule="auto"/>
        <w:ind w:firstLine="420"/>
      </w:pPr>
      <w:r>
        <w:rPr>
          <w:rFonts w:ascii="Times New Roman" w:hAnsi="Times New Roman" w:eastAsia="宋体"/>
          <w:b w:val="0"/>
          <w:sz w:val="24"/>
        </w:rPr>
        <w:t>本项目实施遵循国家、行业及国家电网公司相关标准规范，主要建设依据如下：</w:t>
      </w:r>
    </w:p>
    <w:p w14:paraId="5387767E">
      <w:pPr>
        <w:spacing w:before="0" w:after="0" w:line="360" w:lineRule="auto"/>
        <w:ind w:firstLine="420"/>
      </w:pPr>
      <w:r>
        <w:rPr>
          <w:rFonts w:ascii="Times New Roman" w:hAnsi="Times New Roman" w:eastAsia="宋体"/>
          <w:b w:val="0"/>
          <w:sz w:val="24"/>
        </w:rPr>
        <w:t>【国家法规与政策】</w:t>
      </w:r>
    </w:p>
    <w:p w14:paraId="2EA8FE55">
      <w:pPr>
        <w:spacing w:before="0" w:after="0" w:line="360" w:lineRule="auto"/>
        <w:ind w:firstLine="420"/>
      </w:pPr>
      <w:r>
        <w:rPr>
          <w:rFonts w:ascii="Times New Roman" w:hAnsi="Times New Roman" w:eastAsia="宋体"/>
          <w:b w:val="0"/>
          <w:sz w:val="24"/>
        </w:rPr>
        <w:t>（1）《中华人民共和国电力法》及配套法规</w:t>
      </w:r>
    </w:p>
    <w:p w14:paraId="32FB9CE8">
      <w:pPr>
        <w:spacing w:before="0" w:after="0" w:line="360" w:lineRule="auto"/>
        <w:ind w:firstLine="420"/>
      </w:pPr>
      <w:r>
        <w:rPr>
          <w:rFonts w:ascii="Times New Roman" w:hAnsi="Times New Roman" w:eastAsia="宋体"/>
          <w:b w:val="0"/>
          <w:sz w:val="24"/>
        </w:rPr>
        <w:t>（2）《电力安全生产监督管理办法》</w:t>
      </w:r>
    </w:p>
    <w:p w14:paraId="3745B36C">
      <w:pPr>
        <w:spacing w:before="0" w:after="0" w:line="360" w:lineRule="auto"/>
        <w:ind w:firstLine="420"/>
      </w:pPr>
      <w:r>
        <w:rPr>
          <w:rFonts w:ascii="Times New Roman" w:hAnsi="Times New Roman" w:eastAsia="宋体"/>
          <w:b w:val="0"/>
          <w:sz w:val="24"/>
        </w:rPr>
        <w:t>（3）《国家数字经济发展战略纲要》相关政策要求</w:t>
      </w:r>
    </w:p>
    <w:p w14:paraId="7F6CADF4">
      <w:pPr>
        <w:spacing w:before="0" w:after="0" w:line="360" w:lineRule="auto"/>
        <w:ind w:firstLine="420"/>
      </w:pPr>
      <w:r>
        <w:rPr>
          <w:rFonts w:ascii="Times New Roman" w:hAnsi="Times New Roman" w:eastAsia="宋体"/>
          <w:b w:val="0"/>
          <w:sz w:val="24"/>
        </w:rPr>
        <w:t>【国家电网公司企业标准与制度】</w:t>
      </w:r>
    </w:p>
    <w:p w14:paraId="5D77D18A">
      <w:pPr>
        <w:spacing w:before="0" w:after="0" w:line="360" w:lineRule="auto"/>
        <w:ind w:firstLine="420"/>
      </w:pPr>
      <w:r>
        <w:rPr>
          <w:rFonts w:ascii="Times New Roman" w:hAnsi="Times New Roman" w:eastAsia="宋体"/>
          <w:b w:val="0"/>
          <w:sz w:val="24"/>
        </w:rPr>
        <w:t>（4）《国家电网公司安全事故调查规程》——服务质量安全要求的核心依据</w:t>
      </w:r>
    </w:p>
    <w:p w14:paraId="02787302">
      <w:pPr>
        <w:spacing w:before="0" w:after="0" w:line="360" w:lineRule="auto"/>
        <w:ind w:firstLine="420"/>
      </w:pPr>
      <w:r>
        <w:rPr>
          <w:rFonts w:ascii="Times New Roman" w:hAnsi="Times New Roman" w:eastAsia="宋体"/>
          <w:b w:val="0"/>
          <w:sz w:val="24"/>
        </w:rPr>
        <w:t>（5）国家电网公司配电网运维管理相关规定</w:t>
      </w:r>
    </w:p>
    <w:p w14:paraId="3B323361">
      <w:pPr>
        <w:spacing w:before="0" w:after="0" w:line="360" w:lineRule="auto"/>
        <w:ind w:firstLine="420"/>
      </w:pPr>
      <w:r>
        <w:rPr>
          <w:rFonts w:ascii="Times New Roman" w:hAnsi="Times New Roman" w:eastAsia="宋体"/>
          <w:b w:val="0"/>
          <w:sz w:val="24"/>
        </w:rPr>
        <w:t>（6）国家电网公司信息系统安全防护相关制度规定</w:t>
      </w:r>
    </w:p>
    <w:p w14:paraId="68720D68">
      <w:pPr>
        <w:spacing w:before="0" w:after="0" w:line="360" w:lineRule="auto"/>
        <w:ind w:firstLine="420"/>
      </w:pPr>
      <w:r>
        <w:rPr>
          <w:rFonts w:ascii="Times New Roman" w:hAnsi="Times New Roman" w:eastAsia="宋体"/>
          <w:b w:val="0"/>
          <w:sz w:val="24"/>
        </w:rPr>
        <w:t>（7）国网新疆电力公司数据保密政策及相关规定</w:t>
      </w:r>
    </w:p>
    <w:p w14:paraId="25CD29C5">
      <w:pPr>
        <w:spacing w:before="0" w:after="0" w:line="360" w:lineRule="auto"/>
        <w:ind w:firstLine="420"/>
      </w:pPr>
      <w:r>
        <w:rPr>
          <w:rFonts w:ascii="Times New Roman" w:hAnsi="Times New Roman" w:eastAsia="宋体"/>
          <w:b w:val="0"/>
          <w:sz w:val="24"/>
        </w:rPr>
        <w:t>（8）国家电网公司配网微应用系统管理规范及操作手册</w:t>
      </w:r>
    </w:p>
    <w:p w14:paraId="7A0DBB85">
      <w:pPr>
        <w:spacing w:before="0" w:after="0" w:line="360" w:lineRule="auto"/>
        <w:ind w:firstLine="420"/>
      </w:pPr>
      <w:r>
        <w:rPr>
          <w:rFonts w:ascii="Times New Roman" w:hAnsi="Times New Roman" w:eastAsia="宋体"/>
          <w:b w:val="0"/>
          <w:sz w:val="24"/>
        </w:rPr>
        <w:t>（9）国家电网公司供电可靠性管理规定及统计标准</w:t>
      </w:r>
    </w:p>
    <w:p w14:paraId="5D4C36DB">
      <w:pPr>
        <w:spacing w:before="0" w:after="0" w:line="360" w:lineRule="auto"/>
        <w:ind w:firstLine="420"/>
      </w:pPr>
      <w:r>
        <w:rPr>
          <w:rFonts w:ascii="Times New Roman" w:hAnsi="Times New Roman" w:eastAsia="宋体"/>
          <w:b w:val="0"/>
          <w:sz w:val="24"/>
        </w:rPr>
        <w:t>（10）国家电网公司配电网倒闸操作管理相关规程</w:t>
      </w:r>
    </w:p>
    <w:p w14:paraId="55D33250">
      <w:pPr>
        <w:spacing w:before="0" w:after="0" w:line="360" w:lineRule="auto"/>
        <w:ind w:firstLine="420"/>
      </w:pPr>
      <w:r>
        <w:rPr>
          <w:rFonts w:ascii="Times New Roman" w:hAnsi="Times New Roman" w:eastAsia="宋体"/>
          <w:b w:val="0"/>
          <w:sz w:val="24"/>
        </w:rPr>
        <w:t>【软件与信息安全标准】</w:t>
      </w:r>
    </w:p>
    <w:p w14:paraId="32BE50BA">
      <w:pPr>
        <w:spacing w:before="0" w:after="0" w:line="360" w:lineRule="auto"/>
        <w:ind w:firstLine="420"/>
      </w:pPr>
      <w:r>
        <w:rPr>
          <w:rFonts w:ascii="Times New Roman" w:hAnsi="Times New Roman" w:eastAsia="宋体"/>
          <w:b w:val="0"/>
          <w:sz w:val="24"/>
        </w:rPr>
        <w:t>（11）GB/T 22239-2019《信息安全技术 网络安全等级保护基本要求》</w:t>
      </w:r>
    </w:p>
    <w:p w14:paraId="3119A750">
      <w:pPr>
        <w:spacing w:before="0" w:after="0" w:line="360" w:lineRule="auto"/>
        <w:ind w:firstLine="420"/>
      </w:pPr>
      <w:r>
        <w:rPr>
          <w:rFonts w:ascii="Times New Roman" w:hAnsi="Times New Roman" w:eastAsia="宋体"/>
          <w:b w:val="0"/>
          <w:sz w:val="24"/>
        </w:rPr>
        <w:t>（12）GB/T 12504-2008《计算机软件质量保证计划规范》</w:t>
      </w:r>
    </w:p>
    <w:p w14:paraId="2B94BAAF">
      <w:pPr>
        <w:spacing w:before="0" w:after="0" w:line="360" w:lineRule="auto"/>
        <w:ind w:firstLine="420"/>
      </w:pPr>
      <w:r>
        <w:rPr>
          <w:rFonts w:ascii="Times New Roman" w:hAnsi="Times New Roman" w:eastAsia="宋体"/>
          <w:b w:val="0"/>
          <w:sz w:val="24"/>
        </w:rPr>
        <w:t>（13）GB 8567-88《计算机软件产品开发文件编制指南》</w:t>
      </w:r>
    </w:p>
    <w:p w14:paraId="0319A982">
      <w:pPr>
        <w:spacing w:before="0" w:after="0" w:line="360" w:lineRule="auto"/>
        <w:ind w:firstLine="420"/>
      </w:pPr>
      <w:r>
        <w:rPr>
          <w:rFonts w:ascii="Times New Roman" w:hAnsi="Times New Roman" w:eastAsia="宋体"/>
          <w:b w:val="0"/>
          <w:sz w:val="24"/>
        </w:rPr>
        <w:t>【项目专项依据】</w:t>
      </w:r>
    </w:p>
    <w:p w14:paraId="699FADE2">
      <w:pPr>
        <w:spacing w:before="0" w:after="0" w:line="360" w:lineRule="auto"/>
        <w:ind w:firstLine="420"/>
      </w:pPr>
      <w:r>
        <w:rPr>
          <w:rFonts w:ascii="Times New Roman" w:hAnsi="Times New Roman" w:eastAsia="宋体"/>
          <w:b w:val="0"/>
          <w:sz w:val="24"/>
        </w:rPr>
        <w:t>（14）国网新疆阿勒泰供电公司2026配电网微应用数据赋能及分析技术服务技术规范书（ID：D076-300013740-00041）</w:t>
      </w:r>
    </w:p>
    <w:p w14:paraId="760CCBFE">
      <w:pPr>
        <w:spacing w:before="0" w:after="0" w:line="360" w:lineRule="auto"/>
        <w:ind w:firstLine="420"/>
      </w:pPr>
      <w:r>
        <w:rPr>
          <w:rFonts w:ascii="Times New Roman" w:hAnsi="Times New Roman" w:eastAsia="宋体"/>
          <w:b w:val="0"/>
          <w:sz w:val="24"/>
        </w:rPr>
        <w:t>（15）国网新疆阿勒泰供电公司年度配电网运营管理工作方案</w:t>
      </w:r>
    </w:p>
    <w:p w14:paraId="7459FAB5">
      <w:pPr>
        <w:spacing w:before="0" w:after="0" w:line="360" w:lineRule="auto"/>
        <w:ind w:firstLine="420"/>
      </w:pPr>
      <w:r>
        <w:rPr>
          <w:rFonts w:ascii="Times New Roman" w:hAnsi="Times New Roman" w:eastAsia="宋体"/>
          <w:b w:val="0"/>
          <w:sz w:val="24"/>
        </w:rPr>
        <w:t>（16）国网新疆阿勒泰供电公司技术服务质量考核评价体系相关文件</w:t>
      </w:r>
    </w:p>
    <w:p w14:paraId="47A67792">
      <w:pPr>
        <w:numPr>
          <w:ilvl w:val="1"/>
          <w:numId w:val="3"/>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cs="宋体"/>
          <w:b/>
          <w:color w:val="000000" w:themeColor="text1"/>
          <w:sz w:val="24"/>
          <w:szCs w:val="28"/>
          <w:highlight w:val="none"/>
          <w:lang w:val="en-US" w:eastAsia="zh-CN"/>
          <w14:textFill>
            <w14:solidFill>
              <w14:schemeClr w14:val="tx1"/>
            </w14:solidFill>
          </w14:textFill>
        </w:rPr>
        <w:t>项目服务目标</w:t>
      </w:r>
    </w:p>
    <w:p w14:paraId="3C20ECD1">
      <w:pPr>
        <w:spacing w:before="0" w:after="0" w:line="360" w:lineRule="auto"/>
        <w:ind w:firstLine="420"/>
      </w:pPr>
      <w:r>
        <w:rPr>
          <w:rFonts w:ascii="Times New Roman" w:hAnsi="Times New Roman" w:eastAsia="宋体"/>
          <w:b w:val="0"/>
          <w:sz w:val="24"/>
        </w:rPr>
        <w:t>本项目服务目标是在合同服务周期内，为国网新疆阿勒泰供电公司提供高质量、持续稳定的配网微应用数据赋能及分析技术服务，实现以下具体量化目标：</w:t>
      </w:r>
    </w:p>
    <w:p w14:paraId="125FC788">
      <w:pPr>
        <w:spacing w:before="0" w:after="0" w:line="360" w:lineRule="auto"/>
        <w:ind w:firstLine="420"/>
      </w:pPr>
      <w:r>
        <w:rPr>
          <w:rFonts w:ascii="Times New Roman" w:hAnsi="Times New Roman" w:eastAsia="宋体"/>
          <w:b w:val="0"/>
          <w:sz w:val="24"/>
        </w:rPr>
        <w:t>【数据质量提升目标】</w:t>
      </w:r>
    </w:p>
    <w:p w14:paraId="5CB40310">
      <w:pPr>
        <w:spacing w:before="0" w:after="0" w:line="360" w:lineRule="auto"/>
        <w:ind w:firstLine="420"/>
      </w:pPr>
      <w:r>
        <w:rPr>
          <w:rFonts w:ascii="Times New Roman" w:hAnsi="Times New Roman" w:eastAsia="宋体"/>
          <w:b w:val="0"/>
          <w:sz w:val="24"/>
        </w:rPr>
        <w:t>（1）通过业务流程管控深化和停电复核工作，配网微应用系统核心数据质量指标（设备台账完整率、停电记录准确率等）在年度内实现持续改善，力争达到项目单位当年考核目标要求。</w:t>
      </w:r>
    </w:p>
    <w:p w14:paraId="08ABEA2B">
      <w:pPr>
        <w:spacing w:before="0" w:after="0" w:line="360" w:lineRule="auto"/>
        <w:ind w:firstLine="420"/>
      </w:pPr>
      <w:r>
        <w:rPr>
          <w:rFonts w:ascii="Times New Roman" w:hAnsi="Times New Roman" w:eastAsia="宋体"/>
          <w:b w:val="0"/>
          <w:sz w:val="24"/>
        </w:rPr>
        <w:t>（2）停电复核覆盖率：对系统内当年新增停电记录实现100%复核，历史存量关键记录按计划分批完成复核。</w:t>
      </w:r>
    </w:p>
    <w:p w14:paraId="2AAD0F16">
      <w:pPr>
        <w:spacing w:before="0" w:after="0" w:line="360" w:lineRule="auto"/>
        <w:ind w:firstLine="420"/>
      </w:pPr>
      <w:r>
        <w:rPr>
          <w:rFonts w:ascii="Times New Roman" w:hAnsi="Times New Roman" w:eastAsia="宋体"/>
          <w:b w:val="0"/>
          <w:sz w:val="24"/>
        </w:rPr>
        <w:t>【移动功能应用目标】</w:t>
      </w:r>
    </w:p>
    <w:p w14:paraId="58FA77D2">
      <w:pPr>
        <w:spacing w:before="0" w:after="0" w:line="360" w:lineRule="auto"/>
        <w:ind w:firstLine="420"/>
      </w:pPr>
      <w:r>
        <w:rPr>
          <w:rFonts w:ascii="Times New Roman" w:hAnsi="Times New Roman" w:eastAsia="宋体"/>
          <w:b w:val="0"/>
          <w:sz w:val="24"/>
        </w:rPr>
        <w:t>（3）通过培训和持续推广，配网微应用移动端功能使用覆盖率较服务开始时提升明显，各专业核心移动功能使用规范性显著提高。</w:t>
      </w:r>
    </w:p>
    <w:p w14:paraId="0534C238">
      <w:pPr>
        <w:spacing w:before="0" w:after="0" w:line="360" w:lineRule="auto"/>
        <w:ind w:firstLine="420"/>
      </w:pPr>
      <w:r>
        <w:rPr>
          <w:rFonts w:ascii="Times New Roman" w:hAnsi="Times New Roman" w:eastAsia="宋体"/>
          <w:b w:val="0"/>
          <w:sz w:val="24"/>
        </w:rPr>
        <w:t>（4）全年开展系统培训不少于4次，覆盖各专业主要用户群体，培训满意度≥85%。</w:t>
      </w:r>
    </w:p>
    <w:p w14:paraId="1B279531">
      <w:pPr>
        <w:spacing w:before="0" w:after="0" w:line="360" w:lineRule="auto"/>
        <w:ind w:firstLine="420"/>
      </w:pPr>
      <w:r>
        <w:rPr>
          <w:rFonts w:ascii="Times New Roman" w:hAnsi="Times New Roman" w:eastAsia="宋体"/>
          <w:b w:val="0"/>
          <w:sz w:val="24"/>
        </w:rPr>
        <w:t>【指标提升目标】</w:t>
      </w:r>
    </w:p>
    <w:p w14:paraId="0BA0FB9B">
      <w:pPr>
        <w:spacing w:before="0" w:after="0" w:line="360" w:lineRule="auto"/>
        <w:ind w:firstLine="420"/>
      </w:pPr>
      <w:r>
        <w:rPr>
          <w:rFonts w:ascii="Times New Roman" w:hAnsi="Times New Roman" w:eastAsia="宋体"/>
          <w:b w:val="0"/>
          <w:sz w:val="24"/>
        </w:rPr>
        <w:t>（5）配合项目单位完成年度配网微应用相关管理指标的提升目标，具体指标数值以项目单位当年度工作方案为准，服务团队提供全程技术支撑。</w:t>
      </w:r>
    </w:p>
    <w:p w14:paraId="6ED4E3EE">
      <w:pPr>
        <w:spacing w:before="0" w:after="0" w:line="360" w:lineRule="auto"/>
        <w:ind w:firstLine="420"/>
      </w:pPr>
      <w:r>
        <w:rPr>
          <w:rFonts w:ascii="Times New Roman" w:hAnsi="Times New Roman" w:eastAsia="宋体"/>
          <w:b w:val="0"/>
          <w:sz w:val="24"/>
        </w:rPr>
        <w:t>【预警响应目标】</w:t>
      </w:r>
    </w:p>
    <w:p w14:paraId="1AB64D18">
      <w:pPr>
        <w:spacing w:before="0" w:after="0" w:line="360" w:lineRule="auto"/>
        <w:ind w:firstLine="420"/>
      </w:pPr>
      <w:r>
        <w:rPr>
          <w:rFonts w:ascii="Times New Roman" w:hAnsi="Times New Roman" w:eastAsia="宋体"/>
          <w:b w:val="0"/>
          <w:sz w:val="24"/>
        </w:rPr>
        <w:t>（6）设备状态异常监测预警：建立有效的监测预警机制，确保发现的异常信息在1个工作日内推送至相关责任人。</w:t>
      </w:r>
    </w:p>
    <w:p w14:paraId="441ACFEE">
      <w:pPr>
        <w:spacing w:before="0" w:after="0" w:line="360" w:lineRule="auto"/>
        <w:ind w:firstLine="420"/>
      </w:pPr>
      <w:r>
        <w:rPr>
          <w:rFonts w:ascii="Times New Roman" w:hAnsi="Times New Roman" w:eastAsia="宋体"/>
          <w:b w:val="0"/>
          <w:sz w:val="24"/>
        </w:rPr>
        <w:t>（7）工单超时预警：建立工单超时预警机制，对到期前1-3天的工单发出提前预警，全年工单按时完成率较基准值提升。</w:t>
      </w:r>
    </w:p>
    <w:p w14:paraId="69EE6E74">
      <w:pPr>
        <w:spacing w:before="0" w:after="0" w:line="360" w:lineRule="auto"/>
        <w:ind w:firstLine="420"/>
      </w:pPr>
      <w:r>
        <w:rPr>
          <w:rFonts w:ascii="Times New Roman" w:hAnsi="Times New Roman" w:eastAsia="宋体"/>
          <w:b w:val="0"/>
          <w:sz w:val="24"/>
        </w:rPr>
        <w:t>【服务响应与安全目标】</w:t>
      </w:r>
    </w:p>
    <w:p w14:paraId="26D0CF76">
      <w:pPr>
        <w:spacing w:before="0" w:after="0" w:line="360" w:lineRule="auto"/>
        <w:ind w:firstLine="420"/>
      </w:pPr>
      <w:r>
        <w:rPr>
          <w:rFonts w:ascii="Times New Roman" w:hAnsi="Times New Roman" w:eastAsia="宋体"/>
          <w:b w:val="0"/>
          <w:sz w:val="24"/>
        </w:rPr>
        <w:t>（8）服务人员24小时保持通讯畅通，对项目单位提出的问题当天响应，一般问题在3个工作日内提出解决方案。</w:t>
      </w:r>
    </w:p>
    <w:p w14:paraId="3FAE0282">
      <w:pPr>
        <w:spacing w:before="0" w:after="0" w:line="360" w:lineRule="auto"/>
        <w:ind w:firstLine="420"/>
      </w:pPr>
      <w:r>
        <w:rPr>
          <w:rFonts w:ascii="Times New Roman" w:hAnsi="Times New Roman" w:eastAsia="宋体"/>
          <w:b w:val="0"/>
          <w:sz w:val="24"/>
        </w:rPr>
        <w:t>（9）全年服务过程中，确保不发生八级及以上信息系统安全事件，不发生违规外联事件，不发生信息数据丢失、泄密事件。</w:t>
      </w:r>
    </w:p>
    <w:p w14:paraId="01806336">
      <w:pPr>
        <w:spacing w:before="0" w:after="0" w:line="360" w:lineRule="auto"/>
        <w:ind w:firstLine="420"/>
      </w:pPr>
      <w:r>
        <w:rPr>
          <w:rFonts w:ascii="Times New Roman" w:hAnsi="Times New Roman" w:eastAsia="宋体"/>
          <w:b w:val="0"/>
          <w:sz w:val="24"/>
        </w:rPr>
        <w:t>【汇报与沟通目标】</w:t>
      </w:r>
    </w:p>
    <w:p w14:paraId="1722B5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rFonts w:ascii="Times New Roman" w:hAnsi="Times New Roman" w:eastAsia="宋体"/>
          <w:b w:val="0"/>
          <w:sz w:val="24"/>
        </w:rPr>
        <w:t>（10）按月提交月度工作总结报告，每月向项目单位开展阶段性成果汇报；年度结束前提交完整的年度工作总结报告，总结服务成效并提出下一步工作建议</w:t>
      </w:r>
      <w:r>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t>。</w:t>
      </w:r>
    </w:p>
    <w:p w14:paraId="1A7AF73C">
      <w:pPr>
        <w:numPr>
          <w:ilvl w:val="1"/>
          <w:numId w:val="3"/>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cs="宋体"/>
          <w:b/>
          <w:color w:val="000000" w:themeColor="text1"/>
          <w:sz w:val="24"/>
          <w:szCs w:val="28"/>
          <w:highlight w:val="none"/>
          <w:lang w:val="en-US" w:eastAsia="zh-CN"/>
          <w14:textFill>
            <w14:solidFill>
              <w14:schemeClr w14:val="tx1"/>
            </w14:solidFill>
          </w14:textFill>
        </w:rPr>
        <w:t>项目服务</w:t>
      </w:r>
      <w:r>
        <w:rPr>
          <w:rFonts w:hint="eastAsia" w:ascii="宋体" w:hAnsi="宋体" w:eastAsia="宋体" w:cs="宋体"/>
          <w:b/>
          <w:color w:val="000000" w:themeColor="text1"/>
          <w:sz w:val="24"/>
          <w:szCs w:val="28"/>
          <w:highlight w:val="none"/>
          <w:lang w:val="en-US" w:eastAsia="zh-CN"/>
          <w14:textFill>
            <w14:solidFill>
              <w14:schemeClr w14:val="tx1"/>
            </w14:solidFill>
          </w14:textFill>
        </w:rPr>
        <w:t>内容</w:t>
      </w:r>
      <w:bookmarkEnd w:id="6"/>
    </w:p>
    <w:p w14:paraId="3D729BEB">
      <w:pPr>
        <w:spacing w:before="0" w:after="0" w:line="360" w:lineRule="auto"/>
        <w:ind w:firstLine="420"/>
      </w:pPr>
      <w:r>
        <w:rPr>
          <w:rFonts w:ascii="Times New Roman" w:hAnsi="Times New Roman" w:eastAsia="宋体"/>
          <w:b w:val="0"/>
          <w:sz w:val="24"/>
        </w:rPr>
        <w:t>本项目服务内容涵盖配网微应用系统深化应用的全方位技术服务，具体如下：</w:t>
      </w:r>
    </w:p>
    <w:p w14:paraId="6468246F">
      <w:pPr>
        <w:spacing w:before="0" w:after="0" w:line="360" w:lineRule="auto"/>
        <w:ind w:firstLine="420"/>
      </w:pPr>
      <w:r>
        <w:rPr>
          <w:rFonts w:ascii="Times New Roman" w:hAnsi="Times New Roman" w:eastAsia="宋体"/>
          <w:b w:val="0"/>
          <w:sz w:val="24"/>
        </w:rPr>
        <w:t>【一、配网微应用业务流程管控服务】</w:t>
      </w:r>
    </w:p>
    <w:p w14:paraId="206748EB">
      <w:pPr>
        <w:spacing w:before="0" w:after="0" w:line="360" w:lineRule="auto"/>
        <w:ind w:firstLine="420"/>
      </w:pPr>
      <w:r>
        <w:rPr>
          <w:rFonts w:ascii="Times New Roman" w:hAnsi="Times New Roman" w:eastAsia="宋体"/>
          <w:b w:val="0"/>
          <w:sz w:val="24"/>
        </w:rPr>
        <w:t>（一）现状调研与问题诊断：深入各业务部门，全面梳理配网微应用系统当前各类业务流程的实际执行情况，识别流程不规范节点、数据录入问题清单，形成《配网微应用业务流程现状诊断报告》。</w:t>
      </w:r>
    </w:p>
    <w:p w14:paraId="6ACC7729">
      <w:pPr>
        <w:spacing w:before="0" w:after="0" w:line="360" w:lineRule="auto"/>
        <w:ind w:firstLine="420"/>
      </w:pPr>
      <w:r>
        <w:rPr>
          <w:rFonts w:ascii="Times New Roman" w:hAnsi="Times New Roman" w:eastAsia="宋体"/>
          <w:b w:val="0"/>
          <w:sz w:val="24"/>
        </w:rPr>
        <w:t>（二）规范化操作指引编制：针对倒闸操作管理等核心业务流程，编制《配网微应用系统标准化操作规范》及各岗位操作指引手册，明确各业务环节的操作步骤、数据录入要求和注意事项。</w:t>
      </w:r>
    </w:p>
    <w:p w14:paraId="021072FE">
      <w:pPr>
        <w:spacing w:before="0" w:after="0" w:line="360" w:lineRule="auto"/>
        <w:ind w:firstLine="420"/>
      </w:pPr>
      <w:r>
        <w:rPr>
          <w:rFonts w:ascii="Times New Roman" w:hAnsi="Times New Roman" w:eastAsia="宋体"/>
          <w:b w:val="0"/>
          <w:sz w:val="24"/>
        </w:rPr>
        <w:t>（三）规范化推广落实：采取试点先行、分批推广的方式，组织各业务部门学习和贯彻操作规范，开展现场辅导，及时解答操作疑问，持续跟踪规范执行情况，定期形成落实进度报告。</w:t>
      </w:r>
    </w:p>
    <w:p w14:paraId="41766E12">
      <w:pPr>
        <w:spacing w:before="0" w:after="0" w:line="360" w:lineRule="auto"/>
        <w:ind w:firstLine="420"/>
      </w:pPr>
      <w:r>
        <w:rPr>
          <w:rFonts w:ascii="Times New Roman" w:hAnsi="Times New Roman" w:eastAsia="宋体"/>
          <w:b w:val="0"/>
          <w:sz w:val="24"/>
        </w:rPr>
        <w:t>（四）流程持续优化：根据实际应用中发现的问题和系统版本升级情况，持续优化和完善操作规范文件，确保规范的时效性和适用性。</w:t>
      </w:r>
    </w:p>
    <w:p w14:paraId="31A6BA3A">
      <w:pPr>
        <w:spacing w:before="0" w:after="0" w:line="360" w:lineRule="auto"/>
        <w:ind w:firstLine="420"/>
      </w:pPr>
      <w:r>
        <w:rPr>
          <w:rFonts w:ascii="Times New Roman" w:hAnsi="Times New Roman" w:eastAsia="宋体"/>
          <w:b w:val="0"/>
          <w:sz w:val="24"/>
        </w:rPr>
        <w:t>【二、配网微应用移动功能支撑服务】</w:t>
      </w:r>
    </w:p>
    <w:p w14:paraId="63BA0DAD">
      <w:pPr>
        <w:spacing w:before="0" w:after="0" w:line="360" w:lineRule="auto"/>
        <w:ind w:firstLine="420"/>
      </w:pPr>
      <w:r>
        <w:rPr>
          <w:rFonts w:ascii="Times New Roman" w:hAnsi="Times New Roman" w:eastAsia="宋体"/>
          <w:b w:val="0"/>
          <w:sz w:val="24"/>
        </w:rPr>
        <w:t>（一）移动功能现状评估：调研各专业移动端功能使用情况，识别使用率低、操作不规范的功能模块和用户群体，制定针对性推广计划。</w:t>
      </w:r>
    </w:p>
    <w:p w14:paraId="3D86D26C">
      <w:pPr>
        <w:spacing w:before="0" w:after="0" w:line="360" w:lineRule="auto"/>
        <w:ind w:firstLine="420"/>
      </w:pPr>
      <w:r>
        <w:rPr>
          <w:rFonts w:ascii="Times New Roman" w:hAnsi="Times New Roman" w:eastAsia="宋体"/>
          <w:b w:val="0"/>
          <w:sz w:val="24"/>
        </w:rPr>
        <w:t>（二）日常技术支撑：为配网运检、抢修等一线作业人员提供日常移动功能使用技术支撑，解答操作问题，指导规范使用现场作业票、缺陷上报、工单处理等核心移动功能。</w:t>
      </w:r>
    </w:p>
    <w:p w14:paraId="13BA9FBC">
      <w:pPr>
        <w:spacing w:before="0" w:after="0" w:line="360" w:lineRule="auto"/>
        <w:ind w:firstLine="420"/>
      </w:pPr>
      <w:r>
        <w:rPr>
          <w:rFonts w:ascii="Times New Roman" w:hAnsi="Times New Roman" w:eastAsia="宋体"/>
          <w:b w:val="0"/>
          <w:sz w:val="24"/>
        </w:rPr>
        <w:t>（三）使用率追踪：定期统计分析各班组、各专业的移动功能使用数据，对使用率低的情况及时开展针对性指导，并将使用率变化纳入月度报告。</w:t>
      </w:r>
    </w:p>
    <w:p w14:paraId="67B347BC">
      <w:pPr>
        <w:spacing w:before="0" w:after="0" w:line="360" w:lineRule="auto"/>
        <w:ind w:firstLine="420"/>
      </w:pPr>
      <w:r>
        <w:rPr>
          <w:rFonts w:ascii="Times New Roman" w:hAnsi="Times New Roman" w:eastAsia="宋体"/>
          <w:b w:val="0"/>
          <w:sz w:val="24"/>
        </w:rPr>
        <w:t>【三、基于配网微应用开展停电复核服务】</w:t>
      </w:r>
    </w:p>
    <w:p w14:paraId="26367972">
      <w:pPr>
        <w:spacing w:before="0" w:after="0" w:line="360" w:lineRule="auto"/>
        <w:ind w:firstLine="420"/>
      </w:pPr>
      <w:r>
        <w:rPr>
          <w:rFonts w:ascii="Times New Roman" w:hAnsi="Times New Roman" w:eastAsia="宋体"/>
          <w:b w:val="0"/>
          <w:sz w:val="24"/>
        </w:rPr>
        <w:t>（一）复核规程制定：结合项目单位实际，制定停电数据复核工作规程，明确复核范围、复核方法、偏差判定标准和整改处理流程。</w:t>
      </w:r>
    </w:p>
    <w:p w14:paraId="02529A65">
      <w:pPr>
        <w:spacing w:before="0" w:after="0" w:line="360" w:lineRule="auto"/>
        <w:ind w:firstLine="420"/>
      </w:pPr>
      <w:r>
        <w:rPr>
          <w:rFonts w:ascii="Times New Roman" w:hAnsi="Times New Roman" w:eastAsia="宋体"/>
          <w:b w:val="0"/>
          <w:sz w:val="24"/>
        </w:rPr>
        <w:t>（二）系统性停电复核：按照复核规程，对配网微应用系统中的停电记录数据（停电时长、停电范围、停电原因等）进行系统性核查，比对计划与执行数据，识别数据偏差。</w:t>
      </w:r>
    </w:p>
    <w:p w14:paraId="20086E7E">
      <w:pPr>
        <w:spacing w:before="0" w:after="0" w:line="360" w:lineRule="auto"/>
        <w:ind w:firstLine="420"/>
      </w:pPr>
      <w:r>
        <w:rPr>
          <w:rFonts w:ascii="Times New Roman" w:hAnsi="Times New Roman" w:eastAsia="宋体"/>
          <w:b w:val="0"/>
          <w:sz w:val="24"/>
        </w:rPr>
        <w:t>（三）偏差协商与整改：对发现的数据偏差，及时与相关业务部门协商确认，推动数据更正和流程改进，确保供电可靠性指标统计的准确性，并记录整改情况。</w:t>
      </w:r>
    </w:p>
    <w:p w14:paraId="0EB2CDB3">
      <w:pPr>
        <w:spacing w:before="0" w:after="0" w:line="360" w:lineRule="auto"/>
        <w:ind w:firstLine="420"/>
      </w:pPr>
      <w:r>
        <w:rPr>
          <w:rFonts w:ascii="Times New Roman" w:hAnsi="Times New Roman" w:eastAsia="宋体"/>
          <w:b w:val="0"/>
          <w:sz w:val="24"/>
        </w:rPr>
        <w:t>【四、配网微应用指标提升服务】</w:t>
      </w:r>
    </w:p>
    <w:p w14:paraId="26F4D667">
      <w:pPr>
        <w:spacing w:before="0" w:after="0" w:line="360" w:lineRule="auto"/>
        <w:ind w:firstLine="420"/>
      </w:pPr>
      <w:r>
        <w:rPr>
          <w:rFonts w:ascii="Times New Roman" w:hAnsi="Times New Roman" w:eastAsia="宋体"/>
          <w:b w:val="0"/>
          <w:sz w:val="24"/>
        </w:rPr>
        <w:t>（一）指标基线建立：对配网微应用相关管理指标进行全面梳理，建立各项指标的年初基线数据。</w:t>
      </w:r>
    </w:p>
    <w:p w14:paraId="6E558663">
      <w:pPr>
        <w:spacing w:before="0" w:after="0" w:line="360" w:lineRule="auto"/>
        <w:ind w:firstLine="420"/>
      </w:pPr>
      <w:r>
        <w:rPr>
          <w:rFonts w:ascii="Times New Roman" w:hAnsi="Times New Roman" w:eastAsia="宋体"/>
          <w:b w:val="0"/>
          <w:sz w:val="24"/>
        </w:rPr>
        <w:t>（二）专项分析诊断：结合项目单位年度指标考核要求，定期开展指标分析，识别指标偏差原因，制定针对性提升措施。</w:t>
      </w:r>
    </w:p>
    <w:p w14:paraId="755C84F2">
      <w:pPr>
        <w:spacing w:before="0" w:after="0" w:line="360" w:lineRule="auto"/>
        <w:ind w:firstLine="420"/>
      </w:pPr>
      <w:r>
        <w:rPr>
          <w:rFonts w:ascii="Times New Roman" w:hAnsi="Times New Roman" w:eastAsia="宋体"/>
          <w:b w:val="0"/>
          <w:sz w:val="24"/>
        </w:rPr>
        <w:t>（三）跟踪落实：跟踪各项提升措施的落实进展，在月度报告中反映指标变化情况，对进展滞后的指标及时预警并协助分析原因。</w:t>
      </w:r>
    </w:p>
    <w:p w14:paraId="518DE752">
      <w:pPr>
        <w:spacing w:before="0" w:after="0" w:line="360" w:lineRule="auto"/>
        <w:ind w:firstLine="420"/>
      </w:pPr>
      <w:r>
        <w:rPr>
          <w:rFonts w:ascii="Times New Roman" w:hAnsi="Times New Roman" w:eastAsia="宋体"/>
          <w:b w:val="0"/>
          <w:sz w:val="24"/>
        </w:rPr>
        <w:t>【五、配网微应用设备状态异常监测服务】</w:t>
      </w:r>
    </w:p>
    <w:p w14:paraId="44416439">
      <w:pPr>
        <w:spacing w:before="0" w:after="0" w:line="360" w:lineRule="auto"/>
        <w:ind w:firstLine="420"/>
      </w:pPr>
      <w:r>
        <w:rPr>
          <w:rFonts w:ascii="Times New Roman" w:hAnsi="Times New Roman" w:eastAsia="宋体"/>
          <w:b w:val="0"/>
          <w:sz w:val="24"/>
        </w:rPr>
        <w:t>（一）监测规则建立：与运检专业人员协同，根据阿勒泰地区配网设备特点，制定合理的设备状态异常判定规则和阈值。</w:t>
      </w:r>
    </w:p>
    <w:p w14:paraId="70E2685A">
      <w:pPr>
        <w:spacing w:before="0" w:after="0" w:line="360" w:lineRule="auto"/>
        <w:ind w:firstLine="420"/>
      </w:pPr>
      <w:r>
        <w:rPr>
          <w:rFonts w:ascii="Times New Roman" w:hAnsi="Times New Roman" w:eastAsia="宋体"/>
          <w:b w:val="0"/>
          <w:sz w:val="24"/>
        </w:rPr>
        <w:t>（二）常态化监测：基于配网微应用系统数据，开展设备状态数据的常态化监测分析，定期（每周/每月）形成设备状态分析报告。</w:t>
      </w:r>
    </w:p>
    <w:p w14:paraId="71943815">
      <w:pPr>
        <w:spacing w:before="0" w:after="0" w:line="360" w:lineRule="auto"/>
        <w:ind w:firstLine="420"/>
      </w:pPr>
      <w:r>
        <w:rPr>
          <w:rFonts w:ascii="Times New Roman" w:hAnsi="Times New Roman" w:eastAsia="宋体"/>
          <w:b w:val="0"/>
          <w:sz w:val="24"/>
        </w:rPr>
        <w:t>（三）异常预警推送：对发现的设备状态异常，及时推送预警信息至相关运检责任人，并跟踪隐患处置情况。</w:t>
      </w:r>
    </w:p>
    <w:p w14:paraId="78BDAC51">
      <w:pPr>
        <w:spacing w:before="0" w:after="0" w:line="360" w:lineRule="auto"/>
        <w:ind w:firstLine="420"/>
      </w:pPr>
      <w:r>
        <w:rPr>
          <w:rFonts w:ascii="Times New Roman" w:hAnsi="Times New Roman" w:eastAsia="宋体"/>
          <w:b w:val="0"/>
          <w:sz w:val="24"/>
        </w:rPr>
        <w:t>（四）规则动态优化：根据监测实际效果，持续优化调整监测规则，减少误报、漏报，提升预警的准确性和实用性。</w:t>
      </w:r>
    </w:p>
    <w:p w14:paraId="376DA487">
      <w:pPr>
        <w:spacing w:before="0" w:after="0" w:line="360" w:lineRule="auto"/>
        <w:ind w:firstLine="420"/>
      </w:pPr>
      <w:r>
        <w:rPr>
          <w:rFonts w:ascii="Times New Roman" w:hAnsi="Times New Roman" w:eastAsia="宋体"/>
          <w:b w:val="0"/>
          <w:sz w:val="24"/>
        </w:rPr>
        <w:t>【六、配网微应用工单预警服务】</w:t>
      </w:r>
    </w:p>
    <w:p w14:paraId="7841BD12">
      <w:pPr>
        <w:spacing w:before="0" w:after="0" w:line="360" w:lineRule="auto"/>
        <w:ind w:firstLine="420"/>
      </w:pPr>
      <w:r>
        <w:rPr>
          <w:rFonts w:ascii="Times New Roman" w:hAnsi="Times New Roman" w:eastAsia="宋体"/>
          <w:b w:val="0"/>
          <w:sz w:val="24"/>
        </w:rPr>
        <w:t>（一）预警机制建立：针对各类业务工单（缺陷工单、抢修工单、计划检修工单等），建立工单超时预警机制，明确预警触发条件（如到期前3天、1天）和预警通知方式。</w:t>
      </w:r>
    </w:p>
    <w:p w14:paraId="66B4B3B6">
      <w:pPr>
        <w:spacing w:before="0" w:after="0" w:line="360" w:lineRule="auto"/>
        <w:ind w:firstLine="420"/>
      </w:pPr>
      <w:r>
        <w:rPr>
          <w:rFonts w:ascii="Times New Roman" w:hAnsi="Times New Roman" w:eastAsia="宋体"/>
          <w:b w:val="0"/>
          <w:sz w:val="24"/>
        </w:rPr>
        <w:t>（二）工单状态实时监控：持续监控系统内工单流转状态，对临期工单、超时工单及时发出预警提醒，督促责任人处置。</w:t>
      </w:r>
    </w:p>
    <w:p w14:paraId="2DD5ADE0">
      <w:pPr>
        <w:spacing w:before="0" w:after="0" w:line="360" w:lineRule="auto"/>
        <w:ind w:firstLine="420"/>
      </w:pPr>
      <w:r>
        <w:rPr>
          <w:rFonts w:ascii="Times New Roman" w:hAnsi="Times New Roman" w:eastAsia="宋体"/>
          <w:b w:val="0"/>
          <w:sz w:val="24"/>
        </w:rPr>
        <w:t>（三）工单闭环情况分析：定期统计分析工单按时完成率、超时原因分布等数据，在月度报告中反映，并提出改善建议。</w:t>
      </w:r>
    </w:p>
    <w:p w14:paraId="1E1E67E9">
      <w:pPr>
        <w:spacing w:before="0" w:after="0" w:line="360" w:lineRule="auto"/>
        <w:ind w:firstLine="420"/>
      </w:pPr>
      <w:r>
        <w:rPr>
          <w:rFonts w:ascii="Times New Roman" w:hAnsi="Times New Roman" w:eastAsia="宋体"/>
          <w:b w:val="0"/>
          <w:sz w:val="24"/>
        </w:rPr>
        <w:t>【七、配网微应用系统培训服务】</w:t>
      </w:r>
    </w:p>
    <w:p w14:paraId="39D473A7">
      <w:pPr>
        <w:spacing w:before="0" w:after="0" w:line="360" w:lineRule="auto"/>
        <w:ind w:firstLine="420"/>
      </w:pPr>
      <w:r>
        <w:rPr>
          <w:rFonts w:ascii="Times New Roman" w:hAnsi="Times New Roman" w:eastAsia="宋体"/>
          <w:b w:val="0"/>
          <w:sz w:val="24"/>
        </w:rPr>
        <w:t>（一）培训需求分析：针对配电运检、调度、营销等各专业岗位，分析培训需求，制定年度培训计划。</w:t>
      </w:r>
    </w:p>
    <w:p w14:paraId="2992207B">
      <w:pPr>
        <w:spacing w:before="0" w:after="0" w:line="360" w:lineRule="auto"/>
        <w:ind w:firstLine="420"/>
      </w:pPr>
      <w:r>
        <w:rPr>
          <w:rFonts w:ascii="Times New Roman" w:hAnsi="Times New Roman" w:eastAsia="宋体"/>
          <w:b w:val="0"/>
          <w:sz w:val="24"/>
        </w:rPr>
        <w:t>（二）分层次培训实施：面向管理人员开展数据分析和指标管理培训；面向操作人员开展系统功能规范操作培训（含移动端功能）；培训形式包括集中授课、现场实操指导、操作演示等多种方式。</w:t>
      </w:r>
    </w:p>
    <w:p w14:paraId="1C9742A3">
      <w:pPr>
        <w:spacing w:before="0" w:after="0" w:line="360" w:lineRule="auto"/>
        <w:ind w:firstLine="420"/>
      </w:pPr>
      <w:r>
        <w:rPr>
          <w:rFonts w:ascii="Times New Roman" w:hAnsi="Times New Roman" w:eastAsia="宋体"/>
          <w:b w:val="0"/>
          <w:sz w:val="24"/>
        </w:rPr>
        <w:t>（三）培训资料提供：编制并提供培训课件、操作手册、常见问题解答等培训资料，方便学员课后查阅复习。</w:t>
      </w:r>
    </w:p>
    <w:p w14:paraId="144482ED">
      <w:pPr>
        <w:spacing w:before="0" w:after="0" w:line="360" w:lineRule="auto"/>
        <w:ind w:firstLine="420"/>
      </w:pPr>
      <w:r>
        <w:rPr>
          <w:rFonts w:ascii="Times New Roman" w:hAnsi="Times New Roman" w:eastAsia="宋体"/>
          <w:b w:val="0"/>
          <w:sz w:val="24"/>
        </w:rPr>
        <w:t>（四）培训效果跟踪：培训后通过操作测评和使用数据变化追踪培训效果，对效果不理想的环节开展补充指导。</w:t>
      </w:r>
    </w:p>
    <w:p w14:paraId="66CBD63E">
      <w:pPr>
        <w:spacing w:before="0" w:after="0" w:line="360" w:lineRule="auto"/>
        <w:ind w:firstLine="420"/>
      </w:pPr>
      <w:r>
        <w:rPr>
          <w:rFonts w:ascii="Times New Roman" w:hAnsi="Times New Roman" w:eastAsia="宋体"/>
          <w:b w:val="0"/>
          <w:sz w:val="24"/>
        </w:rPr>
        <w:t>【八、月度汇报与文档管理服务】</w:t>
      </w:r>
    </w:p>
    <w:p w14:paraId="0B20FF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ascii="Times New Roman" w:hAnsi="Times New Roman" w:eastAsia="宋体"/>
          <w:b w:val="0"/>
          <w:sz w:val="24"/>
        </w:rPr>
        <w:t>按月提交《月度工作总结》，内容涵盖当月各项服务工作开展情况、指标变化、问题处理情况和下月工作计划；每季度开展阶段性成果汇报；年度结束提交《年度工作总结报告》；根据需要不定期召开技术联络会，及时协商解决重大技术和业务问题；建立并维护完整的项目工作文档（会议记录、工作记录、问题处理记录等）</w:t>
      </w:r>
      <w:r>
        <w:rPr>
          <w:rFonts w:hint="eastAsia" w:ascii="宋体" w:hAnsi="宋体" w:cs="宋体"/>
          <w:b w:val="0"/>
          <w:bCs/>
          <w:color w:val="000000" w:themeColor="text1"/>
          <w:sz w:val="24"/>
          <w:szCs w:val="28"/>
          <w:highlight w:val="none"/>
          <w:lang w:val="en-US" w:eastAsia="zh-CN"/>
          <w14:textFill>
            <w14:solidFill>
              <w14:schemeClr w14:val="tx1"/>
            </w14:solidFill>
          </w14:textFill>
        </w:rPr>
        <w:t>。</w:t>
      </w:r>
    </w:p>
    <w:p w14:paraId="251B76F1">
      <w:pPr>
        <w:numPr>
          <w:ilvl w:val="1"/>
          <w:numId w:val="3"/>
        </w:numPr>
        <w:adjustRightInd w:val="0"/>
        <w:snapToGrid w:val="0"/>
        <w:spacing w:line="360" w:lineRule="auto"/>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bookmarkStart w:id="7" w:name="_Toc7184"/>
      <w:r>
        <w:rPr>
          <w:rFonts w:hint="eastAsia" w:ascii="宋体" w:hAnsi="宋体" w:eastAsia="宋体" w:cs="宋体"/>
          <w:b/>
          <w:color w:val="000000" w:themeColor="text1"/>
          <w:sz w:val="24"/>
          <w:szCs w:val="28"/>
          <w:highlight w:val="none"/>
          <w:lang w:val="en-US" w:eastAsia="zh-CN"/>
          <w14:textFill>
            <w14:solidFill>
              <w14:schemeClr w14:val="tx1"/>
            </w14:solidFill>
          </w14:textFill>
        </w:rPr>
        <w:t>工作计划</w:t>
      </w:r>
      <w:bookmarkEnd w:id="7"/>
      <w:r>
        <w:rPr>
          <w:rFonts w:hint="eastAsia" w:ascii="宋体" w:hAnsi="宋体" w:cs="宋体"/>
          <w:b/>
          <w:color w:val="000000" w:themeColor="text1"/>
          <w:sz w:val="24"/>
          <w:szCs w:val="28"/>
          <w:highlight w:val="none"/>
          <w:lang w:val="en-US" w:eastAsia="zh-CN"/>
          <w14:textFill>
            <w14:solidFill>
              <w14:schemeClr w14:val="tx1"/>
            </w14:solidFill>
          </w14:textFill>
        </w:rPr>
        <w:t>安排</w:t>
      </w:r>
    </w:p>
    <w:p w14:paraId="5D2206E4">
      <w:pPr>
        <w:spacing w:before="0" w:after="0" w:line="360" w:lineRule="auto"/>
        <w:ind w:firstLine="420"/>
      </w:pPr>
      <w:r>
        <w:rPr>
          <w:rFonts w:ascii="Times New Roman" w:hAnsi="Times New Roman" w:eastAsia="宋体"/>
          <w:b w:val="0"/>
          <w:sz w:val="24"/>
        </w:rPr>
        <w:t>根据本项目的服务内容和年度服务周期，制定如下工作计划安排（以合同签订生效日为起始）：</w:t>
      </w:r>
    </w:p>
    <w:p w14:paraId="578680BB">
      <w:pPr>
        <w:spacing w:before="0" w:after="0" w:line="360" w:lineRule="auto"/>
        <w:ind w:firstLine="420"/>
      </w:pPr>
      <w:r>
        <w:rPr>
          <w:rFonts w:ascii="Times New Roman" w:hAnsi="Times New Roman" w:eastAsia="宋体"/>
          <w:b w:val="0"/>
          <w:sz w:val="24"/>
        </w:rPr>
        <w:t>【第一阶段：项目启动与调研（合同签订后第1-4周）】</w:t>
      </w:r>
    </w:p>
    <w:p w14:paraId="5B37505B">
      <w:pPr>
        <w:spacing w:before="0" w:after="0" w:line="360" w:lineRule="auto"/>
        <w:ind w:firstLine="420"/>
      </w:pPr>
      <w:r>
        <w:rPr>
          <w:rFonts w:ascii="Times New Roman" w:hAnsi="Times New Roman" w:eastAsia="宋体"/>
          <w:b w:val="0"/>
          <w:sz w:val="24"/>
        </w:rPr>
        <w:t>第1周：召开项目启动会，完成项目团队组建，明确项目负责人，签署保密协议及安全协议；建立项目沟通协调机制（月度汇报制度、技术联络会制度等）；技术服务人员进驻现场，熟悉工作环境和管理制度。</w:t>
      </w:r>
    </w:p>
    <w:p w14:paraId="6729D004">
      <w:pPr>
        <w:spacing w:before="0" w:after="0" w:line="360" w:lineRule="auto"/>
        <w:ind w:firstLine="420"/>
      </w:pPr>
      <w:r>
        <w:rPr>
          <w:rFonts w:ascii="Times New Roman" w:hAnsi="Times New Roman" w:eastAsia="宋体"/>
          <w:b w:val="0"/>
          <w:sz w:val="24"/>
        </w:rPr>
        <w:t>第2-3周：开展配网微应用系统现状调研，深入配电运检、调度、营销等各业务部门，了解系统使用现状、业务流程、数据质量问题和培训需求，收集各类指标基线数据。</w:t>
      </w:r>
    </w:p>
    <w:p w14:paraId="0130C658">
      <w:pPr>
        <w:spacing w:before="0" w:after="0" w:line="360" w:lineRule="auto"/>
        <w:ind w:firstLine="420"/>
      </w:pPr>
      <w:r>
        <w:rPr>
          <w:rFonts w:ascii="Times New Roman" w:hAnsi="Times New Roman" w:eastAsia="宋体"/>
          <w:b w:val="0"/>
          <w:sz w:val="24"/>
        </w:rPr>
        <w:t>第4周：完成《配网微应用现状诊断分析报告》，制定年度技术服务实施方案（含各项服务工作的月度计划安排），提交项目单位审核批准，作为全年服务执行基准。</w:t>
      </w:r>
    </w:p>
    <w:p w14:paraId="4D38C224">
      <w:pPr>
        <w:spacing w:before="0" w:after="0" w:line="360" w:lineRule="auto"/>
        <w:ind w:firstLine="420"/>
      </w:pPr>
      <w:r>
        <w:rPr>
          <w:rFonts w:ascii="Times New Roman" w:hAnsi="Times New Roman" w:eastAsia="宋体"/>
          <w:b w:val="0"/>
          <w:sz w:val="24"/>
        </w:rPr>
        <w:t>【第二阶段：基础服务全面启动（第2-4月）】</w:t>
      </w:r>
    </w:p>
    <w:p w14:paraId="5FE4680C">
      <w:pPr>
        <w:spacing w:before="0" w:after="0" w:line="360" w:lineRule="auto"/>
        <w:ind w:firstLine="420"/>
      </w:pPr>
      <w:r>
        <w:rPr>
          <w:rFonts w:ascii="Times New Roman" w:hAnsi="Times New Roman" w:eastAsia="宋体"/>
          <w:b w:val="0"/>
          <w:sz w:val="24"/>
        </w:rPr>
        <w:t>第2月：完成倒闸操作管理等核心业务流程的规范化操作指引编制，并在试点班组开展首批推广；启动首批停电数据复核工作；完成设备状态异常监测规则制定并上线运行；建立工单预警机制；开展第一次系统培训（重点针对管理人员和核心业务操作人员）。完成第一份月度工作总结，开展首次月度汇报。</w:t>
      </w:r>
    </w:p>
    <w:p w14:paraId="33C9B16A">
      <w:pPr>
        <w:spacing w:before="0" w:after="0" w:line="360" w:lineRule="auto"/>
        <w:ind w:firstLine="420"/>
      </w:pPr>
      <w:r>
        <w:rPr>
          <w:rFonts w:ascii="Times New Roman" w:hAnsi="Times New Roman" w:eastAsia="宋体"/>
          <w:b w:val="0"/>
          <w:sz w:val="24"/>
        </w:rPr>
        <w:t>第3月：推进业务流程规范化的全面推广，收集并处理反馈问题；持续开展停电复核工作；跟踪设备状态监测和工单预警运行效果，进行初步优化；针对运检一线人员开展移动功能专项培训。提交第二份月度工作总结。</w:t>
      </w:r>
    </w:p>
    <w:p w14:paraId="394543A4">
      <w:pPr>
        <w:spacing w:before="0" w:after="0" w:line="360" w:lineRule="auto"/>
        <w:ind w:firstLine="420"/>
      </w:pPr>
      <w:r>
        <w:rPr>
          <w:rFonts w:ascii="Times New Roman" w:hAnsi="Times New Roman" w:eastAsia="宋体"/>
          <w:b w:val="0"/>
          <w:sz w:val="24"/>
        </w:rPr>
        <w:t>第4月：完成首轮业务流程规范化推广，形成初步成效评估；开展第三次培训，覆盖营销等剩余专业；开展第一次季度成果汇报，汇报前三个月服务情况及下一阶段工作重点，同时提交月度工作总结。</w:t>
      </w:r>
    </w:p>
    <w:p w14:paraId="218839CE">
      <w:pPr>
        <w:spacing w:before="0" w:after="0" w:line="360" w:lineRule="auto"/>
        <w:ind w:firstLine="420"/>
      </w:pPr>
      <w:r>
        <w:rPr>
          <w:rFonts w:ascii="Times New Roman" w:hAnsi="Times New Roman" w:eastAsia="宋体"/>
          <w:b w:val="0"/>
          <w:sz w:val="24"/>
        </w:rPr>
        <w:t>【第三阶段：深化应用与持续优化（第5-10月）】</w:t>
      </w:r>
    </w:p>
    <w:p w14:paraId="458142CA">
      <w:pPr>
        <w:spacing w:before="0" w:after="0" w:line="360" w:lineRule="auto"/>
        <w:ind w:firstLine="420"/>
      </w:pPr>
      <w:r>
        <w:rPr>
          <w:rFonts w:ascii="Times New Roman" w:hAnsi="Times New Roman" w:eastAsia="宋体"/>
          <w:b w:val="0"/>
          <w:sz w:val="24"/>
        </w:rPr>
        <w:t>第5-10月（每月工作内容）：</w:t>
      </w:r>
    </w:p>
    <w:p w14:paraId="52CFFD03">
      <w:pPr>
        <w:spacing w:before="0" w:after="0" w:line="360" w:lineRule="auto"/>
        <w:ind w:firstLine="420"/>
      </w:pPr>
      <w:r>
        <w:rPr>
          <w:rFonts w:ascii="Times New Roman" w:hAnsi="Times New Roman" w:eastAsia="宋体"/>
          <w:b w:val="0"/>
          <w:sz w:val="24"/>
        </w:rPr>
        <w:t>常态化开展业务流程管控、移动功能支撑、停电复核、设备状态监测、工单预警等各项服务；定期分析各项指标变化情况，跟踪指标提升措施落实情况；每季度（第7月、第10月）开展阶段性成果汇报；根据上级管理部门季度、半年度指标考核节点，提供专项数据分析支撑；按月提交月度工作总结；根据需要不定期召开技术联络会；持续优化监测规则、工单预警规则，提升服务精准度。</w:t>
      </w:r>
    </w:p>
    <w:p w14:paraId="53A2294A">
      <w:pPr>
        <w:spacing w:before="0" w:after="0" w:line="360" w:lineRule="auto"/>
        <w:ind w:firstLine="420"/>
      </w:pPr>
      <w:r>
        <w:rPr>
          <w:rFonts w:ascii="Times New Roman" w:hAnsi="Times New Roman" w:eastAsia="宋体"/>
          <w:b w:val="0"/>
          <w:sz w:val="24"/>
        </w:rPr>
        <w:t>第7月起：结合年中指标考核结果，开展年中工作专题分析，识别指标提升的瓶颈，制定下半年专项攻坚计划，经项目单位批准后推进落实。</w:t>
      </w:r>
    </w:p>
    <w:p w14:paraId="67F5AFB3">
      <w:pPr>
        <w:spacing w:before="0" w:after="0" w:line="360" w:lineRule="auto"/>
        <w:ind w:firstLine="420"/>
      </w:pPr>
      <w:r>
        <w:rPr>
          <w:rFonts w:ascii="Times New Roman" w:hAnsi="Times New Roman" w:eastAsia="宋体"/>
          <w:b w:val="0"/>
          <w:sz w:val="24"/>
        </w:rPr>
        <w:t>【第四阶段：年度总结与收尾（第11-12月）】</w:t>
      </w:r>
    </w:p>
    <w:p w14:paraId="21FEAEDA">
      <w:pPr>
        <w:spacing w:before="0" w:after="0" w:line="360" w:lineRule="auto"/>
        <w:ind w:firstLine="420"/>
      </w:pPr>
      <w:r>
        <w:rPr>
          <w:rFonts w:ascii="Times New Roman" w:hAnsi="Times New Roman" w:eastAsia="宋体"/>
          <w:b w:val="0"/>
          <w:sz w:val="24"/>
        </w:rPr>
        <w:t>第11月：继续推进各项日常服务工作；组织第四次年度系统培训；整理归档全年服务过程文档；提交第11份月度工作总结。</w:t>
      </w:r>
    </w:p>
    <w:p w14:paraId="420F9B03">
      <w:pPr>
        <w:spacing w:before="0" w:after="0" w:line="360" w:lineRule="auto"/>
        <w:ind w:firstLine="420"/>
      </w:pPr>
      <w:r>
        <w:rPr>
          <w:rFonts w:ascii="Times New Roman" w:hAnsi="Times New Roman" w:eastAsia="宋体"/>
          <w:b w:val="0"/>
          <w:sz w:val="24"/>
        </w:rPr>
        <w:t>第12月：完成全年各项技术服务工作；整理编制《年度工作总结报告》，全面评估各项服务目标达成情况，提出下一年度工作建议；配合项目单位完成技术服务质量考核评价；提交第12份月度工作总结及年度工作总结；召开年度项目总结会，双方确认服务成果，完成项目文档移交，项目正式收尾。</w:t>
      </w:r>
    </w:p>
    <w:p w14:paraId="6FA38FC3">
      <w:pPr>
        <w:spacing w:before="0" w:after="0" w:line="360" w:lineRule="auto"/>
        <w:ind w:firstLine="420"/>
      </w:pPr>
      <w:r>
        <w:rPr>
          <w:rFonts w:ascii="Times New Roman" w:hAnsi="Times New Roman" w:eastAsia="宋体"/>
          <w:b w:val="0"/>
          <w:sz w:val="24"/>
        </w:rPr>
        <w:t>【里程碑节点汇总】</w:t>
      </w:r>
    </w:p>
    <w:p w14:paraId="02DD0A3A">
      <w:pPr>
        <w:spacing w:before="0" w:after="0" w:line="360" w:lineRule="auto"/>
        <w:ind w:firstLine="420"/>
      </w:pPr>
      <w:r>
        <w:rPr>
          <w:rFonts w:ascii="Times New Roman" w:hAnsi="Times New Roman" w:eastAsia="宋体"/>
          <w:b w:val="0"/>
          <w:sz w:val="24"/>
        </w:rPr>
        <w:t>第1月末：现状诊断报告+年度实施方案提交确认</w:t>
      </w:r>
    </w:p>
    <w:p w14:paraId="139AFB7F">
      <w:pPr>
        <w:spacing w:before="0" w:after="0" w:line="360" w:lineRule="auto"/>
        <w:ind w:firstLine="420"/>
      </w:pPr>
      <w:r>
        <w:rPr>
          <w:rFonts w:ascii="Times New Roman" w:hAnsi="Times New Roman" w:eastAsia="宋体"/>
          <w:b w:val="0"/>
          <w:sz w:val="24"/>
        </w:rPr>
        <w:t>第2月末：核心业务流程规范化操作指引完成，首次培训完成</w:t>
      </w:r>
    </w:p>
    <w:p w14:paraId="59746CEF">
      <w:pPr>
        <w:spacing w:before="0" w:after="0" w:line="360" w:lineRule="auto"/>
        <w:ind w:firstLine="420"/>
      </w:pPr>
      <w:r>
        <w:rPr>
          <w:rFonts w:ascii="Times New Roman" w:hAnsi="Times New Roman" w:eastAsia="宋体"/>
          <w:b w:val="0"/>
          <w:sz w:val="24"/>
        </w:rPr>
        <w:t>第4月末：首轮规范化推广完成，第一次季度汇报</w:t>
      </w:r>
    </w:p>
    <w:p w14:paraId="23AAB887">
      <w:pPr>
        <w:spacing w:before="0" w:after="0" w:line="360" w:lineRule="auto"/>
        <w:ind w:firstLine="420"/>
      </w:pPr>
      <w:r>
        <w:rPr>
          <w:rFonts w:ascii="Times New Roman" w:hAnsi="Times New Roman" w:eastAsia="宋体"/>
          <w:b w:val="0"/>
          <w:sz w:val="24"/>
        </w:rPr>
        <w:t>第7月末：年中专题分析+第二次季度汇报</w:t>
      </w:r>
    </w:p>
    <w:p w14:paraId="46C3A135">
      <w:pPr>
        <w:spacing w:before="0" w:after="0" w:line="360" w:lineRule="auto"/>
        <w:ind w:firstLine="420"/>
      </w:pPr>
      <w:r>
        <w:rPr>
          <w:rFonts w:ascii="Times New Roman" w:hAnsi="Times New Roman" w:eastAsia="宋体"/>
          <w:b w:val="0"/>
          <w:sz w:val="24"/>
        </w:rPr>
        <w:t>第10月末：第三次季度汇报，年度收尾准备启动</w:t>
      </w:r>
    </w:p>
    <w:p w14:paraId="4AF165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rFonts w:ascii="Times New Roman" w:hAnsi="Times New Roman" w:eastAsia="宋体"/>
          <w:b w:val="0"/>
          <w:sz w:val="24"/>
        </w:rPr>
        <w:t>第12月末：年度工作总结提交，项目验收收尾完成</w:t>
      </w:r>
    </w:p>
    <w:p w14:paraId="6FE94F16">
      <w:pPr>
        <w:spacing w:line="360" w:lineRule="auto"/>
        <w:ind w:firstLine="480"/>
        <w:rPr>
          <w:rFonts w:hint="eastAsia" w:ascii="宋体" w:hAnsi="宋体" w:eastAsia="宋体" w:cs="宋体"/>
          <w:b/>
          <w:color w:val="000000" w:themeColor="text1"/>
          <w:sz w:val="24"/>
          <w:szCs w:val="24"/>
          <w:highlight w:val="none"/>
          <w:lang w:val="en-US" w:eastAsia="zh-CN"/>
          <w14:textFill>
            <w14:solidFill>
              <w14:schemeClr w14:val="tx1"/>
            </w14:solidFill>
          </w14:textFill>
        </w:rPr>
      </w:pPr>
      <w:bookmarkStart w:id="8" w:name="_GoBack"/>
      <w:bookmarkEnd w:id="8"/>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A7249">
    <w:pPr>
      <w:spacing w:line="179" w:lineRule="auto"/>
      <w:jc w:val="right"/>
      <w:rPr>
        <w:rFonts w:ascii="Cambria" w:hAnsi="Cambria" w:eastAsia="Cambria" w:cs="Cambria"/>
        <w:sz w:val="15"/>
        <w:szCs w:val="15"/>
      </w:rPr>
    </w:pPr>
    <w:r>
      <w:rPr>
        <w:rFonts w:ascii="Cambria" w:hAnsi="Cambria" w:eastAsia="Cambria" w:cs="Cambria"/>
        <w:color w:val="78716C"/>
        <w:spacing w:val="-9"/>
        <w:sz w:val="15"/>
        <w:szCs w:val="15"/>
      </w:rPr>
      <w:t>19</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742891"/>
    <w:multiLevelType w:val="singleLevel"/>
    <w:tmpl w:val="12742891"/>
    <w:lvl w:ilvl="0" w:tentative="0">
      <w:start w:val="1"/>
      <w:numFmt w:val="bullet"/>
      <w:pStyle w:val="13"/>
      <w:lvlText w:val=""/>
      <w:lvlJc w:val="left"/>
      <w:pPr>
        <w:tabs>
          <w:tab w:val="left" w:pos="360"/>
        </w:tabs>
        <w:ind w:left="360" w:hanging="360"/>
      </w:pPr>
      <w:rPr>
        <w:rFonts w:hint="default" w:ascii="Wingdings" w:hAnsi="Wingdings"/>
      </w:rPr>
    </w:lvl>
  </w:abstractNum>
  <w:abstractNum w:abstractNumId="1">
    <w:nsid w:val="1AF18828"/>
    <w:multiLevelType w:val="multilevel"/>
    <w:tmpl w:val="1AF18828"/>
    <w:lvl w:ilvl="0" w:tentative="0">
      <w:start w:val="2"/>
      <w:numFmt w:val="chineseCounting"/>
      <w:suff w:val="nothing"/>
      <w:lvlText w:val="第%1章 "/>
      <w:lvlJc w:val="left"/>
      <w:pPr>
        <w:tabs>
          <w:tab w:val="left" w:pos="420"/>
        </w:tabs>
        <w:ind w:left="432" w:hanging="432"/>
      </w:pPr>
      <w:rPr>
        <w:rFonts w:hint="eastAsia"/>
      </w:rPr>
    </w:lvl>
    <w:lvl w:ilvl="1" w:tentative="0">
      <w:start w:val="1"/>
      <w:numFmt w:val="decimal"/>
      <w:isLgl/>
      <w:lvlText w:val="%1.%2."/>
      <w:lvlJc w:val="left"/>
      <w:pPr>
        <w:ind w:left="575" w:hanging="575"/>
      </w:pPr>
      <w:rPr>
        <w:rFonts w:hint="eastAsia"/>
      </w:rPr>
    </w:lvl>
    <w:lvl w:ilvl="2" w:tentative="0">
      <w:start w:val="1"/>
      <w:numFmt w:val="decimal"/>
      <w:pStyle w:val="8"/>
      <w:isLgl/>
      <w:lvlText w:val="%1.%2.%3."/>
      <w:lvlJc w:val="left"/>
      <w:pPr>
        <w:ind w:left="720" w:hanging="720"/>
      </w:pPr>
      <w:rPr>
        <w:rFonts w:hint="eastAsia"/>
      </w:rPr>
    </w:lvl>
    <w:lvl w:ilvl="3" w:tentative="0">
      <w:start w:val="1"/>
      <w:numFmt w:val="decimal"/>
      <w:pStyle w:val="9"/>
      <w:isLgl/>
      <w:lvlText w:val="%1.%2.%3.%4."/>
      <w:lvlJc w:val="left"/>
      <w:pPr>
        <w:ind w:left="864" w:hanging="864"/>
      </w:pPr>
      <w:rPr>
        <w:rFonts w:hint="eastAsia"/>
      </w:rPr>
    </w:lvl>
    <w:lvl w:ilvl="4" w:tentative="0">
      <w:start w:val="1"/>
      <w:numFmt w:val="decimal"/>
      <w:pStyle w:val="10"/>
      <w:isLgl/>
      <w:lvlText w:val="%1.%2.%3.%4.%5."/>
      <w:lvlJc w:val="left"/>
      <w:pPr>
        <w:ind w:left="1008" w:hanging="1008"/>
      </w:pPr>
      <w:rPr>
        <w:rFonts w:hint="eastAsia"/>
      </w:rPr>
    </w:lvl>
    <w:lvl w:ilvl="5" w:tentative="0">
      <w:start w:val="1"/>
      <w:numFmt w:val="decimal"/>
      <w:pStyle w:val="11"/>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2">
    <w:nsid w:val="6FAE0467"/>
    <w:multiLevelType w:val="multilevel"/>
    <w:tmpl w:val="6FAE0467"/>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C37CE5"/>
    <w:rsid w:val="0DC022DF"/>
    <w:rsid w:val="109F5990"/>
    <w:rsid w:val="12C37CE5"/>
    <w:rsid w:val="14A746EE"/>
    <w:rsid w:val="26867BB6"/>
    <w:rsid w:val="406F22C2"/>
    <w:rsid w:val="4468252C"/>
    <w:rsid w:val="4B2250D0"/>
    <w:rsid w:val="4F374A03"/>
    <w:rsid w:val="5F0A527B"/>
    <w:rsid w:val="65C14135"/>
    <w:rsid w:val="6735670F"/>
    <w:rsid w:val="716316E4"/>
    <w:rsid w:val="735344A6"/>
    <w:rsid w:val="774C1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7">
    <w:name w:val="heading 2"/>
    <w:basedOn w:val="1"/>
    <w:next w:val="1"/>
    <w:unhideWhenUsed/>
    <w:qFormat/>
    <w:uiPriority w:val="0"/>
    <w:pPr>
      <w:keepNext/>
      <w:tabs>
        <w:tab w:val="left" w:pos="284"/>
        <w:tab w:val="left" w:pos="420"/>
        <w:tab w:val="left" w:pos="851"/>
      </w:tabs>
      <w:overflowPunct w:val="0"/>
      <w:adjustRightInd w:val="0"/>
      <w:outlineLvl w:val="1"/>
    </w:pPr>
    <w:rPr>
      <w:rFonts w:ascii="宋体" w:hAnsi="宋体" w:cs="宋体"/>
      <w:szCs w:val="20"/>
    </w:rPr>
  </w:style>
  <w:style w:type="paragraph" w:styleId="8">
    <w:name w:val="heading 3"/>
    <w:basedOn w:val="1"/>
    <w:next w:val="1"/>
    <w:unhideWhenUsed/>
    <w:qFormat/>
    <w:uiPriority w:val="0"/>
    <w:pPr>
      <w:numPr>
        <w:ilvl w:val="2"/>
        <w:numId w:val="1"/>
      </w:numPr>
      <w:tabs>
        <w:tab w:val="left" w:pos="420"/>
      </w:tabs>
      <w:ind w:hanging="720" w:firstLineChars="0"/>
      <w:outlineLvl w:val="2"/>
    </w:pPr>
    <w:rPr>
      <w:rFonts w:ascii="楷体" w:hAnsi="楷体"/>
      <w:szCs w:val="28"/>
    </w:rPr>
  </w:style>
  <w:style w:type="paragraph" w:styleId="9">
    <w:name w:val="heading 4"/>
    <w:basedOn w:val="1"/>
    <w:next w:val="1"/>
    <w:unhideWhenUsed/>
    <w:qFormat/>
    <w:uiPriority w:val="0"/>
    <w:pPr>
      <w:keepLines/>
      <w:numPr>
        <w:ilvl w:val="3"/>
        <w:numId w:val="1"/>
      </w:numPr>
      <w:tabs>
        <w:tab w:val="left" w:pos="420"/>
      </w:tabs>
      <w:ind w:hanging="864" w:firstLineChars="0"/>
      <w:outlineLvl w:val="3"/>
    </w:pPr>
    <w:rPr>
      <w:bCs/>
    </w:rPr>
  </w:style>
  <w:style w:type="paragraph" w:styleId="10">
    <w:name w:val="heading 5"/>
    <w:basedOn w:val="1"/>
    <w:next w:val="1"/>
    <w:unhideWhenUsed/>
    <w:qFormat/>
    <w:uiPriority w:val="0"/>
    <w:pPr>
      <w:numPr>
        <w:ilvl w:val="4"/>
        <w:numId w:val="1"/>
      </w:numPr>
      <w:tabs>
        <w:tab w:val="left" w:pos="420"/>
      </w:tabs>
      <w:ind w:hanging="1008" w:firstLineChars="0"/>
      <w:outlineLvl w:val="4"/>
    </w:pPr>
  </w:style>
  <w:style w:type="paragraph" w:styleId="11">
    <w:name w:val="heading 6"/>
    <w:basedOn w:val="1"/>
    <w:next w:val="1"/>
    <w:unhideWhenUsed/>
    <w:qFormat/>
    <w:uiPriority w:val="0"/>
    <w:pPr>
      <w:numPr>
        <w:ilvl w:val="5"/>
        <w:numId w:val="1"/>
      </w:numPr>
      <w:tabs>
        <w:tab w:val="left" w:pos="420"/>
      </w:tabs>
      <w:ind w:hanging="1151" w:firstLineChars="0"/>
      <w:jc w:val="left"/>
      <w:outlineLvl w:val="5"/>
    </w:pPr>
    <w:rPr>
      <w:rFonts w:ascii="Arial" w:hAnsi="Arial"/>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2">
    <w:name w:val="Body Text First Indent 2"/>
    <w:basedOn w:val="3"/>
    <w:next w:val="5"/>
    <w:qFormat/>
    <w:uiPriority w:val="0"/>
    <w:pPr>
      <w:ind w:left="0" w:leftChars="0" w:firstLine="420"/>
    </w:pPr>
  </w:style>
  <w:style w:type="paragraph" w:styleId="3">
    <w:name w:val="Body Text Indent"/>
    <w:basedOn w:val="1"/>
    <w:next w:val="4"/>
    <w:unhideWhenUsed/>
    <w:qFormat/>
    <w:uiPriority w:val="0"/>
    <w:pPr>
      <w:spacing w:after="120"/>
      <w:ind w:left="420" w:leftChars="200"/>
    </w:pPr>
  </w:style>
  <w:style w:type="paragraph" w:styleId="4">
    <w:name w:val="envelope return"/>
    <w:basedOn w:val="1"/>
    <w:qFormat/>
    <w:uiPriority w:val="0"/>
    <w:rPr>
      <w:rFonts w:ascii="Arial" w:hAnsi="Arial"/>
    </w:rPr>
  </w:style>
  <w:style w:type="paragraph" w:customStyle="1" w:styleId="5">
    <w:name w:val="表格文字"/>
    <w:basedOn w:val="6"/>
    <w:next w:val="1"/>
    <w:qFormat/>
    <w:uiPriority w:val="0"/>
    <w:pPr>
      <w:ind w:firstLine="0" w:firstLineChars="0"/>
      <w:jc w:val="center"/>
    </w:pPr>
    <w:rPr>
      <w:szCs w:val="20"/>
    </w:rPr>
  </w:style>
  <w:style w:type="paragraph" w:styleId="6">
    <w:name w:val="List"/>
    <w:basedOn w:val="1"/>
    <w:qFormat/>
    <w:uiPriority w:val="0"/>
    <w:pPr>
      <w:ind w:left="200" w:hanging="200" w:hangingChars="200"/>
      <w:contextualSpacing/>
    </w:pPr>
  </w:style>
  <w:style w:type="paragraph" w:styleId="12">
    <w:name w:val="Normal Indent"/>
    <w:basedOn w:val="1"/>
    <w:qFormat/>
    <w:uiPriority w:val="0"/>
    <w:pPr>
      <w:ind w:firstLine="420"/>
    </w:pPr>
    <w:rPr>
      <w:rFonts w:ascii="Times New Roman" w:hAnsi="Times New Roman"/>
      <w:szCs w:val="24"/>
    </w:rPr>
  </w:style>
  <w:style w:type="paragraph" w:styleId="13">
    <w:name w:val="List Bullet"/>
    <w:basedOn w:val="1"/>
    <w:qFormat/>
    <w:uiPriority w:val="0"/>
    <w:pPr>
      <w:numPr>
        <w:ilvl w:val="0"/>
        <w:numId w:val="2"/>
      </w:numPr>
    </w:pPr>
  </w:style>
  <w:style w:type="paragraph" w:styleId="14">
    <w:name w:val="Body Text"/>
    <w:basedOn w:val="1"/>
    <w:semiHidden/>
    <w:qFormat/>
    <w:uiPriority w:val="0"/>
    <w:rPr>
      <w:rFonts w:ascii="微软雅黑" w:hAnsi="微软雅黑" w:eastAsia="微软雅黑" w:cs="微软雅黑"/>
      <w:sz w:val="19"/>
      <w:szCs w:val="19"/>
      <w:lang w:val="en-US" w:eastAsia="en-US" w:bidi="ar-SA"/>
    </w:rPr>
  </w:style>
  <w:style w:type="table" w:styleId="16">
    <w:name w:val="Table Grid"/>
    <w:basedOn w:val="1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qFormat/>
    <w:uiPriority w:val="0"/>
    <w:rPr>
      <w:b/>
    </w:rPr>
  </w:style>
  <w:style w:type="paragraph" w:styleId="19">
    <w:name w:val="List Paragraph"/>
    <w:basedOn w:val="1"/>
    <w:unhideWhenUsed/>
    <w:qFormat/>
    <w:uiPriority w:val="99"/>
    <w:pPr>
      <w:ind w:firstLine="420"/>
    </w:pPr>
  </w:style>
  <w:style w:type="paragraph" w:customStyle="1" w:styleId="20">
    <w:name w:val="正文字缩1字"/>
    <w:basedOn w:val="1"/>
    <w:qFormat/>
    <w:uiPriority w:val="0"/>
    <w:pPr>
      <w:spacing w:before="60" w:after="60"/>
      <w:ind w:left="100" w:leftChars="100"/>
    </w:pPr>
    <w:rPr>
      <w:rFonts w:ascii="Times New Roman" w:hAnsi="Times New Roman" w:eastAsia="宋体"/>
      <w:szCs w:val="24"/>
    </w:rPr>
  </w:style>
  <w:style w:type="paragraph" w:customStyle="1" w:styleId="21">
    <w:name w:val="Table Text"/>
    <w:basedOn w:val="1"/>
    <w:semiHidden/>
    <w:qFormat/>
    <w:uiPriority w:val="0"/>
    <w:rPr>
      <w:rFonts w:ascii="微软雅黑" w:hAnsi="微软雅黑" w:eastAsia="微软雅黑" w:cs="微软雅黑"/>
      <w:sz w:val="19"/>
      <w:szCs w:val="19"/>
      <w:lang w:val="en-US" w:eastAsia="en-US" w:bidi="ar-SA"/>
    </w:rPr>
  </w:style>
  <w:style w:type="table" w:customStyle="1" w:styleId="22">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16210</Words>
  <Characters>16342</Characters>
  <Lines>0</Lines>
  <Paragraphs>0</Paragraphs>
  <TotalTime>0</TotalTime>
  <ScaleCrop>false</ScaleCrop>
  <LinksUpToDate>false</LinksUpToDate>
  <CharactersWithSpaces>16352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2026-05-06T06:04:00Z</dcterms:created>
  <dc:creator>admin</dc:creator>
  <cp:lastModifiedBy>骚年</cp:lastModifiedBy>
  <dcterms:modified xsi:type="dcterms:W3CDTF">2026-05-12T09:21:14Z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055FCB872DBF48C5A3DB1F7F708B31AE_13</vt:lpwstr>
  </property>
  <property fmtid="{D5CDD505-2E9C-101B-9397-08002B2CF9AE}" pid="4" name="KSOTemplateDocerSaveRecord">
    <vt:lpwstr>eyJoZGlkIjoiNjA2ZDk3ZTc3MzQxM2RlNDMwOGQ0ZWJkOGMzYTI2ZjgiLCJ1c2VySWQiOiIzNzc1MzAxMDgifQ==</vt:lpwstr>
  </property>
</Properties>
</file>