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F38FC">
      <w:pPr>
        <w:numPr>
          <w:ilvl w:val="0"/>
          <w:numId w:val="3"/>
        </w:num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bookmarkStart w:id="0" w:name="_Toc5680"/>
      <w:r>
        <w:rPr>
          <w:rFonts w:hint="eastAsia" w:ascii="宋体" w:hAnsi="宋体" w:eastAsia="宋体" w:cs="宋体"/>
          <w:b/>
          <w:color w:val="000000" w:themeColor="text1"/>
          <w:sz w:val="24"/>
          <w:szCs w:val="28"/>
          <w:highlight w:val="none"/>
          <w14:textFill>
            <w14:solidFill>
              <w14:schemeClr w14:val="tx1"/>
            </w14:solidFill>
          </w14:textFill>
        </w:rPr>
        <w:t>对项目的理解</w:t>
      </w:r>
      <w:bookmarkEnd w:id="0"/>
    </w:p>
    <w:p w14:paraId="494BBF8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1" w:name="_Toc31258"/>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w:t>
      </w:r>
      <w:bookmarkEnd w:id="1"/>
      <w:r>
        <w:rPr>
          <w:rFonts w:hint="eastAsia" w:ascii="宋体" w:hAnsi="宋体" w:cs="宋体"/>
          <w:b/>
          <w:color w:val="000000" w:themeColor="text1"/>
          <w:sz w:val="24"/>
          <w:szCs w:val="28"/>
          <w:highlight w:val="none"/>
          <w:lang w:val="en-US" w:eastAsia="zh-CN"/>
          <w14:textFill>
            <w14:solidFill>
              <w14:schemeClr w14:val="tx1"/>
            </w14:solidFill>
          </w14:textFill>
        </w:rPr>
        <w:t>背景</w:t>
      </w:r>
    </w:p>
    <w:p w14:paraId="6DA0BEE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rPr>
      </w:pPr>
      <w:r>
        <w:rPr>
          <w:rFonts w:hint="eastAsia" w:ascii="宋体" w:hAnsi="宋体" w:eastAsia="宋体"/>
          <w:sz w:val="24"/>
        </w:rPr>
        <w:t>国网伊犁伊河供电有限责任公司（以下简称"伊河供电公司"）承担着新疆伊犁地区伊河片区的电力供应与电网运营职责，服务范围覆盖重要工业园区、农业灌溉区及城乡居民用电，战略地位十分重要。随着区域经济的持续快速发展，电网规模不断扩大，主网设备数量急剧增加，设备老化问题日益突出，检修任务量逐年递增，对检修计划管理的精细化、智能化水平提出了更高要求。</w:t>
      </w:r>
    </w:p>
    <w:p w14:paraId="3112089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rPr>
      </w:pPr>
      <w:r>
        <w:rPr>
          <w:rFonts w:hint="eastAsia" w:ascii="宋体" w:hAnsi="宋体" w:eastAsia="宋体"/>
          <w:sz w:val="24"/>
        </w:rPr>
        <w:t>目前，伊河供电公司主网检修计划管理工作主要依赖人工经验和线下协调，存在以下突出问题：</w:t>
      </w:r>
    </w:p>
    <w:p w14:paraId="72755B5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rPr>
      </w:pPr>
      <w:r>
        <w:rPr>
          <w:rFonts w:hint="eastAsia" w:ascii="宋体" w:hAnsi="宋体" w:eastAsia="宋体"/>
          <w:sz w:val="24"/>
        </w:rPr>
        <w:t>一是计划编排效率低、科学性不足。年度、月度、周度及日前计划的申报、平衡与审批流程环节繁多，依赖人工线下沟通与协调，耗时长、效率低。计划编排难以统筹考虑设备定检周期、缺陷隐患、电网运行方式、负荷特性、天气环境、节假日保电等多维度约束条件，易导致计划冲突、重复停电及停电时间过长，影响电网可靠性与经济性。</w:t>
      </w:r>
    </w:p>
    <w:p w14:paraId="0001E2C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rPr>
      </w:pPr>
      <w:r>
        <w:rPr>
          <w:rFonts w:hint="eastAsia" w:ascii="宋体" w:hAnsi="宋体" w:eastAsia="宋体"/>
          <w:sz w:val="24"/>
        </w:rPr>
        <w:t>二是数据来源分散，协同困难。检修计划管理所需基础数据分散于PMS（生产管理系统）、OMS（运行管理系统）、GIS（地理信息系统）等不同业务平台，数据格式不统一，信息壁垒明显，计划编制人员难以快速获取并整合所需信息，严重影响决策准确性和时效性。</w:t>
      </w:r>
    </w:p>
    <w:p w14:paraId="1F14642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rPr>
      </w:pPr>
      <w:r>
        <w:rPr>
          <w:rFonts w:hint="eastAsia" w:ascii="宋体" w:hAnsi="宋体" w:eastAsia="宋体"/>
          <w:sz w:val="24"/>
        </w:rPr>
        <w:t>三是约束规则隐性化，依赖个人经验。大量涉及电网安全、供电可靠性和操作规范的停电约束规则——如设备同停互斥、重要用户保电、施工承载力等——未形成结构化、数字化的专家知识库，主要依赖调度、运维专业人员个人经验和记忆，容易疏漏，且难以传承优化，给电网安全运行带来潜在风险。</w:t>
      </w:r>
    </w:p>
    <w:p w14:paraId="23238F5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rPr>
      </w:pPr>
      <w:r>
        <w:rPr>
          <w:rFonts w:hint="eastAsia" w:ascii="宋体" w:hAnsi="宋体" w:eastAsia="宋体"/>
          <w:sz w:val="24"/>
        </w:rPr>
        <w:t>四是可视化与决策支撑能力薄弱。现有计划管理缺乏直观高效的可视化展示与分析工具，计划人员难以全局把握检修时序、停电范围及影响，统计分析工作量大，无法快速生成定制化报表，更无法对计划方案进行多场景模拟与优化比选，智能化决策支撑能力严重不足。</w:t>
      </w:r>
    </w:p>
    <w:p w14:paraId="3DF79F4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rPr>
      </w:pPr>
      <w:r>
        <w:rPr>
          <w:rFonts w:hint="eastAsia" w:ascii="宋体" w:hAnsi="宋体" w:eastAsia="宋体"/>
          <w:sz w:val="24"/>
        </w:rPr>
        <w:t>为贯彻落实国家电网公司数字化转型和智能电网发展战略，全面提升电网精益化管理水平与设备运维效能，伊河供电公司决定启动"智能检修计划平衡辅助决策应用建设项目"。本项目通过融合大数据分析、规则引擎、多目标优化算法等先进技术，构建集基础数据统一管理、待检设备智能归集、约束规则数字化封装、计划流程线上化审批、多目标自动平衡优化、全过程可视化展示于一体的智能化辅助决策平台。</w:t>
      </w:r>
    </w:p>
    <w:p w14:paraId="5946D9E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r>
        <w:rPr>
          <w:rFonts w:hint="eastAsia" w:ascii="宋体" w:hAnsi="宋体" w:eastAsia="宋体"/>
          <w:sz w:val="24"/>
        </w:rPr>
        <w:t>该平台建成后，将推动检修计划管理从"经验驱动"向"数据驱动+规则驱动+智能优化"的根本转变，有效提升计划编制的科学性、协同性与透明度，大幅减少非计划停电，优化停电窗口利用效率，降低电网运行风险，保障区域供电可靠性，同时显著减轻各级计划管理人员工作负担，为公司电网安全、稳定、经济运行提供强有力的技术支撑。</w:t>
      </w:r>
    </w:p>
    <w:p w14:paraId="60AE8AC6">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2" w:name="_Toc20210"/>
      <w:r>
        <w:rPr>
          <w:rFonts w:hint="eastAsia" w:ascii="宋体" w:hAnsi="宋体" w:cs="宋体"/>
          <w:b/>
          <w:color w:val="000000" w:themeColor="text1"/>
          <w:sz w:val="24"/>
          <w:szCs w:val="28"/>
          <w:highlight w:val="none"/>
          <w:lang w:val="en-US" w:eastAsia="zh-CN"/>
          <w14:textFill>
            <w14:solidFill>
              <w14:schemeClr w14:val="tx1"/>
            </w14:solidFill>
          </w14:textFill>
        </w:rPr>
        <w:t>项目目标</w:t>
      </w:r>
    </w:p>
    <w:p w14:paraId="6F09BBB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本项目建设目标是构建一套功能完善、技术先进、安全可靠的智能检修计划平衡辅助决策应用系统，全面提升国网伊犁伊河供电有限责任公司主网检修计划管理的智能化水平。具体目标如下：</w:t>
      </w:r>
    </w:p>
    <w:p w14:paraId="0ECF348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一、建立统一的基础数据管理体系。实现设备台账、历史检修记录、缺陷信息、定检周期、电网拓扑等多源异构数据的接入、清洗、匹配与统一管理，形成以电网模型数据格式为基准的检修计划智能编排数据源，确保数据的完整性、准确性和时效性，消除当前数据孤岛现象，为智能决策提供可靠的数据基础。</w:t>
      </w:r>
    </w:p>
    <w:p w14:paraId="03A3D6D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二、构建待检修设备池管理机制。基于统一数据底座，构建主网停电计划待检修设备池，实现设备跨系统、跨专业的统一归集与分类管理，支持继保、检修、运行、高试等多专业协同管理变电站内设备，支撑检修计划一键式生成，并与省地一体化OMS系统深度融合，实现数据互联互通。</w:t>
      </w:r>
    </w:p>
    <w:p w14:paraId="4A0B82C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三、建立约束规则数字化专家库。将检修计划编排中涉及的安全约束、运行约束、时间约束等多维度约束规则进行数字化封装，形成可管理、可配置、可扩展的约束规则专家库，覆盖不能同停约束、设备重复停电约束、恶劣天气约束、节假日约束、可停时段约束、必须同停约束、重要设备约束、检修工期约束等全类型规则，有效替代人工经验判断。</w:t>
      </w:r>
    </w:p>
    <w:p w14:paraId="17E86DE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四、实现停电计划线上化全流程管理。构建年度、月度、周度、日前停电计划的线上申报、审批、发布及反馈全流程管理机制，支持多种申报模式，实现与省地一体化OMS系统的双向数据交互，提升计划管理的规范性、透明度和可追溯性。</w:t>
      </w:r>
    </w:p>
    <w:p w14:paraId="760EF30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五、实现停电计划智能自主平衡。基于多约束条件（同时检修约束、互斥检修约束、工期约束等），以设备检修停电损失负荷最少和检修工作量分布最合理为优化目标，通过智能算法自动完成停电计划平衡编排，减少人工干预，提升计划科学性，确保新编计划与OMS在运计划无冲突。</w:t>
      </w:r>
    </w:p>
    <w:p w14:paraId="7A8C285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六、建设可视化展示与报表分析平台。构建停电计划集中式可视化展示及分析平台，涵盖甘特图展示、停电综合查询、多维统计分析及报表应用等功能，支持最终可执行计划一键推送至省地一体化OMS，在OMS值班台完成计划执行、进度监控、完工回报等闭环操作，全面提升操作便捷性和跨系统工作效率</w:t>
      </w:r>
    </w:p>
    <w:p w14:paraId="5745D997">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项目重难点</w:t>
      </w:r>
      <w:bookmarkEnd w:id="2"/>
      <w:r>
        <w:rPr>
          <w:rFonts w:hint="eastAsia" w:ascii="宋体" w:hAnsi="宋体" w:cs="宋体"/>
          <w:b/>
          <w:color w:val="000000" w:themeColor="text1"/>
          <w:sz w:val="24"/>
          <w:szCs w:val="28"/>
          <w:highlight w:val="none"/>
          <w:lang w:val="en-US" w:eastAsia="zh-CN"/>
          <w14:textFill>
            <w14:solidFill>
              <w14:schemeClr w14:val="tx1"/>
            </w14:solidFill>
          </w14:textFill>
        </w:rPr>
        <w:t>分析</w:t>
      </w:r>
    </w:p>
    <w:p w14:paraId="75C25CE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本项目作为国网伊犁伊河供电有限责任公司主网检修计划管理数字化转型的核心工程，在实施过程中将面临多方面技术难点与管理挑战，需重点关注并制定针对性解决方案。</w:t>
      </w:r>
    </w:p>
    <w:p w14:paraId="31A5990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【重点一：多源异构数据的接入与治理】</w:t>
      </w:r>
    </w:p>
    <w:p w14:paraId="6A2A51B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本系统需从PMS、OMS、GIS等多个异构业务系统接入设备台账、历史检修记录、缺陷数据、电网拓扑等多类型数据，各系统数据格式、编码规则、更新频率各不相同，数据质量参差不齐，存在缺失、重复、错误等不良数据问题。难点在于如何在保证数据一致性的前提下，实现多源数据的自动化清洗、标准化转换和基于设备名称的精准匹配映射，构建高质量的统一数据底座。</w:t>
      </w:r>
    </w:p>
    <w:p w14:paraId="53CE922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解决方案：采用数据中台架构，设计标准化ETL（抽取-转换-加载）流程，建立数据质量校验规则库，通过设备名称归一化算法实现跨系统设备数据的匹配映射，并设置数据异常告警机制，确保数据底座的可靠性。</w:t>
      </w:r>
    </w:p>
    <w:p w14:paraId="5DA59E1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【重点二：多约束条件下的计划自主平衡算法】</w:t>
      </w:r>
    </w:p>
    <w:p w14:paraId="7757070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停电计划自主平衡需同时满足数十项约束条件（互斥约束、同停约束、工期约束、时段约束等），并以停电损失负荷最少、工作量分布最合理为优化目标，属于典型的多目标约束优化问题。随着设备数量增加，问题规模急剧扩大，计算复杂度呈指数级上升，如何在合理时间内求解高质量可行解是核心难题。</w:t>
      </w:r>
    </w:p>
    <w:p w14:paraId="05DF132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解决方案：采用启发式优化算法（遗传算法或模拟退火结合局部搜索）与规则引擎相结合的混合策略，通过约束传播技术快速裁剪不可行解空间，实现高效求解。同时支持交互式人工干预，确保算法结果可调可控。</w:t>
      </w:r>
    </w:p>
    <w:p w14:paraId="0323A89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【重点三：与省地一体化OMS的深度融合】</w:t>
      </w:r>
    </w:p>
    <w:p w14:paraId="246DA5C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系统需与现役省地一体化OMS实现双向数据交互，包括从OMS接入已审批计划、向OMS推送新编排计划，并支持在OMS值班台完成计划执行闭环操作。OMS系统接口标准复杂，版本差异可能导致集成障碍，且集成过程中必须保证OMS系统的稳定性，不能影响电网调度日常业务。</w:t>
      </w:r>
    </w:p>
    <w:p w14:paraId="3ADA096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解决方案：采用松耦合集成架构，基于标准WebService/REST API接口实现数据交互，开发接口适配层屏蔽版本差异，制定严格的接口测试方案和回滚预案，确保OMS系统零影响。</w:t>
      </w:r>
    </w:p>
    <w:p w14:paraId="7E27A33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【重点四：约束规则专家库的完整性与可维护性】</w:t>
      </w:r>
    </w:p>
    <w:p w14:paraId="339AE9D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约束规则的完整性直接决定计划平衡结果的安全性。如何将隐性的专业经验转化为结构化、可配置的规则，并确保规则库随业务发展持续更新，是系统长期可用性的关键。</w:t>
      </w:r>
    </w:p>
    <w:p w14:paraId="427D1F1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sz w:val="24"/>
          <w:lang w:val="en-US" w:eastAsia="zh-CN"/>
        </w:rPr>
      </w:pPr>
      <w:r>
        <w:rPr>
          <w:rFonts w:hint="eastAsia" w:ascii="宋体" w:hAnsi="宋体" w:eastAsia="宋体"/>
          <w:sz w:val="24"/>
          <w:lang w:val="en-US" w:eastAsia="zh-CN"/>
        </w:rPr>
        <w:t>解决方案：通过与调度、运维专家深度访谈和历史计划数据分析，系统梳理现有约束规则，设计灵活可配置的规则引擎，提供规则管理界面，支持非技术人员维护更新约束规则</w:t>
      </w:r>
      <w:r>
        <w:rPr>
          <w:rFonts w:hint="eastAsia" w:ascii="宋体" w:hAnsi="宋体"/>
          <w:sz w:val="24"/>
          <w:lang w:val="en-US" w:eastAsia="zh-CN"/>
        </w:rPr>
        <w:t>。</w:t>
      </w:r>
    </w:p>
    <w:p w14:paraId="0FAF0053">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项目实施路径</w:t>
      </w:r>
    </w:p>
    <w:p w14:paraId="2F12E3AD">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项目实施遵循"统筹规划、分步实施、重点突破、持续优化"的总体路径，依据系统建设规律，划分为需求调研与方案设计、系统开发与集成测试、部署上线与试运行、正式验收与运维培训四个阶段，确保项目高质量、按期交付。</w:t>
      </w:r>
    </w:p>
    <w:p w14:paraId="73E5294E">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【第一阶段：需求调研与方案设计（第1-4周）】</w:t>
      </w:r>
    </w:p>
    <w:p w14:paraId="57C3AF0C">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织项目团队进驻现场，开展系统、深入的需求调研工作。调研内容涵盖：现有检修计划管理流程梳理、各业务系统（PMS、OMS、GIS）接口现状调查、约束规则专家经验收集、用户使用习惯与痛点分析等。调研完成后，形成《需求规格说明书》和《系统概要设计方案》，经甲方确认后作为后续开发工作的基准文件。</w:t>
      </w:r>
    </w:p>
    <w:p w14:paraId="44B8A644">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同期完成系统技术选型（数据库、中间件、前端框架、算法库等），确定与OMS集成的接口协议和数据格式，制定详细的项目实施计划和风险应对预案。</w:t>
      </w:r>
    </w:p>
    <w:p w14:paraId="25E5B610">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【第二阶段：系统开发与集成测试（第5-16周）】</w:t>
      </w:r>
    </w:p>
    <w:p w14:paraId="738F1D85">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按照模块化开发策略，分批次完成六大功能模块的开发工作：</w:t>
      </w:r>
    </w:p>
    <w:p w14:paraId="734ED1F3">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第一批次（第5-8周）：完成基础数据管理模块和待检修设备池模块开发，完成与PMS、OMS的数据接口对接，实现多源数据的自动采集、清洗和统一管理。</w:t>
      </w:r>
    </w:p>
    <w:p w14:paraId="3E365EB2">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第二批次（第9-12周）：完成约束规则专家库模块和停电计划申报与审批模块开发，实现规则的数字化封装与线上审批流程，完成与OMS停电计划数据的双向交互接口。</w:t>
      </w:r>
    </w:p>
    <w:p w14:paraId="7877A1E4">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第三批次（第13-16周）：完成停电计划自主平衡模块和可视化及报表展示模块开发，优化平衡算法性能，完成全系统集成联调测试。</w:t>
      </w:r>
    </w:p>
    <w:p w14:paraId="22125AF3">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【第三阶段：部署上线与试运行（第17-20周）】</w:t>
      </w:r>
    </w:p>
    <w:p w14:paraId="5C888E6E">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完成系统在生产环境的部署工作，包括服务器环境配置、系统安装部署、数据初始化导入、OMS集成联调等。开展为期4周的试运行，选取真实检修计划场景进行全流程验证，记录并快速处理发现的问题和缺陷，持续优化系统性能和用户体验。期间组织用户培训，确保关键岗位人员熟练掌握系统操作。</w:t>
      </w:r>
    </w:p>
    <w:p w14:paraId="647E3EEF">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【第四阶段：正式验收与运维培训（第21-24周）】</w:t>
      </w:r>
    </w:p>
    <w:p w14:paraId="72C398F6">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照甲方确认的验收测试大纲，组织正式验收测试，逐项核验功能指标和性能指标，形成《验收测试报告》，双方代表签字确认。完成全套技术文档交付，包括需求规格书、设计文档、操作手册、运维手册等。提供为期6个月的免费运维保障，建立7×24小时技术支持响应机制</w:t>
      </w:r>
    </w:p>
    <w:p w14:paraId="6E15C47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对工程有帮助的可行性建议</w:t>
      </w:r>
    </w:p>
    <w:p w14:paraId="06EF2CDF">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基于我方在电网调度自动化及检修计划管理系统领域的丰富实施经验，结合对本项目技术规范书的深入分析，提出以下可行性建议，供项目单位参考采纳，以进一步提升系统建设质量和长期使用效果：</w:t>
      </w:r>
    </w:p>
    <w:p w14:paraId="2FF8008B">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【建议一：采用微服务架构提升系统可扩展性】</w:t>
      </w:r>
    </w:p>
    <w:p w14:paraId="0DEC977E">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议系统采用微服务架构进行设计，将基础数据管理、待检修设备池、约束规则专家库、计划申报审批、自主平衡、可视化报表等六大功能模块分别设计为独立微服务，通过API网关统一对外提供服务。微服务架构可显著提升系统的可扩展性和可维护性，各模块可独立部署、独立升级，避免"牵一发动全身"的风险。随着业务规模扩大，可按需横向扩展特定服务的计算资源，保证系统高可用性。</w:t>
      </w:r>
    </w:p>
    <w:p w14:paraId="3EF7420C">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【建议二：建立数据质量持续监控机制】</w:t>
      </w:r>
    </w:p>
    <w:p w14:paraId="41DEBC30">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建设初期的数据治理工作至关重要，但数据质量的维护是一项长期工程。建议在基础数据管理模块中内置数据质量监控看板，对关键数据指标（完整率、准确率、及时率）进行持续跟踪，设置数据异常自动告警阈值，并建立数据质量定期审查制度，指定专人负责数据维护工作，确保系统数据底座的长期可靠性。</w:t>
      </w:r>
    </w:p>
    <w:p w14:paraId="75B3C35D">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【建议三：约束规则库实行分级管理策略】</w:t>
      </w:r>
    </w:p>
    <w:p w14:paraId="1EC214A2">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议将约束规则库划分为"系统固化规则"（如电网安全强制约束）和"业务可配规则"（如节假日保电范围、重要用户清单等）两类，前者由系统管理员管控，后者开放给业务人员自主维护。同时建立规则版本管理机制，记录每次规则变更的原因、时间和操作人，支持规则回滚，既保证核心安全规则不被随意篡改，又赋予业务人员必要的灵活性。</w:t>
      </w:r>
    </w:p>
    <w:p w14:paraId="5F187A89">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【建议四：平衡算法支持人机协同优化模式】</w:t>
      </w:r>
    </w:p>
    <w:p w14:paraId="4E9F0F34">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纯自动化算法在面对复杂特殊场景时可能难以完全覆盖所有隐性约束。建议平衡算法在提供自动优化结果的同时，支持调度人员对局部计划进行手动调整，系统实时检验手动调整后的约束满足情况并给出提示，实现"算法主导、人工辅助"的人机协同优化模式，兼顾效率与灵活性。</w:t>
      </w:r>
    </w:p>
    <w:p w14:paraId="13033B01">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【建议五：预留与AI大模型的集成扩展接口】</w:t>
      </w:r>
    </w:p>
    <w:p w14:paraId="0926E7E5">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随着国家电网公司人工智能战略的深化推进，未来检修计划管理领域将引入更多AI智能分析能力。建议系统在架构设计阶段预留标准化的AI服务调用接口，以便未来无缝接入负荷预测模型、设备寿命预测模型、智能问答等AI能力，避免二次大规模改造，保护当前投资。</w:t>
      </w:r>
    </w:p>
    <w:p w14:paraId="4E85EDED">
      <w:pPr>
        <w:numPr>
          <w:ilvl w:val="1"/>
          <w:numId w:val="3"/>
        </w:numPr>
        <w:adjustRightInd w:val="0"/>
        <w:snapToGrid w:val="0"/>
        <w:spacing w:line="400" w:lineRule="exact"/>
        <w:ind w:left="567" w:leftChars="0" w:hanging="567" w:firstLineChars="0"/>
        <w:outlineLvl w:val="2"/>
        <w:rPr>
          <w:rFonts w:hint="default"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项目意义与展望</w:t>
      </w:r>
    </w:p>
    <w:p w14:paraId="7152CDF4">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本项目的建设实施，对国网伊犁伊河供电有限责任公司提升主网检修计划管理水平、推动电网运营数字化转型具有重要而深远的现实意义。</w:t>
      </w:r>
    </w:p>
    <w:p w14:paraId="5698E6DC">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【直接效益】</w:t>
      </w:r>
    </w:p>
    <w:p w14:paraId="3241FC73">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一是显著提升检修计划编制效率。通过智能编排算法和线上审批流程，将原本需要数天甚至数周的年度计划编制工作压缩至数小时内完成，月度、周度计划编排周期大幅缩短，计划人员工作强度明显降低，可将更多精力投入到复杂场景的分析研判工作中。</w:t>
      </w:r>
    </w:p>
    <w:p w14:paraId="6AD7F942">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二是有效提高电网停电计划的科学性与合理性。通过数字化约束规则专家库和多目标优化算法，系统能够全面考量各类约束条件，有效避免计划冲突、重复停电、停电窗口浪费等问题，优化停电时间窗口分配，提高检修资源利用率，从而提升电网整体可靠性和经济性。</w:t>
      </w:r>
    </w:p>
    <w:p w14:paraId="0132C4A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三是推动检修知识经验的传承与沉淀。将长期依赖个人经验的隐性约束规则数字化、结构化，形成可持续维护的专家知识库，有效解决人员流动带来的经验流失问题，为新进调度和运维人员提供科学指导，提升整体团队能力水平。</w:t>
      </w:r>
    </w:p>
    <w:p w14:paraId="67D40FA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四是强化跨系统数据互联互通。通过与省地一体化OMS的深度融合，打破现有系统数据壁垒，实现检修计划数据在全链条的流转与共享，消除重复录入和数据不一致问题，为实现电网全业务数字化管控奠定坚实基础。</w:t>
      </w:r>
    </w:p>
    <w:p w14:paraId="2A4ACEF0">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【战略意义与未来展望】</w:t>
      </w:r>
    </w:p>
    <w:p w14:paraId="35B6491E">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本项目是伊河供电公司落实国家电网公司"数字化转型、智能化发展"战略部署的重要举措，是公司从传统管理模式向数据驱动精益管理模式转变的关键一步。</w:t>
      </w:r>
    </w:p>
    <w:p w14:paraId="60F2D0A5">
      <w:pPr>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rPr>
        <w:t>展望未来，随着系统持续积累运营数据，可进一步引入机器学习技术对历史检修计划数据进行深度挖掘，发现检修规律，优化检修策略，逐步向"预测性维护"方向演进。同时，本系统建设经验和技术成果可在国网系统内复制推广，为兄弟单位提供可借鉴的范本，具有广泛的推广应用价值。通过持续的功能迭代和能力升级，本系统将成为支撑伊河供电公司乃至新疆伊犁地区电网安全、稳定、高效运营的重要数字化基础设施</w:t>
      </w:r>
      <w:r>
        <w:rPr>
          <w:rFonts w:hint="eastAsia" w:ascii="宋体" w:hAnsi="宋体" w:cs="宋体"/>
          <w:sz w:val="24"/>
          <w:szCs w:val="24"/>
          <w:lang w:eastAsia="zh-CN"/>
        </w:rPr>
        <w:t>。</w:t>
      </w:r>
    </w:p>
    <w:p w14:paraId="77652DC8">
      <w:pPr>
        <w:numPr>
          <w:ilvl w:val="0"/>
          <w:numId w:val="3"/>
        </w:num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bookmarkStart w:id="3" w:name="_Toc14811"/>
      <w:bookmarkStart w:id="4" w:name="_Toc3223"/>
      <w:bookmarkStart w:id="5" w:name="_Toc2484"/>
      <w:r>
        <w:rPr>
          <w:rFonts w:hint="eastAsia" w:ascii="宋体" w:hAnsi="宋体" w:eastAsia="宋体" w:cs="宋体"/>
          <w:b/>
          <w:color w:val="000000" w:themeColor="text1"/>
          <w:sz w:val="24"/>
          <w:szCs w:val="28"/>
          <w:highlight w:val="none"/>
          <w14:textFill>
            <w14:solidFill>
              <w14:schemeClr w14:val="tx1"/>
            </w14:solidFill>
          </w14:textFill>
        </w:rPr>
        <w:t>工作规划描述</w:t>
      </w:r>
      <w:bookmarkEnd w:id="3"/>
      <w:bookmarkEnd w:id="4"/>
      <w:bookmarkEnd w:id="5"/>
    </w:p>
    <w:p w14:paraId="37531333">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yellow"/>
          <w:lang w:val="en-US" w:eastAsia="zh-CN"/>
          <w14:textFill>
            <w14:solidFill>
              <w14:schemeClr w14:val="tx1"/>
            </w14:solidFill>
          </w14:textFill>
        </w:rPr>
      </w:pPr>
      <w:bookmarkStart w:id="6" w:name="_Toc23233"/>
      <w:r>
        <w:rPr>
          <w:rFonts w:hint="eastAsia" w:ascii="宋体" w:hAnsi="宋体" w:eastAsia="宋体" w:cs="宋体"/>
          <w:b/>
          <w:color w:val="000000" w:themeColor="text1"/>
          <w:sz w:val="24"/>
          <w:szCs w:val="28"/>
          <w:highlight w:val="yellow"/>
          <w:lang w:val="en-US" w:eastAsia="zh-CN"/>
          <w14:textFill>
            <w14:solidFill>
              <w14:schemeClr w14:val="tx1"/>
            </w14:solidFill>
          </w14:textFill>
        </w:rPr>
        <w:t>硬件、软件实力</w:t>
      </w:r>
    </w:p>
    <w:p w14:paraId="7F30E8FF">
      <w:pPr>
        <w:numPr>
          <w:ilvl w:val="2"/>
          <w:numId w:val="3"/>
        </w:numPr>
        <w:adjustRightInd w:val="0"/>
        <w:snapToGrid w:val="0"/>
        <w:spacing w:line="400" w:lineRule="exact"/>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硬件实力</w:t>
      </w:r>
    </w:p>
    <w:p w14:paraId="2510586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49F7922F">
      <w:pPr>
        <w:numPr>
          <w:ilvl w:val="2"/>
          <w:numId w:val="3"/>
        </w:numPr>
        <w:adjustRightInd w:val="0"/>
        <w:snapToGrid w:val="0"/>
        <w:spacing w:line="400" w:lineRule="exact"/>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14:paraId="593FCDD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5D907E3C">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56C81A8A">
      <w:pPr>
        <w:spacing w:line="360" w:lineRule="auto"/>
        <w:ind w:firstLine="480"/>
        <w:rPr>
          <w:rFonts w:hint="eastAsia" w:ascii="宋体" w:hAnsi="宋体" w:cs="宋体"/>
          <w:sz w:val="24"/>
          <w:szCs w:val="24"/>
          <w:lang w:val="en-US" w:eastAsia="zh-CN"/>
        </w:rPr>
      </w:pPr>
      <w:r>
        <w:rPr>
          <w:rFonts w:hint="eastAsia" w:ascii="宋体" w:hAnsi="宋体" w:cs="宋体"/>
          <w:sz w:val="24"/>
          <w:szCs w:val="24"/>
          <w:lang w:val="en-US" w:eastAsia="zh-CN"/>
        </w:rPr>
        <w:t>本次项目实施范围为国网伊犁伊河供电有限责任公司2026年主网智能检修计划平衡辅助决策应用系统的全面建设，具体包括以下规模与范围：</w:t>
      </w:r>
    </w:p>
    <w:p w14:paraId="71AE3413">
      <w:pPr>
        <w:spacing w:line="360" w:lineRule="auto"/>
        <w:ind w:firstLine="480"/>
        <w:rPr>
          <w:rFonts w:hint="eastAsia" w:ascii="宋体" w:hAnsi="宋体" w:cs="宋体"/>
          <w:sz w:val="24"/>
          <w:szCs w:val="24"/>
          <w:lang w:val="en-US" w:eastAsia="zh-CN"/>
        </w:rPr>
      </w:pPr>
      <w:r>
        <w:rPr>
          <w:rFonts w:hint="eastAsia" w:ascii="宋体" w:hAnsi="宋体" w:cs="宋体"/>
          <w:sz w:val="24"/>
          <w:szCs w:val="24"/>
          <w:lang w:val="en-US" w:eastAsia="zh-CN"/>
        </w:rPr>
        <w:t>【系统实施范围】</w:t>
      </w:r>
    </w:p>
    <w:p w14:paraId="564BAA23">
      <w:pPr>
        <w:spacing w:line="360" w:lineRule="auto"/>
        <w:ind w:firstLine="480"/>
        <w:rPr>
          <w:rFonts w:hint="eastAsia" w:ascii="宋体" w:hAnsi="宋体" w:cs="宋体"/>
          <w:sz w:val="24"/>
          <w:szCs w:val="24"/>
          <w:lang w:val="en-US" w:eastAsia="zh-CN"/>
        </w:rPr>
      </w:pPr>
      <w:r>
        <w:rPr>
          <w:rFonts w:hint="eastAsia" w:ascii="宋体" w:hAnsi="宋体" w:cs="宋体"/>
          <w:sz w:val="24"/>
          <w:szCs w:val="24"/>
          <w:lang w:val="en-US" w:eastAsia="zh-CN"/>
        </w:rPr>
        <w:t>本项目系统建设范围涵盖六大功能模块，具体如下：</w:t>
      </w:r>
    </w:p>
    <w:p w14:paraId="781CD7EE">
      <w:pPr>
        <w:spacing w:line="360" w:lineRule="auto"/>
        <w:ind w:firstLine="480"/>
        <w:rPr>
          <w:rFonts w:hint="eastAsia" w:ascii="宋体" w:hAnsi="宋体" w:cs="宋体"/>
          <w:sz w:val="24"/>
          <w:szCs w:val="24"/>
          <w:lang w:val="en-US" w:eastAsia="zh-CN"/>
        </w:rPr>
      </w:pPr>
      <w:r>
        <w:rPr>
          <w:rFonts w:hint="eastAsia" w:ascii="宋体" w:hAnsi="宋体" w:cs="宋体"/>
          <w:sz w:val="24"/>
          <w:szCs w:val="24"/>
          <w:lang w:val="en-US" w:eastAsia="zh-CN"/>
        </w:rPr>
        <w:t>（一）基础数据管理模块：实现与PMS、OMS、GIS等业务系统的数据接口对接，接入设备台账、历史检修数据、定检信息、缺陷设备数据、设备图模、已批复检修计划等多类型数据；提供数据质量校验、清洗处理、格式转换和基于设备名称的匹配映射功能；构建以电网模型数据格式为基准的统一检修计划数据源。数据覆盖伊河供电公司主网所有在运变电站（110kV及以上）和输电线路的相关设备。</w:t>
      </w:r>
    </w:p>
    <w:p w14:paraId="2645331C">
      <w:pPr>
        <w:spacing w:line="360" w:lineRule="auto"/>
        <w:ind w:firstLine="480"/>
        <w:rPr>
          <w:rFonts w:hint="eastAsia" w:ascii="宋体" w:hAnsi="宋体" w:cs="宋体"/>
          <w:sz w:val="24"/>
          <w:szCs w:val="24"/>
          <w:lang w:val="en-US" w:eastAsia="zh-CN"/>
        </w:rPr>
      </w:pPr>
      <w:r>
        <w:rPr>
          <w:rFonts w:hint="eastAsia" w:ascii="宋体" w:hAnsi="宋体" w:cs="宋体"/>
          <w:sz w:val="24"/>
          <w:szCs w:val="24"/>
          <w:lang w:val="en-US" w:eastAsia="zh-CN"/>
        </w:rPr>
        <w:t>（二）待检修设备池模块：构建主网停电计划待检修设备池，支持继保、检修、运行、高试等多专业对变电站内设备的统一归集与分类管理；实现待检修设备的一键式检修计划生成功能；与OMS侧检修任务执行数据保持实时同步。</w:t>
      </w:r>
    </w:p>
    <w:p w14:paraId="2862D0B1">
      <w:pPr>
        <w:spacing w:line="360" w:lineRule="auto"/>
        <w:ind w:firstLine="480"/>
        <w:rPr>
          <w:rFonts w:hint="eastAsia" w:ascii="宋体" w:hAnsi="宋体" w:cs="宋体"/>
          <w:sz w:val="24"/>
          <w:szCs w:val="24"/>
          <w:lang w:val="en-US" w:eastAsia="zh-CN"/>
        </w:rPr>
      </w:pPr>
      <w:r>
        <w:rPr>
          <w:rFonts w:hint="eastAsia" w:ascii="宋体" w:hAnsi="宋体" w:cs="宋体"/>
          <w:sz w:val="24"/>
          <w:szCs w:val="24"/>
          <w:lang w:val="en-US" w:eastAsia="zh-CN"/>
        </w:rPr>
        <w:t>（三）约束规则专家库模块：构建停电约束规则库，涵盖不能同停约束、设备重复停电约束、恶劣天气约束、节假日约束、可停时段约束、必须同停约束、重要设备约束、检修工期约束等8类以上约束规则；提供规则的创建、修改、删除、启用/禁用、版本管理等维护功能；支持规则有效性验证。</w:t>
      </w:r>
    </w:p>
    <w:p w14:paraId="22BCC567">
      <w:pPr>
        <w:spacing w:line="360" w:lineRule="auto"/>
        <w:ind w:firstLine="480"/>
        <w:rPr>
          <w:rFonts w:hint="eastAsia" w:ascii="宋体" w:hAnsi="宋体" w:cs="宋体"/>
          <w:sz w:val="24"/>
          <w:szCs w:val="24"/>
          <w:lang w:val="en-US" w:eastAsia="zh-CN"/>
        </w:rPr>
      </w:pPr>
      <w:r>
        <w:rPr>
          <w:rFonts w:hint="eastAsia" w:ascii="宋体" w:hAnsi="宋体" w:cs="宋体"/>
          <w:sz w:val="24"/>
          <w:szCs w:val="24"/>
          <w:lang w:val="en-US" w:eastAsia="zh-CN"/>
        </w:rPr>
        <w:t>（四）停电计划申报与审批模块：实现年度、月度、周度、日前四级停电计划的线上全流程管理；支持关联待检修设备智能填报、设备选择器维护、手工维护三种申报模式；实现计划跨层级分解与关联；与省地一体化OMS实现双向数据交互。</w:t>
      </w:r>
    </w:p>
    <w:p w14:paraId="1F9E7280">
      <w:pPr>
        <w:spacing w:line="360" w:lineRule="auto"/>
        <w:ind w:firstLine="480"/>
        <w:rPr>
          <w:rFonts w:hint="eastAsia" w:ascii="宋体" w:hAnsi="宋体" w:cs="宋体"/>
          <w:sz w:val="24"/>
          <w:szCs w:val="24"/>
          <w:lang w:val="en-US" w:eastAsia="zh-CN"/>
        </w:rPr>
      </w:pPr>
      <w:r>
        <w:rPr>
          <w:rFonts w:hint="eastAsia" w:ascii="宋体" w:hAnsi="宋体" w:cs="宋体"/>
          <w:sz w:val="24"/>
          <w:szCs w:val="24"/>
          <w:lang w:val="en-US" w:eastAsia="zh-CN"/>
        </w:rPr>
        <w:t>（五）停电计划自主平衡模块：实现基于多约束条件的停电计划自动平衡优化；提供审批过程中的关联约束提醒功能；确保新编计划与OMS在运计划无冲突；支持临时年度计划处理。</w:t>
      </w:r>
    </w:p>
    <w:p w14:paraId="4E7B9692">
      <w:pPr>
        <w:spacing w:line="360" w:lineRule="auto"/>
        <w:ind w:firstLine="480"/>
        <w:rPr>
          <w:rFonts w:hint="eastAsia" w:ascii="宋体" w:hAnsi="宋体" w:cs="宋体"/>
          <w:sz w:val="24"/>
          <w:szCs w:val="24"/>
          <w:lang w:val="en-US" w:eastAsia="zh-CN"/>
        </w:rPr>
      </w:pPr>
      <w:r>
        <w:rPr>
          <w:rFonts w:hint="eastAsia" w:ascii="宋体" w:hAnsi="宋体" w:cs="宋体"/>
          <w:sz w:val="24"/>
          <w:szCs w:val="24"/>
          <w:lang w:val="en-US" w:eastAsia="zh-CN"/>
        </w:rPr>
        <w:t>（六）可视化及报表展示模块：构建甘特图展示、停电综合查询、多维统计分析、报表生成等功能；支持最终计划一键推送至省地一体化OMS；在OMS值班台实现计划执行、进度监控、完工回报等闭环操作。</w:t>
      </w:r>
    </w:p>
    <w:p w14:paraId="445F3177">
      <w:pPr>
        <w:spacing w:line="360" w:lineRule="auto"/>
        <w:ind w:firstLine="480"/>
        <w:rPr>
          <w:rFonts w:hint="eastAsia" w:ascii="宋体" w:hAnsi="宋体" w:cs="宋体"/>
          <w:sz w:val="24"/>
          <w:szCs w:val="24"/>
          <w:lang w:val="en-US" w:eastAsia="zh-CN"/>
        </w:rPr>
      </w:pPr>
      <w:r>
        <w:rPr>
          <w:rFonts w:hint="eastAsia" w:ascii="宋体" w:hAnsi="宋体" w:cs="宋体"/>
          <w:sz w:val="24"/>
          <w:szCs w:val="24"/>
          <w:lang w:val="en-US" w:eastAsia="zh-CN"/>
        </w:rPr>
        <w:t>【实施地点与环境】</w:t>
      </w:r>
    </w:p>
    <w:p w14:paraId="77C718FB">
      <w:pPr>
        <w:spacing w:line="360" w:lineRule="auto"/>
        <w:ind w:firstLine="480"/>
        <w:rPr>
          <w:rFonts w:hint="eastAsia" w:ascii="宋体" w:hAnsi="宋体" w:eastAsia="宋体" w:cs="宋体"/>
          <w:sz w:val="24"/>
          <w:szCs w:val="24"/>
        </w:rPr>
      </w:pPr>
      <w:r>
        <w:rPr>
          <w:rFonts w:hint="eastAsia" w:ascii="宋体" w:hAnsi="宋体" w:cs="宋体"/>
          <w:sz w:val="24"/>
          <w:szCs w:val="24"/>
          <w:lang w:val="en-US" w:eastAsia="zh-CN"/>
        </w:rPr>
        <w:t>系统部署于国网伊犁伊河供电有限责任公司电力调度控制中心，与现有调度自动化系统处于同一安全区域，遵守电力系统信息安全防护相关规定，符合电力二次系统安全防护方案要求。系统需与省地一体化OMS在安全隔离环境下实现数据交互。</w:t>
      </w:r>
    </w:p>
    <w:p w14:paraId="56245566">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7A2ABDD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本项目建设遵循国家、行业及国家电网公司相关标准规范，主要建设依据如下：</w:t>
      </w:r>
    </w:p>
    <w:p w14:paraId="19AC79C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【国家法规与政策】</w:t>
      </w:r>
    </w:p>
    <w:p w14:paraId="46A0AA7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（1）《中华人民共和国电力法》及配套法规</w:t>
      </w:r>
    </w:p>
    <w:p w14:paraId="5763339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（2）《电力安全生产监督管理办法》（国家能源局令第21号）</w:t>
      </w:r>
    </w:p>
    <w:p w14:paraId="68551CE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（3）国家数字化转型发展战略相关政策文件</w:t>
      </w:r>
    </w:p>
    <w:p w14:paraId="6034550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【行业技术标准】</w:t>
      </w:r>
    </w:p>
    <w:p w14:paraId="02C3E46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（1）DL/T 1071-2022《电力系统调度自动化系统功能规范》</w:t>
      </w:r>
    </w:p>
    <w:p w14:paraId="3BCC177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（2）DL/T 548-2012《电力系统通信站过电压防护规程》</w:t>
      </w:r>
    </w:p>
    <w:p w14:paraId="5FC3B42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（3）DL/T 5003-2017《电力系统调度自动化设计规程》</w:t>
      </w:r>
    </w:p>
    <w:p w14:paraId="559E0BF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（4）GB/T 22239-2019《信息安全技术 网络安全等级保护基本要求》</w:t>
      </w:r>
    </w:p>
    <w:p w14:paraId="69FDBA8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（5）GB/T 25070-2019《信息安全技术 网络安全等级保护安全设计技术要求》</w:t>
      </w:r>
    </w:p>
    <w:p w14:paraId="207580A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（6）IEC 61968/61970 CIM（公共信息模型）电网模型标准</w:t>
      </w:r>
    </w:p>
    <w:p w14:paraId="78D9B0D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（7）IEC 61850 变电站通信网络和系统标准</w:t>
      </w:r>
    </w:p>
    <w:p w14:paraId="6D1605C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【国家电网公司企业标准与规范】</w:t>
      </w:r>
    </w:p>
    <w:p w14:paraId="342D7AE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（1）国家电网公司《电力系统技术导则》（Q/GDW 10131）</w:t>
      </w:r>
    </w:p>
    <w:p w14:paraId="1A2B2A8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（2）国家电网公司《调度控制中心运行管理规定》</w:t>
      </w:r>
    </w:p>
    <w:p w14:paraId="1E2EA24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（3）国家电网公司《电网设备检修管理规定》</w:t>
      </w:r>
    </w:p>
    <w:p w14:paraId="1BA6381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（4）国家电网公司《电力二次系统安全防护规定》（国家电网安全〔2006〕323号）</w:t>
      </w:r>
    </w:p>
    <w:p w14:paraId="3B5AEB7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（5）国家电网公司数字化转型相关企业标准</w:t>
      </w:r>
    </w:p>
    <w:p w14:paraId="34EFAD6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（6）国家电网公司《生产管理系统（PMS）功能规范》</w:t>
      </w:r>
    </w:p>
    <w:p w14:paraId="1887B39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（7）国家电网公司《调度运行管理系统（OMS）接口规范》</w:t>
      </w:r>
    </w:p>
    <w:p w14:paraId="7EB433B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【项目专项依据】</w:t>
      </w:r>
    </w:p>
    <w:p w14:paraId="2528B37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（1）国网伊犁伊河供电有限责任公司智能检修计划平衡辅助决策应用建设项目技术规范书（2026年）</w:t>
      </w:r>
    </w:p>
    <w:p w14:paraId="673C2FB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（2）国网伊犁伊河供电有限责任公司年度信息化建设规划</w:t>
      </w:r>
    </w:p>
    <w:p w14:paraId="218B74C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sz w:val="24"/>
          <w:lang w:val="en-US" w:eastAsia="zh-CN"/>
        </w:rPr>
      </w:pPr>
      <w:r>
        <w:rPr>
          <w:rFonts w:hint="eastAsia" w:ascii="宋体" w:hAnsi="宋体"/>
          <w:sz w:val="24"/>
          <w:lang w:val="en-US" w:eastAsia="zh-CN"/>
        </w:rPr>
        <w:t>（3）甲乙双方签订的项目合同及技术协议（合同签订后生效）</w:t>
      </w:r>
    </w:p>
    <w:p w14:paraId="78768EC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rFonts w:hint="eastAsia" w:ascii="宋体" w:hAnsi="宋体"/>
          <w:sz w:val="24"/>
          <w:lang w:val="en-US" w:eastAsia="zh-CN"/>
        </w:rPr>
        <w:t>（4）项目需求调研报告及系统设计文档（项目实施过程中形成）</w:t>
      </w:r>
    </w:p>
    <w:p w14:paraId="47A67792">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cs="宋体"/>
          <w:b/>
          <w:color w:val="000000" w:themeColor="text1"/>
          <w:sz w:val="24"/>
          <w:szCs w:val="28"/>
          <w:highlight w:val="none"/>
          <w:lang w:val="en-US" w:eastAsia="zh-CN"/>
          <w14:textFill>
            <w14:solidFill>
              <w14:schemeClr w14:val="tx1"/>
            </w14:solidFill>
          </w14:textFill>
        </w:rPr>
        <w:t>项目服务目标</w:t>
      </w:r>
    </w:p>
    <w:p w14:paraId="3A144B6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本项目服务目标是为国网伊犁伊河供电有限责任公司提供高质量、高可靠性的智能检修计划平衡辅助决策应用系统，实现以下具体服务目标：</w:t>
      </w:r>
    </w:p>
    <w:p w14:paraId="5B37CF1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【功能服务目标】</w:t>
      </w:r>
    </w:p>
    <w:p w14:paraId="42D8694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（1）数据集成目标：实现与PMS、OMS等业务系统的稳定数据对接，数据接入完整率≥98%，数据更新时效性满足业务要求，关键数据（设备台账、检修记录、缺陷信息）的准确率≥99%。</w:t>
      </w:r>
    </w:p>
    <w:p w14:paraId="6B95E7B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2）计划编制效率目标：通过待检修设备池和智能编排功能，将月度检修计划初稿编制时间由现有人工模式（通常需要1-2天）缩短至2小时以内，周度及日前计划编制时间缩短至30分钟以内，计划编制效率提升80%以上。</w:t>
      </w:r>
    </w:p>
    <w:p w14:paraId="66AFD50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（3）约束规则覆盖目标：约束规则专家库涵盖不少于8类一级约束条件及其细化子规则，规则覆盖率达到现有人工审核约束条件的90%以上，实现计划自动约束检验准确率≥95%。</w:t>
      </w:r>
    </w:p>
    <w:p w14:paraId="0BABDF6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（4）计划平衡质量目标：系统自动平衡生成的检修计划，在满足全部约束条件的前提下，停电损失负荷总量较人工编制方案降低10%以上，检修工作量月度分布均衡度（标准差）改善15%以上。</w:t>
      </w:r>
    </w:p>
    <w:p w14:paraId="2CFF024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（5）OMS集成目标：实现与省地一体化OMS系统的稳定双向数据交互，数据推送成功率≥99.9%，支持在OMS值班台完成检修计划执行、进度监控、完工回报全闭环操作，无需重复录入数据。</w:t>
      </w:r>
    </w:p>
    <w:p w14:paraId="7C70D7D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【系统性能与可靠性目标】</w:t>
      </w:r>
    </w:p>
    <w:p w14:paraId="189813D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（1）系统可用性：系统年可用率≥99.5%，计划内停机维护时间不超过年度总时长的0.3%。</w:t>
      </w:r>
    </w:p>
    <w:p w14:paraId="508E458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（2）响应速度：普通查询操作响应时间≤3秒；计划平衡算法对100项以内检修任务的优化时间≤5分钟；报表生成时间≤30秒。</w:t>
      </w:r>
    </w:p>
    <w:p w14:paraId="1A65E8E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（3）并发能力：系统支持不少于50个用户同时在线操作，关键业务功能在高并发场景下性能不显著下降。</w:t>
      </w:r>
    </w:p>
    <w:p w14:paraId="6369855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（4）数据安全：系统满足电力二次系统安全防护要求，符合国家网络安全等级保护三级（或以上）基本要求，数据传输全程加密，敏感数据访问严格权限管控，系统日志完整保存，支持安全审计。</w:t>
      </w:r>
    </w:p>
    <w:p w14:paraId="394EBF8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【技术服务目标】</w:t>
      </w:r>
    </w:p>
    <w:p w14:paraId="35E5852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（1）响应时效：系统运行期间，一般故障在4小时内响应并给出解决方案，24小时内完成修复；重大故障（影响核心业务）在2小时内响应，8小时内完成修复。</w:t>
      </w:r>
    </w:p>
    <w:p w14:paraId="4D110A0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（2）培训保障：提供不少于2次系统使用培训，覆盖系统管理员、业务操作员等各类角色，培训后用户满意度≥90%。</w:t>
      </w:r>
    </w:p>
    <w:p w14:paraId="1722B56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（3）文档完整性：按时提供完整的技术文档，包括需求规格书、设计文档、部署手册、操作手册、运维手册等，文档内容准确、规范、易于理解</w:t>
      </w: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w:t>
      </w:r>
    </w:p>
    <w:p w14:paraId="1A7AF73C">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cs="宋体"/>
          <w:b/>
          <w:color w:val="000000" w:themeColor="text1"/>
          <w:sz w:val="24"/>
          <w:szCs w:val="28"/>
          <w:highlight w:val="none"/>
          <w:lang w:val="en-US" w:eastAsia="zh-CN"/>
          <w14:textFill>
            <w14:solidFill>
              <w14:schemeClr w14:val="tx1"/>
            </w14:solidFill>
          </w14:textFill>
        </w:rPr>
        <w:t>项目服务</w:t>
      </w:r>
      <w:r>
        <w:rPr>
          <w:rFonts w:hint="eastAsia" w:ascii="宋体" w:hAnsi="宋体" w:eastAsia="宋体" w:cs="宋体"/>
          <w:b/>
          <w:color w:val="000000" w:themeColor="text1"/>
          <w:sz w:val="24"/>
          <w:szCs w:val="28"/>
          <w:highlight w:val="none"/>
          <w:lang w:val="en-US" w:eastAsia="zh-CN"/>
          <w14:textFill>
            <w14:solidFill>
              <w14:schemeClr w14:val="tx1"/>
            </w14:solidFill>
          </w14:textFill>
        </w:rPr>
        <w:t>内容</w:t>
      </w:r>
      <w:bookmarkEnd w:id="6"/>
    </w:p>
    <w:p w14:paraId="197C61C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本项目服务内容涵盖系统建设全生命周期的技术服务，具体包括以下方面：</w:t>
      </w:r>
    </w:p>
    <w:p w14:paraId="2876040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【一、系统开发服务】</w:t>
      </w:r>
    </w:p>
    <w:p w14:paraId="53583B4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（一）基础数据管理模块开发</w:t>
      </w:r>
    </w:p>
    <w:p w14:paraId="4ED593A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开发数据接入适配器，实现与PMS系统（设备台账、定检信息）、OMS系统（已批复计划数据、待执行计划信息）、GIS系统（设备图模）等的标准化数据接口对接。开发数据清洗与校验引擎，处理不良数据、数据缺失等问题。开发基于设备名称的匹配映射算法，实现跨系统同设备数据的整合融合，形成统一的检修计划数据底座。提供数据管理界面，支持数据查询、手动修正、导入导出等操作。</w:t>
      </w:r>
    </w:p>
    <w:p w14:paraId="0558FCE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（二）待检修设备池模块开发</w:t>
      </w:r>
    </w:p>
    <w:p w14:paraId="38A458F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开发待检修设备池管理功能，实现多专业（继保、检修、运行、高试）设备的归集与分类存储管理。开发基于设备名称的跨专业映射管理机制，确保同一设备的多专业检修需求统一归集。提供设备池查询、筛选、统计功能。开发一键式检修计划生成功能，基于待检修设备池自动生成检修计划草案，与OMS侧检修任务数据保持同步。</w:t>
      </w:r>
    </w:p>
    <w:p w14:paraId="162FDD7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（三）约束规则专家库模块开发</w:t>
      </w:r>
    </w:p>
    <w:p w14:paraId="70FF4CA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开发规则引擎框架，支持结构化约束规则的定义、存储与执行。建立覆盖不能同停、重复停电、恶劣天气、节假日、可停时段、必须同停、重要设备、检修工期等8类约束规则的初始规则库。开发规则管理界面，支持规则的创建、修改、启用/禁用、版本管理。提供规则测试与模拟验证功能。实现与OMS现有业务流程约束的兼容协同。</w:t>
      </w:r>
    </w:p>
    <w:p w14:paraId="4F1F84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（四）停电计划申报与审批模块开发</w:t>
      </w:r>
    </w:p>
    <w:p w14:paraId="04EB703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开发支持年度、月度、周度、日前四级停电计划的线上申报功能，提供关联待检修设备智能填报、设备选择器维护、手工维护三种申报入口。开发计划跨层级关联功能，支持年度计划分解、上级已发布计划关联新增。开发OMS计划导入功能，支持从省地一体化OMS导入已初步编排或预发的计划。开发在线审批工作流，实现计划提交、审核、退回、重编、发布全流程管控。开发向OMS同步推送已批复计划的接口。</w:t>
      </w:r>
    </w:p>
    <w:p w14:paraId="3C9BDAF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（五）停电计划自主平衡模块开发</w:t>
      </w:r>
    </w:p>
    <w:p w14:paraId="4D6D11C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开发多约束条件下的停电计划自动平衡算法，综合处理同时检修约束、互斥检修约束、工期约束等，以停电损失负荷最少和工作量分布最合理为优化目标。开发约束冲突检测与提醒功能，在审批过程中实时提示约束违反情况。确保新编计划与OMS在运计划的一体化协同平衡，无冲突。开发临时年度计划处理功能，支持临时计划经自动编排后导入相应计划列表。</w:t>
      </w:r>
    </w:p>
    <w:p w14:paraId="1D59385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（六）可视化及报表展示模块开发</w:t>
      </w:r>
    </w:p>
    <w:p w14:paraId="145E793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开发停电计划甘特图展示功能，支持按时间轴、按变电站、按设备类型等多维度展示。开发停电综合查询功能，支持多条件组合检索。开发多维统计分析功能，提供检修计划统计图表、停电损失负荷分析等。开发报表应用功能，支持标准报表和自定义报表的生成、导出（Excel、PDF）。开发最终计划一键推送至OMS功能。实现在OMS值班台的计划执行、进度监控、完工回报闭环操作接口。</w:t>
      </w:r>
    </w:p>
    <w:p w14:paraId="6D8A2FF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【二、系统集成与部署服务】</w:t>
      </w:r>
    </w:p>
    <w:p w14:paraId="5F6643D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提供系统在生产环境的完整部署服务，包括服务器环境配置、数据库安装配置、应用程序部署、系统参数初始化、数据迁移导入等。完成与省地一体化OMS及相关业务系统的集成联调，验证数据交互的正确性和稳定性。提供系统部署文档和配置手册。</w:t>
      </w:r>
    </w:p>
    <w:p w14:paraId="2F67BF7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【三、测试与质量保证服务】</w:t>
      </w:r>
    </w:p>
    <w:p w14:paraId="2C175F1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编制详细的测试方案，涵盖单元测试、集成测试、系统测试、性能测试、安全测试。按照甲方确认的验收测试大纲开展正式验收测试，形成验收测试报告。对测试发现的问题进行快速修复和回归验证，确保交付质量。</w:t>
      </w:r>
    </w:p>
    <w:p w14:paraId="34AFA7D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【四、培训服务】</w:t>
      </w:r>
    </w:p>
    <w:p w14:paraId="2F9CFF8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提供不少于两次系统培训：系统上线前开展管理员培训（系统配置、运维操作）和用户培训（业务操作）；试运行期间提供现场陪同指导。提供配套操作手册和视频教程。</w:t>
      </w:r>
    </w:p>
    <w:p w14:paraId="68DDDC2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cs="宋体"/>
          <w:b w:val="0"/>
          <w:bCs/>
          <w:color w:val="000000" w:themeColor="text1"/>
          <w:sz w:val="24"/>
          <w:szCs w:val="28"/>
          <w:highlight w:val="none"/>
          <w:lang w:val="en-US" w:eastAsia="zh-CN"/>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【五、运维保障服务】</w:t>
      </w:r>
    </w:p>
    <w:p w14:paraId="0B20FF3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r>
        <w:rPr>
          <w:rFonts w:hint="eastAsia" w:ascii="宋体" w:hAnsi="宋体" w:cs="宋体"/>
          <w:b w:val="0"/>
          <w:bCs/>
          <w:color w:val="000000" w:themeColor="text1"/>
          <w:sz w:val="24"/>
          <w:szCs w:val="28"/>
          <w:highlight w:val="none"/>
          <w:lang w:val="en-US" w:eastAsia="zh-CN"/>
          <w14:textFill>
            <w14:solidFill>
              <w14:schemeClr w14:val="tx1"/>
            </w14:solidFill>
          </w14:textFill>
        </w:rPr>
        <w:t>项目验收后提供不少于12个月的免费运维保障期。保障期内提供7×24小时技术支持热线，响应时效满足第七章项目服务目标要求。对系统运行中发现的缺陷和问题，免费进行修复和优化。提供定期系统巡检服务，出具巡检报告。</w:t>
      </w:r>
    </w:p>
    <w:p w14:paraId="251B76F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7" w:name="_Toc7184"/>
      <w:r>
        <w:rPr>
          <w:rFonts w:hint="eastAsia" w:ascii="宋体" w:hAnsi="宋体" w:eastAsia="宋体" w:cs="宋体"/>
          <w:b/>
          <w:color w:val="000000" w:themeColor="text1"/>
          <w:sz w:val="24"/>
          <w:szCs w:val="28"/>
          <w:highlight w:val="none"/>
          <w:lang w:val="en-US" w:eastAsia="zh-CN"/>
          <w14:textFill>
            <w14:solidFill>
              <w14:schemeClr w14:val="tx1"/>
            </w14:solidFill>
          </w14:textFill>
        </w:rPr>
        <w:t>工作计划</w:t>
      </w:r>
      <w:bookmarkEnd w:id="7"/>
      <w:r>
        <w:rPr>
          <w:rFonts w:hint="eastAsia" w:ascii="宋体" w:hAnsi="宋体" w:cs="宋体"/>
          <w:b/>
          <w:color w:val="000000" w:themeColor="text1"/>
          <w:sz w:val="24"/>
          <w:szCs w:val="28"/>
          <w:highlight w:val="none"/>
          <w:lang w:val="en-US" w:eastAsia="zh-CN"/>
          <w14:textFill>
            <w14:solidFill>
              <w14:schemeClr w14:val="tx1"/>
            </w14:solidFill>
          </w14:textFill>
        </w:rPr>
        <w:t>安排</w:t>
      </w:r>
    </w:p>
    <w:p w14:paraId="7E05550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根据本项目的建设规模和技术复杂度，结合我方类似项目的实施经验，制定如下详细工作计划安排，总体实施周期为24周（约6个月）。</w:t>
      </w:r>
    </w:p>
    <w:p w14:paraId="4A6D80F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【第一阶段：项目启动与需求调研（第1-4周）】</w:t>
      </w:r>
    </w:p>
    <w:p w14:paraId="17FA292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第1周：项目正式启动，组建项目团队，召开项目启动会，明确项目目标、实施计划、沟通机制和交付标准，签署保密协议及安全协议。完成项目管理工具部署，建立项目文档管理体系。</w:t>
      </w:r>
    </w:p>
    <w:p w14:paraId="6BF38E7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第2-3周：开展系统需求调研。深入一线调度、运维、检修等岗位进行需求访谈，收集现有检修计划管理流程文档，梳理各业务系统（PMS、OMS、GIS）现有接口和数据格式，整理约束规则清单，收集现有报表样式。</w:t>
      </w:r>
    </w:p>
    <w:p w14:paraId="7F6EA36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第4周：完成《需求规格说明书》编制，提交甲方评审确认。完成系统技术架构设计，确定技术选型（数据库、中间件、前端框架、算法库），制定详细的接口设计方案，完成《系统概要设计说明书》。</w:t>
      </w:r>
    </w:p>
    <w:p w14:paraId="1A652DA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【第二阶段：系统详细设计与编码开发（第5-16周）】</w:t>
      </w:r>
    </w:p>
    <w:p w14:paraId="42A28AA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第5周：完成系统详细设计，包括数据库设计、模块接口设计、UI原型设计，提交甲方确认后进入编码阶段。</w:t>
      </w:r>
    </w:p>
    <w:p w14:paraId="2BF8273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6-8周（第一批次开发）：完成基础数据管理模块开发，包括数据接入适配器开发、数据清洗校验引擎开发、设备名称匹配映射算法开发；完成待检修设备池模块开发，包括多专业设备归集管理功能、一键式计划生成功能。</w:t>
      </w:r>
    </w:p>
    <w:p w14:paraId="646706D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9-12周（第二批次开发）：完成约束规则专家库模块开发，包括规则引擎框架、初始规则库建立、规则管理界面；完成停电计划申报与审批模块开发，包括四级计划线上申报、跨层级关联、审批工作流、OMS接口开发。</w:t>
      </w:r>
    </w:p>
    <w:p w14:paraId="6E7B354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13-15周（第三批次开发）：完成停电计划自主平衡模块开发，包括多约束优化算法开发与调优、约束冲突检测功能；完成可视化及报表展示模块开发，包括甘特图、综合查询、统计分析、报表应用，完成OMS一键推送接口。</w:t>
      </w:r>
    </w:p>
    <w:p w14:paraId="22492CB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第16周：完成全系统集成联调，开展内部测试，修复发现的问题和缺陷，进行性能优化。</w:t>
      </w:r>
    </w:p>
    <w:p w14:paraId="3C1E327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【第三阶段：系统部署与测试验收（第17-21周）】</w:t>
      </w:r>
    </w:p>
    <w:p w14:paraId="65D1F55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第17-18周：完成生产环境部署，包括服务器环境配置、系统安装、数据初始化；完成与省地一体化OMS的生产环境集成联调，验证接口稳定性。</w:t>
      </w:r>
    </w:p>
    <w:p w14:paraId="3689A59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第19-20周：开展用户培训（管理员培训+操作用户培训），系统进入试运行阶段，支持真实业务场景下的全流程验证，快速处理试运行期间发现的问题。</w:t>
      </w:r>
    </w:p>
    <w:p w14:paraId="5A107AB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第21周：按照甲方确认的验收测试大纲，组织正式验收测试，形成《验收测试报告》，提交甲方审核，双方代表签字确认。</w:t>
      </w:r>
    </w:p>
    <w:p w14:paraId="0F238F4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【第四阶段：项目收尾与交付（第22-24周）】</w:t>
      </w:r>
    </w:p>
    <w:p w14:paraId="1A2FB05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第22-23周：整理并提交全套交付文档（需求规格书、设计文档、部署手册、操作手册、运维手册）；完成系统源代码及配置文件的归档移交。</w:t>
      </w:r>
    </w:p>
    <w:p w14:paraId="1E7AFD2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第24周：召开项目总结会，双方对项目实施成果进行全面回顾，确认遗留问题处理计划，正式移交运维支持工作，项目进入运维保障阶段。</w:t>
      </w:r>
    </w:p>
    <w:p w14:paraId="4CCDE1F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【运维保障阶段（验收后12个月）】</w:t>
      </w:r>
    </w:p>
    <w:p w14:paraId="7E5FC02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rFonts w:hint="eastAsia" w:ascii="宋体" w:hAnsi="宋体" w:eastAsia="宋体" w:cs="宋体"/>
          <w:sz w:val="24"/>
          <w:szCs w:val="24"/>
          <w:lang w:val="en-US" w:eastAsia="zh-CN"/>
        </w:rPr>
        <w:t>建立7×24小时技术支持响应机制，提供热线和远程支持。定期（每季度）开展系统健康巡检，出具巡检报告。对系统运行中发现的缺陷免费修复，提供系统优化迭代服务</w:t>
      </w:r>
    </w:p>
    <w:p w14:paraId="6FE94F16">
      <w:pPr>
        <w:spacing w:line="360" w:lineRule="auto"/>
        <w:ind w:firstLine="480"/>
        <w:rPr>
          <w:rFonts w:hint="eastAsia" w:ascii="宋体" w:hAnsi="宋体" w:eastAsia="宋体" w:cs="宋体"/>
          <w:b/>
          <w:color w:val="000000" w:themeColor="text1"/>
          <w:sz w:val="24"/>
          <w:szCs w:val="24"/>
          <w:highlight w:val="none"/>
          <w:lang w:val="en-US" w:eastAsia="zh-CN"/>
          <w14:textFill>
            <w14:solidFill>
              <w14:schemeClr w14:val="tx1"/>
            </w14:solidFill>
          </w14:textFill>
        </w:rPr>
      </w:pPr>
      <w:bookmarkStart w:id="8" w:name="_GoBack"/>
      <w:bookmarkEnd w:id="8"/>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4D"/>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AA7249">
    <w:pPr>
      <w:spacing w:line="179" w:lineRule="auto"/>
      <w:jc w:val="right"/>
      <w:rPr>
        <w:rFonts w:ascii="Cambria" w:hAnsi="Cambria" w:eastAsia="Cambria" w:cs="Cambria"/>
        <w:sz w:val="15"/>
        <w:szCs w:val="15"/>
      </w:rPr>
    </w:pPr>
    <w:r>
      <w:rPr>
        <w:rFonts w:ascii="Cambria" w:hAnsi="Cambria" w:eastAsia="Cambria" w:cs="Cambria"/>
        <w:color w:val="78716C"/>
        <w:spacing w:val="-9"/>
        <w:sz w:val="15"/>
        <w:szCs w:val="15"/>
      </w:rPr>
      <w:t>19</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742891"/>
    <w:multiLevelType w:val="singleLevel"/>
    <w:tmpl w:val="12742891"/>
    <w:lvl w:ilvl="0" w:tentative="0">
      <w:start w:val="1"/>
      <w:numFmt w:val="bullet"/>
      <w:pStyle w:val="8"/>
      <w:lvlText w:val=""/>
      <w:lvlJc w:val="left"/>
      <w:pPr>
        <w:tabs>
          <w:tab w:val="left" w:pos="360"/>
        </w:tabs>
        <w:ind w:left="360" w:hanging="360"/>
      </w:pPr>
      <w:rPr>
        <w:rFonts w:hint="default" w:ascii="Wingdings" w:hAnsi="Wingdings"/>
      </w:rPr>
    </w:lvl>
  </w:abstractNum>
  <w:abstractNum w:abstractNumId="1">
    <w:nsid w:val="1AF18828"/>
    <w:multiLevelType w:val="multilevel"/>
    <w:tmpl w:val="1AF18828"/>
    <w:lvl w:ilvl="0" w:tentative="0">
      <w:start w:val="2"/>
      <w:numFmt w:val="chineseCounting"/>
      <w:suff w:val="nothing"/>
      <w:lvlText w:val="第%1章 "/>
      <w:lvlJc w:val="left"/>
      <w:pPr>
        <w:tabs>
          <w:tab w:val="left" w:pos="420"/>
        </w:tabs>
        <w:ind w:left="432" w:hanging="432"/>
      </w:pPr>
      <w:rPr>
        <w:rFonts w:hint="eastAsia"/>
      </w:rPr>
    </w:lvl>
    <w:lvl w:ilvl="1" w:tentative="0">
      <w:start w:val="1"/>
      <w:numFmt w:val="decimal"/>
      <w:isLgl/>
      <w:lvlText w:val="%1.%2."/>
      <w:lvlJc w:val="left"/>
      <w:pPr>
        <w:ind w:left="575" w:hanging="575"/>
      </w:pPr>
      <w:rPr>
        <w:rFonts w:hint="eastAsia"/>
      </w:rPr>
    </w:lvl>
    <w:lvl w:ilvl="2" w:tentative="0">
      <w:start w:val="1"/>
      <w:numFmt w:val="decimal"/>
      <w:pStyle w:val="3"/>
      <w:isLgl/>
      <w:lvlText w:val="%1.%2.%3."/>
      <w:lvlJc w:val="left"/>
      <w:pPr>
        <w:ind w:left="720" w:hanging="720"/>
      </w:pPr>
      <w:rPr>
        <w:rFonts w:hint="eastAsia"/>
      </w:rPr>
    </w:lvl>
    <w:lvl w:ilvl="3" w:tentative="0">
      <w:start w:val="1"/>
      <w:numFmt w:val="decimal"/>
      <w:pStyle w:val="4"/>
      <w:isLgl/>
      <w:lvlText w:val="%1.%2.%3.%4."/>
      <w:lvlJc w:val="left"/>
      <w:pPr>
        <w:ind w:left="864" w:hanging="864"/>
      </w:pPr>
      <w:rPr>
        <w:rFonts w:hint="eastAsia"/>
      </w:rPr>
    </w:lvl>
    <w:lvl w:ilvl="4" w:tentative="0">
      <w:start w:val="1"/>
      <w:numFmt w:val="decimal"/>
      <w:pStyle w:val="5"/>
      <w:isLgl/>
      <w:lvlText w:val="%1.%2.%3.%4.%5."/>
      <w:lvlJc w:val="left"/>
      <w:pPr>
        <w:ind w:left="1008" w:hanging="1008"/>
      </w:pPr>
      <w:rPr>
        <w:rFonts w:hint="eastAsia"/>
      </w:rPr>
    </w:lvl>
    <w:lvl w:ilvl="5" w:tentative="0">
      <w:start w:val="1"/>
      <w:numFmt w:val="decimal"/>
      <w:pStyle w:val="6"/>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2">
    <w:nsid w:val="6FAE0467"/>
    <w:multiLevelType w:val="multilevel"/>
    <w:tmpl w:val="6FAE0467"/>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C37CE5"/>
    <w:rsid w:val="0DC022DF"/>
    <w:rsid w:val="109F5990"/>
    <w:rsid w:val="12C37CE5"/>
    <w:rsid w:val="14A746EE"/>
    <w:rsid w:val="26867BB6"/>
    <w:rsid w:val="34D912C1"/>
    <w:rsid w:val="4468252C"/>
    <w:rsid w:val="5F0A527B"/>
    <w:rsid w:val="65C14135"/>
    <w:rsid w:val="6735670F"/>
    <w:rsid w:val="716316E4"/>
    <w:rsid w:val="735344A6"/>
    <w:rsid w:val="774C1A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qFormat="1"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2"/>
    <w:basedOn w:val="1"/>
    <w:next w:val="1"/>
    <w:unhideWhenUsed/>
    <w:qFormat/>
    <w:uiPriority w:val="0"/>
    <w:pPr>
      <w:keepNext/>
      <w:tabs>
        <w:tab w:val="left" w:pos="284"/>
        <w:tab w:val="left" w:pos="420"/>
        <w:tab w:val="left" w:pos="851"/>
      </w:tabs>
      <w:overflowPunct w:val="0"/>
      <w:adjustRightInd w:val="0"/>
      <w:outlineLvl w:val="1"/>
    </w:pPr>
    <w:rPr>
      <w:rFonts w:ascii="宋体" w:hAnsi="宋体" w:cs="宋体"/>
      <w:szCs w:val="20"/>
    </w:rPr>
  </w:style>
  <w:style w:type="paragraph" w:styleId="3">
    <w:name w:val="heading 3"/>
    <w:basedOn w:val="1"/>
    <w:next w:val="1"/>
    <w:unhideWhenUsed/>
    <w:qFormat/>
    <w:uiPriority w:val="0"/>
    <w:pPr>
      <w:numPr>
        <w:ilvl w:val="2"/>
        <w:numId w:val="1"/>
      </w:numPr>
      <w:tabs>
        <w:tab w:val="left" w:pos="420"/>
      </w:tabs>
      <w:ind w:hanging="720" w:firstLineChars="0"/>
      <w:outlineLvl w:val="2"/>
    </w:pPr>
    <w:rPr>
      <w:rFonts w:ascii="楷体" w:hAnsi="楷体"/>
      <w:szCs w:val="28"/>
    </w:rPr>
  </w:style>
  <w:style w:type="paragraph" w:styleId="4">
    <w:name w:val="heading 4"/>
    <w:basedOn w:val="1"/>
    <w:next w:val="1"/>
    <w:unhideWhenUsed/>
    <w:qFormat/>
    <w:uiPriority w:val="0"/>
    <w:pPr>
      <w:keepLines/>
      <w:numPr>
        <w:ilvl w:val="3"/>
        <w:numId w:val="1"/>
      </w:numPr>
      <w:tabs>
        <w:tab w:val="left" w:pos="420"/>
      </w:tabs>
      <w:ind w:hanging="864" w:firstLineChars="0"/>
      <w:outlineLvl w:val="3"/>
    </w:pPr>
    <w:rPr>
      <w:bCs/>
    </w:rPr>
  </w:style>
  <w:style w:type="paragraph" w:styleId="5">
    <w:name w:val="heading 5"/>
    <w:basedOn w:val="1"/>
    <w:next w:val="1"/>
    <w:unhideWhenUsed/>
    <w:qFormat/>
    <w:uiPriority w:val="0"/>
    <w:pPr>
      <w:numPr>
        <w:ilvl w:val="4"/>
        <w:numId w:val="1"/>
      </w:numPr>
      <w:tabs>
        <w:tab w:val="left" w:pos="420"/>
      </w:tabs>
      <w:ind w:hanging="1008" w:firstLineChars="0"/>
      <w:outlineLvl w:val="4"/>
    </w:pPr>
  </w:style>
  <w:style w:type="paragraph" w:styleId="6">
    <w:name w:val="heading 6"/>
    <w:basedOn w:val="1"/>
    <w:next w:val="1"/>
    <w:unhideWhenUsed/>
    <w:qFormat/>
    <w:uiPriority w:val="0"/>
    <w:pPr>
      <w:numPr>
        <w:ilvl w:val="5"/>
        <w:numId w:val="1"/>
      </w:numPr>
      <w:tabs>
        <w:tab w:val="left" w:pos="420"/>
      </w:tabs>
      <w:ind w:hanging="1151" w:firstLineChars="0"/>
      <w:jc w:val="left"/>
      <w:outlineLvl w:val="5"/>
    </w:pPr>
    <w:rPr>
      <w:rFonts w:ascii="Arial" w:hAnsi="Arial"/>
    </w:rPr>
  </w:style>
  <w:style w:type="character" w:default="1" w:styleId="17">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7">
    <w:name w:val="Normal Indent"/>
    <w:basedOn w:val="1"/>
    <w:qFormat/>
    <w:uiPriority w:val="0"/>
    <w:pPr>
      <w:ind w:firstLine="420"/>
    </w:pPr>
    <w:rPr>
      <w:rFonts w:ascii="Times New Roman" w:hAnsi="Times New Roman"/>
      <w:szCs w:val="24"/>
    </w:rPr>
  </w:style>
  <w:style w:type="paragraph" w:styleId="8">
    <w:name w:val="List Bullet"/>
    <w:basedOn w:val="1"/>
    <w:qFormat/>
    <w:uiPriority w:val="0"/>
    <w:pPr>
      <w:numPr>
        <w:ilvl w:val="0"/>
        <w:numId w:val="2"/>
      </w:numPr>
    </w:pPr>
  </w:style>
  <w:style w:type="paragraph" w:styleId="9">
    <w:name w:val="Body Text"/>
    <w:basedOn w:val="1"/>
    <w:semiHidden/>
    <w:qFormat/>
    <w:uiPriority w:val="0"/>
    <w:rPr>
      <w:rFonts w:ascii="微软雅黑" w:hAnsi="微软雅黑" w:eastAsia="微软雅黑" w:cs="微软雅黑"/>
      <w:sz w:val="19"/>
      <w:szCs w:val="19"/>
      <w:lang w:val="en-US" w:eastAsia="en-US" w:bidi="ar-SA"/>
    </w:rPr>
  </w:style>
  <w:style w:type="paragraph" w:styleId="10">
    <w:name w:val="Body Text Indent"/>
    <w:basedOn w:val="1"/>
    <w:unhideWhenUsed/>
    <w:qFormat/>
    <w:uiPriority w:val="0"/>
    <w:pPr>
      <w:spacing w:after="120"/>
      <w:ind w:left="420" w:leftChars="200"/>
    </w:pPr>
  </w:style>
  <w:style w:type="paragraph" w:styleId="11">
    <w:name w:val="envelope return"/>
    <w:basedOn w:val="1"/>
    <w:qFormat/>
    <w:uiPriority w:val="0"/>
    <w:rPr>
      <w:rFonts w:ascii="Arial" w:hAnsi="Arial"/>
    </w:rPr>
  </w:style>
  <w:style w:type="paragraph" w:styleId="12">
    <w:name w:val="List"/>
    <w:basedOn w:val="1"/>
    <w:qFormat/>
    <w:uiPriority w:val="0"/>
    <w:pPr>
      <w:ind w:left="200" w:hanging="200" w:hangingChars="200"/>
      <w:contextualSpacing/>
    </w:pPr>
  </w:style>
  <w:style w:type="paragraph" w:styleId="13">
    <w:name w:val="Body Text First Indent 2"/>
    <w:basedOn w:val="10"/>
    <w:next w:val="14"/>
    <w:qFormat/>
    <w:uiPriority w:val="0"/>
    <w:pPr>
      <w:ind w:left="0" w:leftChars="0" w:firstLine="420"/>
    </w:pPr>
  </w:style>
  <w:style w:type="paragraph" w:customStyle="1" w:styleId="14">
    <w:name w:val="表格文字"/>
    <w:basedOn w:val="12"/>
    <w:next w:val="1"/>
    <w:qFormat/>
    <w:uiPriority w:val="0"/>
    <w:pPr>
      <w:ind w:firstLine="0" w:firstLineChars="0"/>
      <w:jc w:val="center"/>
    </w:pPr>
    <w:rPr>
      <w:szCs w:val="20"/>
    </w:rPr>
  </w:style>
  <w:style w:type="table" w:styleId="16">
    <w:name w:val="Table Grid"/>
    <w:basedOn w:val="1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qFormat/>
    <w:uiPriority w:val="0"/>
    <w:rPr>
      <w:b/>
    </w:rPr>
  </w:style>
  <w:style w:type="paragraph" w:styleId="19">
    <w:name w:val="List Paragraph"/>
    <w:basedOn w:val="1"/>
    <w:unhideWhenUsed/>
    <w:qFormat/>
    <w:uiPriority w:val="99"/>
    <w:pPr>
      <w:ind w:firstLine="420"/>
    </w:pPr>
  </w:style>
  <w:style w:type="paragraph" w:customStyle="1" w:styleId="20">
    <w:name w:val="正文字缩1字"/>
    <w:basedOn w:val="1"/>
    <w:qFormat/>
    <w:uiPriority w:val="0"/>
    <w:pPr>
      <w:spacing w:before="60" w:after="60"/>
      <w:ind w:left="100" w:leftChars="100"/>
    </w:pPr>
    <w:rPr>
      <w:rFonts w:ascii="Times New Roman" w:hAnsi="Times New Roman" w:eastAsia="宋体"/>
      <w:szCs w:val="24"/>
    </w:rPr>
  </w:style>
  <w:style w:type="paragraph" w:customStyle="1" w:styleId="21">
    <w:name w:val="Table Text"/>
    <w:basedOn w:val="1"/>
    <w:semiHidden/>
    <w:qFormat/>
    <w:uiPriority w:val="0"/>
    <w:rPr>
      <w:rFonts w:ascii="微软雅黑" w:hAnsi="微软雅黑" w:eastAsia="微软雅黑" w:cs="微软雅黑"/>
      <w:sz w:val="19"/>
      <w:szCs w:val="19"/>
      <w:lang w:val="en-US" w:eastAsia="en-US" w:bidi="ar-SA"/>
    </w:rPr>
  </w:style>
  <w:style w:type="table" w:customStyle="1" w:styleId="22">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15807</Words>
  <Characters>16178</Characters>
  <Lines>0</Lines>
  <Paragraphs>0</Paragraphs>
  <TotalTime>15</TotalTime>
  <ScaleCrop>false</ScaleCrop>
  <LinksUpToDate>false</LinksUpToDate>
  <CharactersWithSpaces>16197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2026-05-06T06:04:00Z</dcterms:created>
  <dc:creator>admin</dc:creator>
  <cp:lastModifiedBy>骚年</cp:lastModifiedBy>
  <dcterms:modified xsi:type="dcterms:W3CDTF">2026-05-12T09:19:57Z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46106507DBA647FAADE5C232631590D1_13</vt:lpwstr>
  </property>
  <property fmtid="{D5CDD505-2E9C-101B-9397-08002B2CF9AE}" pid="4" name="KSOTemplateDocerSaveRecord">
    <vt:lpwstr>eyJoZGlkIjoiNjA2ZDk3ZTc3MzQxM2RlNDMwOGQ0ZWJkOGMzYTI2ZjgiLCJ1c2VySWQiOiIzNzc1MzAxMDgifQ==</vt:lpwstr>
  </property>
</Properties>
</file>