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F38FC">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0" w:name="_Toc5680"/>
      <w:r>
        <w:rPr>
          <w:rFonts w:hint="eastAsia" w:ascii="宋体" w:hAnsi="宋体" w:eastAsia="宋体" w:cs="宋体"/>
          <w:b/>
          <w:color w:val="000000" w:themeColor="text1"/>
          <w:sz w:val="24"/>
          <w:szCs w:val="28"/>
          <w:highlight w:val="none"/>
          <w14:textFill>
            <w14:solidFill>
              <w14:schemeClr w14:val="tx1"/>
            </w14:solidFill>
          </w14:textFill>
        </w:rPr>
        <w:t>对项目的理解</w:t>
      </w:r>
      <w:bookmarkEnd w:id="0"/>
    </w:p>
    <w:p w14:paraId="494BBF8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1" w:name="_Toc31258"/>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w:t>
      </w:r>
      <w:bookmarkEnd w:id="1"/>
      <w:r>
        <w:rPr>
          <w:rFonts w:hint="eastAsia" w:ascii="宋体" w:hAnsi="宋体" w:cs="宋体"/>
          <w:b/>
          <w:color w:val="000000" w:themeColor="text1"/>
          <w:sz w:val="24"/>
          <w:szCs w:val="28"/>
          <w:highlight w:val="none"/>
          <w:lang w:val="en-US" w:eastAsia="zh-CN"/>
          <w14:textFill>
            <w14:solidFill>
              <w14:schemeClr w14:val="tx1"/>
            </w14:solidFill>
          </w14:textFill>
        </w:rPr>
        <w:t>背景</w:t>
      </w:r>
    </w:p>
    <w:p w14:paraId="6EBC8F50">
      <w:pPr>
        <w:spacing w:line="360" w:lineRule="auto"/>
        <w:ind w:firstLine="480"/>
      </w:pPr>
      <w:r>
        <w:rPr>
          <w:rFonts w:ascii="宋体" w:hAnsi="宋体" w:eastAsia="宋体"/>
          <w:sz w:val="24"/>
        </w:rPr>
        <w:t>国家电网有限公司和田供电公司（以下简称"项目单位"）于2023年完成网络发令系统的部署并正式投入使用，该系统覆盖调度操作指令的全流程管理，是保障电力系统安全稳定运行的核心业务平台。然而，随着电网规模持续扩大、设备种类和拓扑结构日趋复杂，以及国家对调度操作安全管控要求不断提升，现有系统在智能安全防误方面暴露出若干亟待解决的薄弱环节：</w:t>
      </w:r>
    </w:p>
    <w:p w14:paraId="62D2D194">
      <w:pPr>
        <w:spacing w:line="360" w:lineRule="auto"/>
        <w:ind w:firstLine="480"/>
      </w:pPr>
      <w:r>
        <w:rPr>
          <w:rFonts w:ascii="宋体" w:hAnsi="宋体" w:eastAsia="宋体"/>
          <w:sz w:val="24"/>
        </w:rPr>
        <w:t>一是防误逻辑缺失。系统尚未开发设备实时状态与倒闸操作的安全校核及闭锁功能，对操作票拟票关键环节缺少风险提醒，无法在操作指令发出前主动预判违规操作或误操作风险，导致调度员不得不依赖手工核对，极大增加了工作负担和出错概率。</w:t>
      </w:r>
    </w:p>
    <w:p w14:paraId="213286E1">
      <w:pPr>
        <w:spacing w:line="360" w:lineRule="auto"/>
        <w:ind w:firstLine="480"/>
      </w:pPr>
      <w:r>
        <w:rPr>
          <w:rFonts w:ascii="宋体" w:hAnsi="宋体" w:eastAsia="宋体"/>
          <w:sz w:val="24"/>
        </w:rPr>
        <w:t>二是实时状态联动能力不足。系统与主网D5000自动化平台之间的接口尚不完善，操作任务中的设备状态无法自动从D5000平台获取并实时比对，调度员在操作前缺乏可靠的设备当前状态直观展示，难以及时发现设备异常状态。</w:t>
      </w:r>
    </w:p>
    <w:p w14:paraId="6F196008">
      <w:pPr>
        <w:spacing w:line="360" w:lineRule="auto"/>
        <w:ind w:firstLine="480"/>
      </w:pPr>
      <w:r>
        <w:rPr>
          <w:rFonts w:ascii="宋体" w:hAnsi="宋体" w:eastAsia="宋体"/>
          <w:sz w:val="24"/>
        </w:rPr>
        <w:t>三是告警体系不健全。对操作顺序错误、关键环节丢失、设备编号错误等高频风险情况缺乏有效的自动告警机制，安全防误工作更多依赖"人防"而非"技防"。</w:t>
      </w:r>
    </w:p>
    <w:p w14:paraId="3C8B5874">
      <w:pPr>
        <w:spacing w:line="360" w:lineRule="auto"/>
        <w:ind w:firstLine="480"/>
      </w:pPr>
      <w:r>
        <w:rPr>
          <w:rFonts w:ascii="宋体" w:hAnsi="宋体" w:eastAsia="宋体"/>
          <w:sz w:val="24"/>
        </w:rPr>
        <w:t>四是双入口融合能力不足。OMS值班台入口与独立网络发令系统入口在业务功能、流程衔接、数据共享和用户权限管理方面尚未实现深度统一，影响调度员作业效率和安全管控一致性。</w:t>
      </w:r>
    </w:p>
    <w:p w14:paraId="5946D9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r>
        <w:rPr>
          <w:rFonts w:ascii="宋体" w:hAnsi="宋体" w:eastAsia="宋体"/>
          <w:sz w:val="24"/>
        </w:rPr>
        <w:t>鉴于此，本项目以"操作票智能安全防误功能完善"为核心目标，通过7大功能模块的建设与升级，填补现有系统的安全防误短板，全面提升国网新疆和田供电公司的调度操作安全管控水平。</w:t>
      </w:r>
    </w:p>
    <w:p w14:paraId="60AE8AC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2" w:name="_Toc20210"/>
      <w:r>
        <w:rPr>
          <w:rFonts w:hint="eastAsia" w:ascii="宋体" w:hAnsi="宋体" w:cs="宋体"/>
          <w:b/>
          <w:color w:val="000000" w:themeColor="text1"/>
          <w:sz w:val="24"/>
          <w:szCs w:val="28"/>
          <w:highlight w:val="none"/>
          <w:lang w:val="en-US" w:eastAsia="zh-CN"/>
          <w14:textFill>
            <w14:solidFill>
              <w14:schemeClr w14:val="tx1"/>
            </w14:solidFill>
          </w14:textFill>
        </w:rPr>
        <w:t>项目目标</w:t>
      </w:r>
    </w:p>
    <w:p w14:paraId="33F0AB49">
      <w:pPr>
        <w:spacing w:line="360" w:lineRule="auto"/>
        <w:ind w:firstLine="480"/>
      </w:pPr>
      <w:r>
        <w:rPr>
          <w:rFonts w:ascii="宋体" w:hAnsi="宋体" w:eastAsia="宋体"/>
          <w:sz w:val="24"/>
        </w:rPr>
        <w:t>本项目总体建设目标如下：</w:t>
      </w:r>
    </w:p>
    <w:p w14:paraId="7E27F856">
      <w:pPr>
        <w:spacing w:line="360" w:lineRule="auto"/>
        <w:ind w:firstLine="480"/>
      </w:pPr>
      <w:r>
        <w:rPr>
          <w:rFonts w:ascii="黑体" w:hAnsi="黑体" w:eastAsia="黑体"/>
          <w:b/>
          <w:sz w:val="24"/>
        </w:rPr>
        <w:t>（1）达到国调安全防误功能标准要求</w:t>
      </w:r>
    </w:p>
    <w:p w14:paraId="4D42C2BC">
      <w:pPr>
        <w:spacing w:line="360" w:lineRule="auto"/>
        <w:ind w:firstLine="480"/>
      </w:pPr>
      <w:r>
        <w:rPr>
          <w:rFonts w:ascii="宋体" w:hAnsi="宋体" w:eastAsia="宋体"/>
          <w:sz w:val="24"/>
        </w:rPr>
        <w:t>全面对标国家调度对调度操作安全防误功能的规范要求，实现操作内容规范校验、防误逻辑校核、实时设备状态联动、过程安全管控等能力，使系统功能满足国调技术标准。</w:t>
      </w:r>
    </w:p>
    <w:p w14:paraId="31508E1E">
      <w:pPr>
        <w:spacing w:line="360" w:lineRule="auto"/>
        <w:ind w:firstLine="480"/>
      </w:pPr>
      <w:r>
        <w:rPr>
          <w:rFonts w:ascii="黑体" w:hAnsi="黑体" w:eastAsia="黑体"/>
          <w:b/>
          <w:sz w:val="24"/>
        </w:rPr>
        <w:t>（2）实现7项功能模块的完善与提升</w:t>
      </w:r>
    </w:p>
    <w:p w14:paraId="7CD4CBD7">
      <w:pPr>
        <w:pStyle w:val="12"/>
        <w:spacing w:line="360" w:lineRule="auto"/>
      </w:pPr>
      <w:r>
        <w:rPr>
          <w:rFonts w:ascii="宋体" w:hAnsi="宋体" w:eastAsia="宋体"/>
          <w:sz w:val="24"/>
        </w:rPr>
        <w:t>操作内容规范校验功能完善</w:t>
      </w:r>
    </w:p>
    <w:p w14:paraId="09F40BBE">
      <w:pPr>
        <w:pStyle w:val="12"/>
        <w:spacing w:line="360" w:lineRule="auto"/>
      </w:pPr>
      <w:r>
        <w:rPr>
          <w:rFonts w:ascii="宋体" w:hAnsi="宋体" w:eastAsia="宋体"/>
          <w:sz w:val="24"/>
        </w:rPr>
        <w:t>基本拓扑防误校核功能完善</w:t>
      </w:r>
    </w:p>
    <w:p w14:paraId="5EB78320">
      <w:pPr>
        <w:pStyle w:val="12"/>
        <w:spacing w:line="360" w:lineRule="auto"/>
      </w:pPr>
      <w:r>
        <w:rPr>
          <w:rFonts w:ascii="宋体" w:hAnsi="宋体" w:eastAsia="宋体"/>
          <w:sz w:val="24"/>
        </w:rPr>
        <w:t>设备状态实时防误校核功能完善</w:t>
      </w:r>
    </w:p>
    <w:p w14:paraId="53BC18FD">
      <w:pPr>
        <w:pStyle w:val="12"/>
        <w:spacing w:line="360" w:lineRule="auto"/>
      </w:pPr>
      <w:r>
        <w:rPr>
          <w:rFonts w:ascii="宋体" w:hAnsi="宋体" w:eastAsia="宋体"/>
          <w:sz w:val="24"/>
        </w:rPr>
        <w:t>调度操作过程安全防误功能完善</w:t>
      </w:r>
    </w:p>
    <w:p w14:paraId="7383A239">
      <w:pPr>
        <w:pStyle w:val="12"/>
        <w:spacing w:line="360" w:lineRule="auto"/>
      </w:pPr>
      <w:r>
        <w:rPr>
          <w:rFonts w:ascii="宋体" w:hAnsi="宋体" w:eastAsia="宋体"/>
          <w:sz w:val="24"/>
        </w:rPr>
        <w:t>安全防误智能告警功能完善</w:t>
      </w:r>
    </w:p>
    <w:p w14:paraId="7A07024A">
      <w:pPr>
        <w:pStyle w:val="12"/>
        <w:spacing w:line="360" w:lineRule="auto"/>
      </w:pPr>
      <w:r>
        <w:rPr>
          <w:rFonts w:ascii="宋体" w:hAnsi="宋体" w:eastAsia="宋体"/>
          <w:sz w:val="24"/>
        </w:rPr>
        <w:t>操作票模拟预演功能完善</w:t>
      </w:r>
    </w:p>
    <w:p w14:paraId="7D2DD543">
      <w:pPr>
        <w:pStyle w:val="12"/>
        <w:spacing w:line="360" w:lineRule="auto"/>
      </w:pPr>
      <w:r>
        <w:rPr>
          <w:rFonts w:ascii="宋体" w:hAnsi="宋体" w:eastAsia="宋体"/>
          <w:sz w:val="24"/>
        </w:rPr>
        <w:t>与主网D5000及OMS系统接口完善</w:t>
      </w:r>
    </w:p>
    <w:p w14:paraId="60693BDC">
      <w:pPr>
        <w:spacing w:line="360" w:lineRule="auto"/>
        <w:ind w:firstLine="480"/>
      </w:pPr>
      <w:r>
        <w:rPr>
          <w:rFonts w:ascii="黑体" w:hAnsi="黑体" w:eastAsia="黑体"/>
          <w:b/>
          <w:sz w:val="24"/>
        </w:rPr>
        <w:t>（3）确保业务连续性与双入口统一</w:t>
      </w:r>
    </w:p>
    <w:p w14:paraId="21EE74AA">
      <w:pPr>
        <w:spacing w:line="360" w:lineRule="auto"/>
        <w:ind w:firstLine="480"/>
      </w:pPr>
      <w:r>
        <w:rPr>
          <w:rFonts w:ascii="宋体" w:hAnsi="宋体" w:eastAsia="宋体"/>
          <w:sz w:val="24"/>
        </w:rPr>
        <w:t>所有功能开发与升级必须在现有网络发令系统架构与数据基础上进行，确保OMS值班台与独立系统两个入口业务功能、流程、数据高度统一，不影响日常调度运行。</w:t>
      </w:r>
    </w:p>
    <w:p w14:paraId="62DC1772">
      <w:pPr>
        <w:spacing w:line="360" w:lineRule="auto"/>
        <w:ind w:firstLine="480"/>
      </w:pPr>
      <w:r>
        <w:rPr>
          <w:rFonts w:ascii="黑体" w:hAnsi="黑体" w:eastAsia="黑体"/>
          <w:b/>
          <w:sz w:val="24"/>
        </w:rPr>
        <w:t>（4）提升调度员作业质量与安全感知能力</w:t>
      </w:r>
    </w:p>
    <w:p w14:paraId="63A4F3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ascii="宋体" w:hAnsi="宋体" w:eastAsia="宋体"/>
          <w:sz w:val="24"/>
        </w:rPr>
        <w:t>通过告警中心、模拟预演、图实比对等功能，帮助调度员在拟票、审票、预令、下令、执行各环节精准发现和规避安全隐患，实现从"人防"到"技防+人防"的跨越升级</w:t>
      </w:r>
      <w:r>
        <w:rPr>
          <w:rFonts w:hint="eastAsia" w:ascii="宋体" w:hAnsi="宋体" w:eastAsia="宋体"/>
          <w:sz w:val="24"/>
          <w:lang w:eastAsia="zh-CN"/>
        </w:rPr>
        <w:t>。</w:t>
      </w:r>
    </w:p>
    <w:p w14:paraId="5745D997">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项目重难点</w:t>
      </w:r>
      <w:bookmarkEnd w:id="2"/>
      <w:r>
        <w:rPr>
          <w:rFonts w:hint="eastAsia" w:ascii="宋体" w:hAnsi="宋体" w:cs="宋体"/>
          <w:b/>
          <w:color w:val="000000" w:themeColor="text1"/>
          <w:sz w:val="24"/>
          <w:szCs w:val="28"/>
          <w:highlight w:val="none"/>
          <w:lang w:val="en-US" w:eastAsia="zh-CN"/>
          <w14:textFill>
            <w14:solidFill>
              <w14:schemeClr w14:val="tx1"/>
            </w14:solidFill>
          </w14:textFill>
        </w:rPr>
        <w:t>分析</w:t>
      </w:r>
    </w:p>
    <w:p w14:paraId="5D4FC471">
      <w:pPr>
        <w:pStyle w:val="8"/>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重点一：防误逻辑建模的准确性与完整性</w:t>
      </w:r>
    </w:p>
    <w:p w14:paraId="259FAE9F">
      <w:pPr>
        <w:pStyle w:val="9"/>
        <w:numPr>
          <w:ilvl w:val="3"/>
          <w:numId w:val="5"/>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难点描述</w:t>
      </w:r>
    </w:p>
    <w:p w14:paraId="41396CE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电网防误逻辑涵盖基本五防（防止带负荷拉合隔离开关、防止带电合接地刀闸、防止带接地线合闸、防止误入带电间隔、防止带电合闸）及拓扑防误规则，涉及多类型一次设备、复杂接线方式和多级电压层次。规则的遗漏或偏差可能导致校核失灵，引发安全事故。</w:t>
      </w:r>
    </w:p>
    <w:p w14:paraId="01A79AED">
      <w:pPr>
        <w:pStyle w:val="9"/>
        <w:numPr>
          <w:ilvl w:val="3"/>
          <w:numId w:val="5"/>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 xml:space="preserve"> 应对方案</w:t>
      </w:r>
    </w:p>
    <w:p w14:paraId="2A2F28D7">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建立完整的防误规则库</w:t>
      </w:r>
      <w:r>
        <w:rPr>
          <w:rFonts w:hint="eastAsia" w:ascii="宋体" w:hAnsi="宋体" w:eastAsia="宋体" w:cs="宋体"/>
          <w:sz w:val="24"/>
          <w:szCs w:val="24"/>
        </w:rPr>
        <w:t>：按照"基本五防→线路主变停退→挂牌防误"三层次体系建模，针对和田供电公司实际设备类型和接线方式定制校核规则。</w:t>
      </w:r>
    </w:p>
    <w:p w14:paraId="5DD77063">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拓扑推演引擎</w:t>
      </w:r>
      <w:r>
        <w:rPr>
          <w:rFonts w:hint="eastAsia" w:ascii="宋体" w:hAnsi="宋体" w:eastAsia="宋体" w:cs="宋体"/>
          <w:sz w:val="24"/>
          <w:szCs w:val="24"/>
        </w:rPr>
        <w:t>：基于图数据库对电网一次接线拓扑进行动态建模，操作每一步完成后自动推演新的拓扑状态，并校验下一步操作合法性。</w:t>
      </w:r>
    </w:p>
    <w:p w14:paraId="073C5FB9">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规则测试矩阵</w:t>
      </w:r>
      <w:r>
        <w:rPr>
          <w:rFonts w:hint="eastAsia" w:ascii="宋体" w:hAnsi="宋体" w:eastAsia="宋体" w:cs="宋体"/>
          <w:sz w:val="24"/>
          <w:szCs w:val="24"/>
        </w:rPr>
        <w:t>：为每条防误规则设计正向验证（正确操作通过）和反向验证（违规操作告警）用例，确保逻辑完备，验收前完成全量测试。</w:t>
      </w:r>
    </w:p>
    <w:p w14:paraId="6699920E">
      <w:pPr>
        <w:pStyle w:val="8"/>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重点二：与D5000实时数据接口的稳定性</w:t>
      </w:r>
    </w:p>
    <w:p w14:paraId="660D0268">
      <w:pPr>
        <w:pStyle w:val="9"/>
        <w:numPr>
          <w:ilvl w:val="3"/>
          <w:numId w:val="6"/>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难点描述</w:t>
      </w:r>
    </w:p>
    <w:p w14:paraId="400A66E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设备状态实时防误校核的核心依赖是对主网D5000自动化平台遥信数据的稳定、准时获取。D5000接口涉及数据协议适配、网络安全分区隔离、数据刷新频率等多重技术约束，接口稳定性直接影响实时防误功能的有效性。</w:t>
      </w:r>
    </w:p>
    <w:p w14:paraId="1EF3AAEE">
      <w:pPr>
        <w:pStyle w:val="9"/>
        <w:numPr>
          <w:ilvl w:val="3"/>
          <w:numId w:val="6"/>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应对方案</w:t>
      </w:r>
    </w:p>
    <w:p w14:paraId="13F04380">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接口适配层设计</w:t>
      </w:r>
      <w:r>
        <w:rPr>
          <w:rFonts w:hint="eastAsia" w:ascii="宋体" w:hAnsi="宋体" w:eastAsia="宋体" w:cs="宋体"/>
          <w:sz w:val="24"/>
          <w:szCs w:val="24"/>
        </w:rPr>
        <w:t>：采用标准化中间件封装D5000数据接口，支持断线重连、数据超时检测与告警，确保数据链路异常时系统自动降级并提示用户。</w:t>
      </w:r>
    </w:p>
    <w:p w14:paraId="55C672FE">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数据缓存机制</w:t>
      </w:r>
      <w:r>
        <w:rPr>
          <w:rFonts w:hint="eastAsia" w:ascii="宋体" w:hAnsi="宋体" w:eastAsia="宋体" w:cs="宋体"/>
          <w:sz w:val="24"/>
          <w:szCs w:val="24"/>
        </w:rPr>
        <w:t>：在本地建立设备状态缓存池，以秒级频率刷新，在D5000短暂不可用时保持最近有效状态的展示，避免功能完全中断。</w:t>
      </w:r>
    </w:p>
    <w:p w14:paraId="371EE01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安全分区合规</w:t>
      </w:r>
      <w:r>
        <w:rPr>
          <w:rFonts w:hint="eastAsia" w:ascii="宋体" w:hAnsi="宋体" w:eastAsia="宋体" w:cs="宋体"/>
          <w:sz w:val="24"/>
          <w:szCs w:val="24"/>
        </w:rPr>
        <w:t>：严格遵守《电力监控系统安全防护规定》，数据交互通过正向隔离装置（如正向型单向安全隔离装置），确保生产控制区安全边界不受破坏。</w:t>
      </w:r>
    </w:p>
    <w:p w14:paraId="6428EB1D">
      <w:pPr>
        <w:pStyle w:val="8"/>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重点三：OMS双入口业务与数据统一</w:t>
      </w:r>
    </w:p>
    <w:p w14:paraId="483C8CCF">
      <w:pPr>
        <w:pStyle w:val="9"/>
        <w:numPr>
          <w:ilvl w:val="3"/>
          <w:numId w:val="7"/>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 xml:space="preserve"> 难点描述</w:t>
      </w:r>
    </w:p>
    <w:p w14:paraId="7D6847B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OMS值班台入口与独立网络发令系统入口须共享同一套后台服务与数据，同时保持界面、流程、权限的高度一致性，技术实现上需解决前端多入口与后端单服务的解耦问题，以及用户身份认证的统一管理。</w:t>
      </w:r>
    </w:p>
    <w:p w14:paraId="63C85430">
      <w:pPr>
        <w:pStyle w:val="9"/>
        <w:numPr>
          <w:ilvl w:val="3"/>
          <w:numId w:val="7"/>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应对方案</w:t>
      </w:r>
    </w:p>
    <w:p w14:paraId="6B14108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单点登录（SSO）集成</w:t>
      </w:r>
      <w:r>
        <w:rPr>
          <w:rFonts w:hint="eastAsia" w:ascii="宋体" w:hAnsi="宋体" w:eastAsia="宋体" w:cs="宋体"/>
          <w:sz w:val="24"/>
          <w:szCs w:val="24"/>
        </w:rPr>
        <w:t>：复用OMS现有的用户账户、角色、权限管理体系，通过SSO令牌机制实现两入口统一认证，确保同一用户在不同入口的权限一致。</w:t>
      </w:r>
    </w:p>
    <w:p w14:paraId="0008D10D">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前后端分离架构</w:t>
      </w:r>
      <w:r>
        <w:rPr>
          <w:rFonts w:hint="eastAsia" w:ascii="宋体" w:hAnsi="宋体" w:eastAsia="宋体" w:cs="宋体"/>
          <w:sz w:val="24"/>
          <w:szCs w:val="24"/>
        </w:rPr>
        <w:t>：后台核心业务服务统一部署，两套前端均调用同一组REST API，避免数据孤岛与逻辑分叉。任何业务规则变更只需修改一处。</w:t>
      </w:r>
    </w:p>
    <w:p w14:paraId="7BF93B19">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界面一致性保障</w:t>
      </w:r>
      <w:r>
        <w:rPr>
          <w:rFonts w:hint="eastAsia" w:ascii="宋体" w:hAnsi="宋体" w:eastAsia="宋体" w:cs="宋体"/>
          <w:sz w:val="24"/>
          <w:szCs w:val="24"/>
        </w:rPr>
        <w:t>：建立UI组件库，两个入口共用核心操作组件（操作票列表、下令界面、告警中心），减少维护成本，确保用户体验一致。</w:t>
      </w:r>
    </w:p>
    <w:p w14:paraId="6E819466">
      <w:pPr>
        <w:pStyle w:val="8"/>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重点四：零中断在线迭代部署</w:t>
      </w:r>
    </w:p>
    <w:p w14:paraId="7E166BE5">
      <w:pPr>
        <w:pStyle w:val="9"/>
        <w:numPr>
          <w:ilvl w:val="3"/>
          <w:numId w:val="8"/>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难点描述</w:t>
      </w:r>
    </w:p>
    <w:p w14:paraId="003D4F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系统直接支撑电力调度生产，不能容忍停机升级。新功能须在不影响现有业务运行的前提下逐步上线，这对部署方案和版本管理提出了极高要求。</w:t>
      </w:r>
    </w:p>
    <w:p w14:paraId="6709A514">
      <w:pPr>
        <w:pStyle w:val="9"/>
        <w:numPr>
          <w:ilvl w:val="3"/>
          <w:numId w:val="8"/>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应对方案</w:t>
      </w:r>
    </w:p>
    <w:p w14:paraId="33AF7E5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蓝绿部署策略</w:t>
      </w:r>
      <w:r>
        <w:rPr>
          <w:rFonts w:hint="eastAsia" w:ascii="宋体" w:hAnsi="宋体" w:eastAsia="宋体" w:cs="宋体"/>
          <w:sz w:val="24"/>
          <w:szCs w:val="24"/>
        </w:rPr>
        <w:t>：维护新旧两套环境，新版本充分测试后通过流量切换无缝上线，回滚时间小于5分钟。</w:t>
      </w:r>
    </w:p>
    <w:p w14:paraId="718EBEDA">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功能开关机制（Feature Toggle）</w:t>
      </w:r>
      <w:r>
        <w:rPr>
          <w:rFonts w:hint="eastAsia" w:ascii="宋体" w:hAnsi="宋体" w:eastAsia="宋体" w:cs="宋体"/>
          <w:sz w:val="24"/>
          <w:szCs w:val="24"/>
        </w:rPr>
        <w:t>：所有新增功能均设置开关，上线初期仅对测试账号开放，验证无误后逐步向全体调度员推送，降低引入新问题的风险。</w:t>
      </w:r>
    </w:p>
    <w:p w14:paraId="50D7BBAB">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数据库无损迁移</w:t>
      </w:r>
      <w:r>
        <w:rPr>
          <w:rFonts w:hint="eastAsia" w:ascii="宋体" w:hAnsi="宋体" w:eastAsia="宋体" w:cs="宋体"/>
          <w:sz w:val="24"/>
          <w:szCs w:val="24"/>
        </w:rPr>
        <w:t>：采用"增量扩展"策略，新版本不修改现有数据表结构，仅新增字段和表，保证旧版本数据完整性。</w:t>
      </w:r>
    </w:p>
    <w:p w14:paraId="40CEE567">
      <w:pPr>
        <w:pStyle w:val="8"/>
        <w:numPr>
          <w:ilvl w:val="2"/>
          <w:numId w:val="4"/>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重点五：调度员使用体验与培训适配</w:t>
      </w:r>
    </w:p>
    <w:p w14:paraId="6055B923">
      <w:pPr>
        <w:pStyle w:val="9"/>
        <w:numPr>
          <w:ilvl w:val="3"/>
          <w:numId w:val="9"/>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难点描述</w:t>
      </w:r>
    </w:p>
    <w:p w14:paraId="153DD74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新增告警弹窗、倒计时确认、模拟预演等交互功能，若设计不当可能打断调度员操作节奏，反而影响安全。需精心设计人机交互，兼顾安全性与效率。</w:t>
      </w:r>
    </w:p>
    <w:p w14:paraId="060FED32">
      <w:pPr>
        <w:pStyle w:val="9"/>
        <w:numPr>
          <w:ilvl w:val="3"/>
          <w:numId w:val="9"/>
        </w:numPr>
        <w:spacing w:line="360" w:lineRule="auto"/>
        <w:ind w:left="864" w:leftChars="0" w:hanging="864" w:firstLineChars="0"/>
        <w:rPr>
          <w:rFonts w:hint="eastAsia" w:ascii="宋体" w:hAnsi="宋体" w:eastAsia="宋体" w:cs="宋体"/>
          <w:sz w:val="24"/>
          <w:szCs w:val="24"/>
        </w:rPr>
      </w:pPr>
      <w:r>
        <w:rPr>
          <w:rFonts w:hint="eastAsia" w:ascii="宋体" w:hAnsi="宋体" w:eastAsia="宋体" w:cs="宋体"/>
          <w:sz w:val="24"/>
          <w:szCs w:val="24"/>
        </w:rPr>
        <w:t>应对方案</w:t>
      </w:r>
    </w:p>
    <w:p w14:paraId="42339537">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分级告警策略</w:t>
      </w:r>
      <w:r>
        <w:rPr>
          <w:rFonts w:hint="eastAsia" w:ascii="宋体" w:hAnsi="宋体" w:eastAsia="宋体" w:cs="宋体"/>
          <w:sz w:val="24"/>
          <w:szCs w:val="24"/>
        </w:rPr>
        <w:t>：区分强制确认类（带电合接地刀等高风险操作）和提示类（术语不规范等低风险项），避免低风险告警频繁打断。</w:t>
      </w:r>
    </w:p>
    <w:p w14:paraId="62F0044B">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UX原型测试</w:t>
      </w:r>
      <w:r>
        <w:rPr>
          <w:rFonts w:hint="eastAsia" w:ascii="宋体" w:hAnsi="宋体" w:eastAsia="宋体" w:cs="宋体"/>
          <w:sz w:val="24"/>
          <w:szCs w:val="24"/>
        </w:rPr>
        <w:t>：在上线前组织真实调度员参与交互原型测试，收集操作效率反馈并优化设计，确保功能"好用"而不仅是"能用"。</w:t>
      </w:r>
    </w:p>
    <w:p w14:paraId="1D88AD0A">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配套培训方案</w:t>
      </w:r>
      <w:r>
        <w:rPr>
          <w:rFonts w:hint="eastAsia" w:ascii="宋体" w:hAnsi="宋体" w:eastAsia="宋体" w:cs="宋体"/>
          <w:sz w:val="24"/>
          <w:szCs w:val="24"/>
        </w:rPr>
        <w:t>：提供操作手册、视频教程及现场演练，帮助调度员快速掌握新功能，降低学习成本。</w:t>
      </w:r>
    </w:p>
    <w:p w14:paraId="254602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p>
    <w:p w14:paraId="0FAF005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项目实施路径</w:t>
      </w:r>
    </w:p>
    <w:p w14:paraId="361E6AA8">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总体实施策略</w:t>
      </w:r>
    </w:p>
    <w:p w14:paraId="0756FE9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遵循"调研先行、分模块迭代、集成验证、持续运维"的总体实施策略，将7大功能模块分为相互独立又紧密关联的工作单元，按照"基础设施→核心防误→智能告警→模拟预演→接口完善"的优先级顺序逐步实现，确保每个里程碑均可交付可验收的功能成果。</w:t>
      </w:r>
    </w:p>
    <w:p w14:paraId="1144677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总体实施路径分为四个阶段：</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4"/>
        <w:gridCol w:w="2844"/>
        <w:gridCol w:w="2844"/>
      </w:tblGrid>
      <w:tr w14:paraId="2E84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FD55A3F">
            <w:pPr>
              <w:spacing w:after="0" w:line="360" w:lineRule="auto"/>
              <w:rPr>
                <w:rFonts w:hint="eastAsia" w:ascii="宋体" w:hAnsi="宋体" w:eastAsia="宋体" w:cs="宋体"/>
                <w:sz w:val="24"/>
                <w:szCs w:val="24"/>
              </w:rPr>
            </w:pPr>
            <w:r>
              <w:rPr>
                <w:rFonts w:hint="eastAsia" w:ascii="宋体" w:hAnsi="宋体" w:eastAsia="宋体" w:cs="宋体"/>
                <w:b/>
                <w:sz w:val="24"/>
                <w:szCs w:val="24"/>
              </w:rPr>
              <w:t>阶段</w:t>
            </w:r>
          </w:p>
        </w:tc>
        <w:tc>
          <w:tcPr>
            <w:tcW w:w="3041" w:type="dxa"/>
          </w:tcPr>
          <w:p w14:paraId="0C482B43">
            <w:pPr>
              <w:spacing w:after="0" w:line="360" w:lineRule="auto"/>
              <w:rPr>
                <w:rFonts w:hint="eastAsia" w:ascii="宋体" w:hAnsi="宋体" w:eastAsia="宋体" w:cs="宋体"/>
                <w:sz w:val="24"/>
                <w:szCs w:val="24"/>
              </w:rPr>
            </w:pPr>
            <w:r>
              <w:rPr>
                <w:rFonts w:hint="eastAsia" w:ascii="宋体" w:hAnsi="宋体" w:eastAsia="宋体" w:cs="宋体"/>
                <w:b/>
                <w:sz w:val="24"/>
                <w:szCs w:val="24"/>
              </w:rPr>
              <w:t>时间</w:t>
            </w:r>
          </w:p>
        </w:tc>
        <w:tc>
          <w:tcPr>
            <w:tcW w:w="3041" w:type="dxa"/>
          </w:tcPr>
          <w:p w14:paraId="2419EED0">
            <w:pPr>
              <w:spacing w:after="0" w:line="360" w:lineRule="auto"/>
              <w:rPr>
                <w:rFonts w:hint="eastAsia" w:ascii="宋体" w:hAnsi="宋体" w:eastAsia="宋体" w:cs="宋体"/>
                <w:sz w:val="24"/>
                <w:szCs w:val="24"/>
              </w:rPr>
            </w:pPr>
            <w:r>
              <w:rPr>
                <w:rFonts w:hint="eastAsia" w:ascii="宋体" w:hAnsi="宋体" w:eastAsia="宋体" w:cs="宋体"/>
                <w:b/>
                <w:sz w:val="24"/>
                <w:szCs w:val="24"/>
              </w:rPr>
              <w:t>主要任务</w:t>
            </w:r>
          </w:p>
        </w:tc>
      </w:tr>
      <w:tr w14:paraId="0C4B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805817C">
            <w:pPr>
              <w:spacing w:after="0" w:line="360" w:lineRule="auto"/>
              <w:rPr>
                <w:rFonts w:hint="eastAsia" w:ascii="宋体" w:hAnsi="宋体" w:eastAsia="宋体" w:cs="宋体"/>
                <w:sz w:val="24"/>
                <w:szCs w:val="24"/>
              </w:rPr>
            </w:pPr>
            <w:r>
              <w:rPr>
                <w:rFonts w:hint="eastAsia" w:ascii="宋体" w:hAnsi="宋体" w:eastAsia="宋体" w:cs="宋体"/>
                <w:sz w:val="24"/>
                <w:szCs w:val="24"/>
              </w:rPr>
              <w:t>第一阶段：调研与设计</w:t>
            </w:r>
          </w:p>
        </w:tc>
        <w:tc>
          <w:tcPr>
            <w:tcW w:w="3041" w:type="dxa"/>
          </w:tcPr>
          <w:p w14:paraId="2E03979A">
            <w:pPr>
              <w:spacing w:after="0" w:line="360" w:lineRule="auto"/>
              <w:rPr>
                <w:rFonts w:hint="eastAsia" w:ascii="宋体" w:hAnsi="宋体" w:eastAsia="宋体" w:cs="宋体"/>
                <w:sz w:val="24"/>
                <w:szCs w:val="24"/>
              </w:rPr>
            </w:pPr>
            <w:r>
              <w:rPr>
                <w:rFonts w:hint="eastAsia" w:ascii="宋体" w:hAnsi="宋体" w:eastAsia="宋体" w:cs="宋体"/>
                <w:sz w:val="24"/>
                <w:szCs w:val="24"/>
              </w:rPr>
              <w:t>第1-2周</w:t>
            </w:r>
          </w:p>
        </w:tc>
        <w:tc>
          <w:tcPr>
            <w:tcW w:w="3041" w:type="dxa"/>
          </w:tcPr>
          <w:p w14:paraId="48B88494">
            <w:pPr>
              <w:spacing w:after="0" w:line="360" w:lineRule="auto"/>
              <w:rPr>
                <w:rFonts w:hint="eastAsia" w:ascii="宋体" w:hAnsi="宋体" w:eastAsia="宋体" w:cs="宋体"/>
                <w:sz w:val="24"/>
                <w:szCs w:val="24"/>
              </w:rPr>
            </w:pPr>
            <w:r>
              <w:rPr>
                <w:rFonts w:hint="eastAsia" w:ascii="宋体" w:hAnsi="宋体" w:eastAsia="宋体" w:cs="宋体"/>
                <w:sz w:val="24"/>
                <w:szCs w:val="24"/>
              </w:rPr>
              <w:t>现场调研、需求确认、方案细化、接口协议对接</w:t>
            </w:r>
          </w:p>
        </w:tc>
      </w:tr>
      <w:tr w14:paraId="45320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718935C">
            <w:pPr>
              <w:spacing w:after="0" w:line="360" w:lineRule="auto"/>
              <w:rPr>
                <w:rFonts w:hint="eastAsia" w:ascii="宋体" w:hAnsi="宋体" w:eastAsia="宋体" w:cs="宋体"/>
                <w:sz w:val="24"/>
                <w:szCs w:val="24"/>
              </w:rPr>
            </w:pPr>
            <w:r>
              <w:rPr>
                <w:rFonts w:hint="eastAsia" w:ascii="宋体" w:hAnsi="宋体" w:eastAsia="宋体" w:cs="宋体"/>
                <w:sz w:val="24"/>
                <w:szCs w:val="24"/>
              </w:rPr>
              <w:t>第二阶段：核心功能开发</w:t>
            </w:r>
          </w:p>
        </w:tc>
        <w:tc>
          <w:tcPr>
            <w:tcW w:w="3041" w:type="dxa"/>
          </w:tcPr>
          <w:p w14:paraId="20971076">
            <w:pPr>
              <w:spacing w:after="0" w:line="360" w:lineRule="auto"/>
              <w:rPr>
                <w:rFonts w:hint="eastAsia" w:ascii="宋体" w:hAnsi="宋体" w:eastAsia="宋体" w:cs="宋体"/>
                <w:sz w:val="24"/>
                <w:szCs w:val="24"/>
              </w:rPr>
            </w:pPr>
            <w:r>
              <w:rPr>
                <w:rFonts w:hint="eastAsia" w:ascii="宋体" w:hAnsi="宋体" w:eastAsia="宋体" w:cs="宋体"/>
                <w:sz w:val="24"/>
                <w:szCs w:val="24"/>
              </w:rPr>
              <w:t>第3-8周</w:t>
            </w:r>
          </w:p>
        </w:tc>
        <w:tc>
          <w:tcPr>
            <w:tcW w:w="3041" w:type="dxa"/>
          </w:tcPr>
          <w:p w14:paraId="555C8D9C">
            <w:pPr>
              <w:spacing w:after="0" w:line="360" w:lineRule="auto"/>
              <w:rPr>
                <w:rFonts w:hint="eastAsia" w:ascii="宋体" w:hAnsi="宋体" w:eastAsia="宋体" w:cs="宋体"/>
                <w:sz w:val="24"/>
                <w:szCs w:val="24"/>
              </w:rPr>
            </w:pPr>
            <w:r>
              <w:rPr>
                <w:rFonts w:hint="eastAsia" w:ascii="宋体" w:hAnsi="宋体" w:eastAsia="宋体" w:cs="宋体"/>
                <w:sz w:val="24"/>
                <w:szCs w:val="24"/>
              </w:rPr>
              <w:t>规范校验、拓扑防误、实时状态校核、D5000接口开发</w:t>
            </w:r>
          </w:p>
        </w:tc>
      </w:tr>
      <w:tr w14:paraId="6870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0E56E7F">
            <w:pPr>
              <w:spacing w:after="0" w:line="360" w:lineRule="auto"/>
              <w:rPr>
                <w:rFonts w:hint="eastAsia" w:ascii="宋体" w:hAnsi="宋体" w:eastAsia="宋体" w:cs="宋体"/>
                <w:sz w:val="24"/>
                <w:szCs w:val="24"/>
              </w:rPr>
            </w:pPr>
            <w:r>
              <w:rPr>
                <w:rFonts w:hint="eastAsia" w:ascii="宋体" w:hAnsi="宋体" w:eastAsia="宋体" w:cs="宋体"/>
                <w:sz w:val="24"/>
                <w:szCs w:val="24"/>
              </w:rPr>
              <w:t>第三阶段：高级功能开发</w:t>
            </w:r>
          </w:p>
        </w:tc>
        <w:tc>
          <w:tcPr>
            <w:tcW w:w="3041" w:type="dxa"/>
          </w:tcPr>
          <w:p w14:paraId="25E386FD">
            <w:pPr>
              <w:spacing w:after="0" w:line="360" w:lineRule="auto"/>
              <w:rPr>
                <w:rFonts w:hint="eastAsia" w:ascii="宋体" w:hAnsi="宋体" w:eastAsia="宋体" w:cs="宋体"/>
                <w:sz w:val="24"/>
                <w:szCs w:val="24"/>
              </w:rPr>
            </w:pPr>
            <w:r>
              <w:rPr>
                <w:rFonts w:hint="eastAsia" w:ascii="宋体" w:hAnsi="宋体" w:eastAsia="宋体" w:cs="宋体"/>
                <w:sz w:val="24"/>
                <w:szCs w:val="24"/>
              </w:rPr>
              <w:t>第7-12周</w:t>
            </w:r>
          </w:p>
        </w:tc>
        <w:tc>
          <w:tcPr>
            <w:tcW w:w="3041" w:type="dxa"/>
          </w:tcPr>
          <w:p w14:paraId="7EEBD361">
            <w:pPr>
              <w:spacing w:after="0" w:line="360" w:lineRule="auto"/>
              <w:rPr>
                <w:rFonts w:hint="eastAsia" w:ascii="宋体" w:hAnsi="宋体" w:eastAsia="宋体" w:cs="宋体"/>
                <w:sz w:val="24"/>
                <w:szCs w:val="24"/>
              </w:rPr>
            </w:pPr>
            <w:r>
              <w:rPr>
                <w:rFonts w:hint="eastAsia" w:ascii="宋体" w:hAnsi="宋体" w:eastAsia="宋体" w:cs="宋体"/>
                <w:sz w:val="24"/>
                <w:szCs w:val="24"/>
              </w:rPr>
              <w:t>过程安全防误、智能告警中心、模拟预演模块</w:t>
            </w:r>
          </w:p>
        </w:tc>
      </w:tr>
      <w:tr w14:paraId="53E6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4D14BDD">
            <w:pPr>
              <w:spacing w:after="0" w:line="360" w:lineRule="auto"/>
              <w:rPr>
                <w:rFonts w:hint="eastAsia" w:ascii="宋体" w:hAnsi="宋体" w:eastAsia="宋体" w:cs="宋体"/>
                <w:sz w:val="24"/>
                <w:szCs w:val="24"/>
              </w:rPr>
            </w:pPr>
            <w:r>
              <w:rPr>
                <w:rFonts w:hint="eastAsia" w:ascii="宋体" w:hAnsi="宋体" w:eastAsia="宋体" w:cs="宋体"/>
                <w:sz w:val="24"/>
                <w:szCs w:val="24"/>
              </w:rPr>
              <w:t>第四阶段：集成测试与上线</w:t>
            </w:r>
          </w:p>
        </w:tc>
        <w:tc>
          <w:tcPr>
            <w:tcW w:w="3041" w:type="dxa"/>
          </w:tcPr>
          <w:p w14:paraId="43CE1CF3">
            <w:pPr>
              <w:spacing w:after="0" w:line="360" w:lineRule="auto"/>
              <w:rPr>
                <w:rFonts w:hint="eastAsia" w:ascii="宋体" w:hAnsi="宋体" w:eastAsia="宋体" w:cs="宋体"/>
                <w:sz w:val="24"/>
                <w:szCs w:val="24"/>
              </w:rPr>
            </w:pPr>
            <w:r>
              <w:rPr>
                <w:rFonts w:hint="eastAsia" w:ascii="宋体" w:hAnsi="宋体" w:eastAsia="宋体" w:cs="宋体"/>
                <w:sz w:val="24"/>
                <w:szCs w:val="24"/>
              </w:rPr>
              <w:t>第11-14周</w:t>
            </w:r>
          </w:p>
        </w:tc>
        <w:tc>
          <w:tcPr>
            <w:tcW w:w="3041" w:type="dxa"/>
          </w:tcPr>
          <w:p w14:paraId="0F71E41E">
            <w:pPr>
              <w:spacing w:after="0" w:line="360" w:lineRule="auto"/>
              <w:rPr>
                <w:rFonts w:hint="eastAsia" w:ascii="宋体" w:hAnsi="宋体" w:eastAsia="宋体" w:cs="宋体"/>
                <w:sz w:val="24"/>
                <w:szCs w:val="24"/>
              </w:rPr>
            </w:pPr>
            <w:r>
              <w:rPr>
                <w:rFonts w:hint="eastAsia" w:ascii="宋体" w:hAnsi="宋体" w:eastAsia="宋体" w:cs="宋体"/>
                <w:sz w:val="24"/>
                <w:szCs w:val="24"/>
              </w:rPr>
              <w:t>联调测试、UAT验收、上线部署、培训交付</w:t>
            </w:r>
          </w:p>
        </w:tc>
      </w:tr>
    </w:tbl>
    <w:p w14:paraId="1B55F860">
      <w:pPr>
        <w:spacing w:line="360" w:lineRule="auto"/>
        <w:rPr>
          <w:rFonts w:hint="eastAsia" w:ascii="宋体" w:hAnsi="宋体" w:eastAsia="宋体" w:cs="宋体"/>
          <w:sz w:val="24"/>
          <w:szCs w:val="24"/>
        </w:rPr>
      </w:pPr>
    </w:p>
    <w:p w14:paraId="3103005D">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功能模块一：操作内容规范校验</w:t>
      </w:r>
    </w:p>
    <w:p w14:paraId="10C75533">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：构建调度操作术语知识库，收录国网标准操作指令格式、设备命名规范及操作任务分类。在拟票和审票两个关键环节，系统自动调用规则引擎对每条操作指令进行语义解析，按照以下两级校验：</w:t>
      </w:r>
    </w:p>
    <w:p w14:paraId="7D5046EA">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一级校验（术语规范性）：识别指令中的术语是否符合规范库定义，对非标准术语给出修改建议；</w:t>
      </w:r>
    </w:p>
    <w:p w14:paraId="1A0AC65C">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二级校验（动令格式完整性）：针对"动令"操作，按"厂站-电压等级-设备名称-操作任务"顺序进行完整性校核，发现缺项自动弹出告警提示并高亮缺失字段。</w:t>
      </w:r>
    </w:p>
    <w:p w14:paraId="091E1B21">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技术实现</w:t>
      </w:r>
      <w:r>
        <w:rPr>
          <w:rFonts w:hint="eastAsia" w:ascii="宋体" w:hAnsi="宋体" w:eastAsia="宋体" w:cs="宋体"/>
          <w:sz w:val="24"/>
          <w:szCs w:val="24"/>
        </w:rPr>
        <w:t>：采用基于规则引擎（如Drools）+自然语言处理（NLP）关键词匹配的混合方式，规则库支持在线维护，可随调度标准更新动态扩充，无需重新部署代码。</w:t>
      </w:r>
    </w:p>
    <w:p w14:paraId="322DD735">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：对100条标准测试指令的识别正确率≥98%，对50条故意引入错误的指令告警召回率≥95%。</w:t>
      </w:r>
    </w:p>
    <w:p w14:paraId="3282358D">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功能模块二：基本拓扑防误校核</w:t>
      </w:r>
    </w:p>
    <w:p w14:paraId="4779E063">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：将电网一次接线图模型导入图数据库，构建设备节点与连接关系的有向图。操作票执行过程中，系统根据拓扑图实时推演每一步操作后的设备状态，并依据防误规则库判断操作合法性。</w:t>
      </w:r>
    </w:p>
    <w:p w14:paraId="7A30A4DF">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覆盖规则</w:t>
      </w:r>
      <w:r>
        <w:rPr>
          <w:rFonts w:hint="eastAsia" w:ascii="宋体" w:hAnsi="宋体" w:eastAsia="宋体" w:cs="宋体"/>
          <w:sz w:val="24"/>
          <w:szCs w:val="24"/>
        </w:rPr>
        <w:t>：</w:t>
      </w:r>
    </w:p>
    <w:p w14:paraId="31FB99E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基本五防：带负荷拉合隔离开关、带电合接地刀闸、带接地线合闸、误入带电间隔、带电合闸；</w:t>
      </w:r>
    </w:p>
    <w:p w14:paraId="6F3D939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线路及主变停退：停电顺序（断路器→隔离开关→接地刀）与送电顺序逆向核验；</w:t>
      </w:r>
    </w:p>
    <w:p w14:paraId="7B00B3B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挂牌防误：设备挂有"禁止操作"牌时，系统拦截相关操作并告警。</w:t>
      </w:r>
    </w:p>
    <w:p w14:paraId="31C32530">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接线方式适配</w:t>
      </w:r>
      <w:r>
        <w:rPr>
          <w:rFonts w:hint="eastAsia" w:ascii="宋体" w:hAnsi="宋体" w:eastAsia="宋体" w:cs="宋体"/>
          <w:sz w:val="24"/>
          <w:szCs w:val="24"/>
        </w:rPr>
        <w:t>：支持单母线、双母线、单母分段、双母双分段等多种接线方式的拓扑建模，自动识别运行方式并更新拓扑状态。</w:t>
      </w:r>
    </w:p>
    <w:p w14:paraId="1B8E06B9">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：五防规则覆盖率100%，防误校核响应时间&lt;500ms，不存在漏报情形（零漏报）。</w:t>
      </w:r>
    </w:p>
    <w:p w14:paraId="48DC65BF">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功能模块三：设备状态实时防误校核</w:t>
      </w:r>
    </w:p>
    <w:p w14:paraId="111B303E">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：深化与主网D5000自动化平台的实时接口，建立设备操作任务与D5000遥信数据的自动关联映射，实现以下两类校核：</w:t>
      </w:r>
    </w:p>
    <w:p w14:paraId="086D2B6F">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事前状态校核：在操作员执行某步骤前，自动从D5000拉取该设备当前实时状态，与操作票要求的初始状态进行比对，若不一致则强制弹出告警，阻止操作继续；</w:t>
      </w:r>
    </w:p>
    <w:p w14:paraId="2893CB94">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事后状态校核：操作步骤完成后，系统自动获取设备最新状态，验证操作是否达到预期结果，若状态未变更则提示人工确认。</w:t>
      </w:r>
    </w:p>
    <w:p w14:paraId="2021C9DE">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数据链路设计</w:t>
      </w:r>
      <w:r>
        <w:rPr>
          <w:rFonts w:hint="eastAsia" w:ascii="宋体" w:hAnsi="宋体" w:eastAsia="宋体" w:cs="宋体"/>
          <w:sz w:val="24"/>
          <w:szCs w:val="24"/>
        </w:rPr>
        <w:t>：D5000数据通过正向隔离装置同步至业务系统侧缓存库，刷新周期≤5秒，确保实时性；缓存数据标注时间戳，超过30秒未刷新则标记为"数据延迟"并在界面提示用户。</w:t>
      </w:r>
    </w:p>
    <w:p w14:paraId="3079506E">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：设备状态比对准确率≥99.5%，事前告警响应时间&lt;1秒，D5000接口可用率≥99.9%（月维度）。</w:t>
      </w:r>
    </w:p>
    <w:p w14:paraId="65A5176A">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功能模块四：调度操作过程安全防误</w:t>
      </w:r>
    </w:p>
    <w:p w14:paraId="6A1E2885">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：在操作票全生命周期（拟票→审票→预令→下令→执行→归档）各关键节点嵌入管控措施，通过流程卡控和人工确认相结合，形成闭环管理：</w:t>
      </w:r>
    </w:p>
    <w:p w14:paraId="6C62A403">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拟票环节：增加调度员与受令单位核对设备状态的记录字段，并设为提交前置条件，确保拟票有据可查；</w:t>
      </w:r>
    </w:p>
    <w:p w14:paraId="2A64D73B">
      <w:pPr>
        <w:pStyle w:val="12"/>
        <w:spacing w:line="360" w:lineRule="auto"/>
        <w:rPr>
          <w:rFonts w:hint="eastAsia" w:ascii="宋体" w:hAnsi="宋体" w:eastAsia="宋体" w:cs="宋体"/>
          <w:sz w:val="24"/>
          <w:szCs w:val="24"/>
        </w:rPr>
      </w:pPr>
      <w:r>
        <w:rPr>
          <w:rFonts w:hint="eastAsia" w:ascii="宋体" w:hAnsi="宋体" w:eastAsia="宋体" w:cs="宋体"/>
          <w:sz w:val="24"/>
          <w:szCs w:val="24"/>
        </w:rPr>
        <w:t>审票环节：启用值长审核机制，重大操作需处长级二次审批，审批结果留存系统日志；</w:t>
      </w:r>
    </w:p>
    <w:p w14:paraId="556802AA">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预令环节：下发预令时，强制要求所有相关单位受令人确认"已理解操作目的"，签收记录与预令票绑定；</w:t>
      </w:r>
    </w:p>
    <w:p w14:paraId="7A57B420">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下令环节：在执行界面增加受令人确认设备状态功能，关键环节由受令人现场确认具备操作条件后方可下令；系统支持集控与现场运维班组的预令双下达；</w:t>
      </w:r>
    </w:p>
    <w:p w14:paraId="18BAE6D5">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执行环节：在解环、充电等高风险节点前，系统强制触发值长再次复核确认，并在平台中提供一次接线图图实比对功能，支持人工逐项核查。</w:t>
      </w:r>
    </w:p>
    <w:p w14:paraId="50CCC03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：各流程节点的前置条件强制校验覆盖率100%，强制确认步骤无法绕过，审核记录完整留存。</w:t>
      </w:r>
    </w:p>
    <w:p w14:paraId="6C6537F2">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功能模块五：安全防误智能告警</w:t>
      </w:r>
    </w:p>
    <w:p w14:paraId="1064E9C2">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：在OMS调度值班台建立统一的智能告警中心，整合来自防误校核、流程监控、指令分析的多源告警信息，按告警类型、紧急程度进行分级展示，避免信息过载。</w:t>
      </w:r>
    </w:p>
    <w:p w14:paraId="11DC6CAF">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六类告警场景</w:t>
      </w:r>
      <w:r>
        <w:rPr>
          <w:rFonts w:hint="eastAsia" w:ascii="宋体" w:hAnsi="宋体" w:eastAsia="宋体" w:cs="宋体"/>
          <w:sz w:val="24"/>
          <w:szCs w:val="24"/>
        </w:rPr>
        <w:t>：</w:t>
      </w:r>
    </w:p>
    <w:p w14:paraId="1DDE39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1. </w:t>
      </w:r>
      <w:r>
        <w:rPr>
          <w:rFonts w:hint="eastAsia" w:ascii="宋体" w:hAnsi="宋体" w:eastAsia="宋体" w:cs="宋体"/>
          <w:b/>
          <w:sz w:val="24"/>
          <w:szCs w:val="24"/>
        </w:rPr>
        <w:t>操作就绪提醒</w:t>
      </w:r>
      <w:r>
        <w:rPr>
          <w:rFonts w:hint="eastAsia" w:ascii="宋体" w:hAnsi="宋体" w:eastAsia="宋体" w:cs="宋体"/>
          <w:sz w:val="24"/>
          <w:szCs w:val="24"/>
        </w:rPr>
        <w:t>：调度员完成就位或汇报后，WEB端自动弹出正令票并声音提醒；</w:t>
      </w:r>
    </w:p>
    <w:p w14:paraId="7F257E6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2. </w:t>
      </w:r>
      <w:r>
        <w:rPr>
          <w:rFonts w:hint="eastAsia" w:ascii="宋体" w:hAnsi="宋体" w:eastAsia="宋体" w:cs="宋体"/>
          <w:b/>
          <w:sz w:val="24"/>
          <w:szCs w:val="24"/>
        </w:rPr>
        <w:t>计划偏差告警</w:t>
      </w:r>
      <w:r>
        <w:rPr>
          <w:rFonts w:hint="eastAsia" w:ascii="宋体" w:hAnsi="宋体" w:eastAsia="宋体" w:cs="宋体"/>
          <w:sz w:val="24"/>
          <w:szCs w:val="24"/>
        </w:rPr>
        <w:t>：下令时间早于或晚于计划时间超过阈值、未按节点顺序下令时自动弹窗提醒；</w:t>
      </w:r>
    </w:p>
    <w:p w14:paraId="4E341FE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3. </w:t>
      </w:r>
      <w:r>
        <w:rPr>
          <w:rFonts w:hint="eastAsia" w:ascii="宋体" w:hAnsi="宋体" w:eastAsia="宋体" w:cs="宋体"/>
          <w:b/>
          <w:sz w:val="24"/>
          <w:szCs w:val="24"/>
        </w:rPr>
        <w:t>短信通知</w:t>
      </w:r>
      <w:r>
        <w:rPr>
          <w:rFonts w:hint="eastAsia" w:ascii="宋体" w:hAnsi="宋体" w:eastAsia="宋体" w:cs="宋体"/>
          <w:sz w:val="24"/>
          <w:szCs w:val="24"/>
        </w:rPr>
        <w:t>：正令票下令、收令、许可归档或作废后，系统自动发送短信至任务签收人员；</w:t>
      </w:r>
    </w:p>
    <w:p w14:paraId="363372D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4. </w:t>
      </w:r>
      <w:r>
        <w:rPr>
          <w:rFonts w:hint="eastAsia" w:ascii="宋体" w:hAnsi="宋体" w:eastAsia="宋体" w:cs="宋体"/>
          <w:b/>
          <w:sz w:val="24"/>
          <w:szCs w:val="24"/>
        </w:rPr>
        <w:t>高风险预判告警</w:t>
      </w:r>
      <w:r>
        <w:rPr>
          <w:rFonts w:hint="eastAsia" w:ascii="宋体" w:hAnsi="宋体" w:eastAsia="宋体" w:cs="宋体"/>
          <w:sz w:val="24"/>
          <w:szCs w:val="24"/>
        </w:rPr>
        <w:t>：下令前自动检测保护漏投、带电合接地刀等误操作风险，提前告警；</w:t>
      </w:r>
    </w:p>
    <w:p w14:paraId="1D933D4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5. </w:t>
      </w:r>
      <w:r>
        <w:rPr>
          <w:rFonts w:hint="eastAsia" w:ascii="宋体" w:hAnsi="宋体" w:eastAsia="宋体" w:cs="宋体"/>
          <w:b/>
          <w:sz w:val="24"/>
          <w:szCs w:val="24"/>
        </w:rPr>
        <w:t>图实比对提醒</w:t>
      </w:r>
      <w:r>
        <w:rPr>
          <w:rFonts w:hint="eastAsia" w:ascii="宋体" w:hAnsi="宋体" w:eastAsia="宋体" w:cs="宋体"/>
          <w:sz w:val="24"/>
          <w:szCs w:val="24"/>
        </w:rPr>
        <w:t>：涉及一次设备操作关键环节时，提醒人工核对厂站接线图，经多次确认方可下令；</w:t>
      </w:r>
    </w:p>
    <w:p w14:paraId="4D5125C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6. </w:t>
      </w:r>
      <w:r>
        <w:rPr>
          <w:rFonts w:hint="eastAsia" w:ascii="宋体" w:hAnsi="宋体" w:eastAsia="宋体" w:cs="宋体"/>
          <w:b/>
          <w:sz w:val="24"/>
          <w:szCs w:val="24"/>
        </w:rPr>
        <w:t>关键环节倒计时</w:t>
      </w:r>
      <w:r>
        <w:rPr>
          <w:rFonts w:hint="eastAsia" w:ascii="宋体" w:hAnsi="宋体" w:eastAsia="宋体" w:cs="宋体"/>
          <w:sz w:val="24"/>
          <w:szCs w:val="24"/>
        </w:rPr>
        <w:t>：操作指令含"合上""转运行""断开""转热备用"等关键字时，弹出5秒倒计时，二次确认后方可下发。</w:t>
      </w:r>
    </w:p>
    <w:p w14:paraId="5EFE46C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告警管理</w:t>
      </w:r>
      <w:r>
        <w:rPr>
          <w:rFonts w:hint="eastAsia" w:ascii="宋体" w:hAnsi="宋体" w:eastAsia="宋体" w:cs="宋体"/>
          <w:sz w:val="24"/>
          <w:szCs w:val="24"/>
        </w:rPr>
        <w:t>：所有告警记录均写入日志，支持按时间、告警类型、操作票号查询，为事后复盘提供数据支撑。</w:t>
      </w:r>
    </w:p>
    <w:p w14:paraId="66EA002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：6类告警场景100%覆盖，告警响应时间&lt;200ms，强制确认类告警无法通过刷新页面绕过。</w:t>
      </w:r>
    </w:p>
    <w:p w14:paraId="70EBD886">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功能模块六：操作票模拟预演</w:t>
      </w:r>
    </w:p>
    <w:p w14:paraId="729A7F14">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：在OMS调度值班台内集成独立的模拟预演沙盒模块，与真实生产数据库完全隔离：</w:t>
      </w:r>
    </w:p>
    <w:p w14:paraId="4F43C0CA">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沙盒环境构建：从D5000实时获取当前图模与设备状态，在预演沙盒中生成初始镜像，确保预演起点与实际运行状态一致；</w:t>
      </w:r>
    </w:p>
    <w:p w14:paraId="571EBD62">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逐步预演执行：调度员可在沙盒中逐条执行已编制的操作票，系统实时渲染每一步的设备动作结果（如断路器状态变化）和拓扑状态更新；</w:t>
      </w:r>
    </w:p>
    <w:p w14:paraId="1225C53D">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防误逻辑同步校验：预演过程中同步调用防误校核引擎，实时反馈每步操作的逻辑防误结论（通过/告警/拦截），帮助调度员在正式操作前发现潜在风险；</w:t>
      </w:r>
    </w:p>
    <w:p w14:paraId="6F2A3847">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检修全流程校验：支持对检修票进行"检修→冷备用→热备用→运行"全流程逻辑性校验，确保每个阶段的操作顺序合规。</w:t>
      </w:r>
    </w:p>
    <w:p w14:paraId="1C2FF7C0">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技术实现</w:t>
      </w:r>
      <w:r>
        <w:rPr>
          <w:rFonts w:hint="eastAsia" w:ascii="宋体" w:hAnsi="宋体" w:eastAsia="宋体" w:cs="宋体"/>
          <w:sz w:val="24"/>
          <w:szCs w:val="24"/>
        </w:rPr>
        <w:t>：沙盒采用内存数据库（如Redis）构建临时状态空间，预演结束后自动清空，不影响生产数据。</w:t>
      </w:r>
    </w:p>
    <w:p w14:paraId="0932F049">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：预演与生产环境数据隔离率100%，逐步演示状态渲染准确率≥99%，支持任意步骤回退重演。</w:t>
      </w:r>
    </w:p>
    <w:p w14:paraId="0ED3D709">
      <w:pPr>
        <w:pStyle w:val="8"/>
        <w:numPr>
          <w:ilvl w:val="2"/>
          <w:numId w:val="10"/>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功能模块七：与主网D5000及OMS系统接口完善</w:t>
      </w:r>
    </w:p>
    <w:p w14:paraId="737F3E11">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实现思路</w:t>
      </w:r>
      <w:r>
        <w:rPr>
          <w:rFonts w:hint="eastAsia" w:ascii="宋体" w:hAnsi="宋体" w:eastAsia="宋体" w:cs="宋体"/>
          <w:sz w:val="24"/>
          <w:szCs w:val="24"/>
        </w:rPr>
        <w:t>：对现有D5000接口进行全面梳理和深化，重点解决以下三方面：</w:t>
      </w:r>
    </w:p>
    <w:p w14:paraId="2511B880">
      <w:pPr>
        <w:pStyle w:val="12"/>
        <w:spacing w:line="360" w:lineRule="auto"/>
        <w:rPr>
          <w:rFonts w:hint="eastAsia" w:ascii="宋体" w:hAnsi="宋体" w:eastAsia="宋体" w:cs="宋体"/>
          <w:sz w:val="24"/>
          <w:szCs w:val="24"/>
        </w:rPr>
      </w:pPr>
      <w:r>
        <w:rPr>
          <w:rFonts w:hint="eastAsia" w:ascii="宋体" w:hAnsi="宋体" w:eastAsia="宋体" w:cs="宋体"/>
          <w:sz w:val="24"/>
          <w:szCs w:val="24"/>
        </w:rPr>
        <w:t>电网模型同步：建立D5000电网模型定期同步机制（每日增量同步+周期全量校验），确保防误校核所依赖的图模数据与D5000保持一致；</w:t>
      </w:r>
    </w:p>
    <w:p w14:paraId="200CD3DC">
      <w:pPr>
        <w:pStyle w:val="12"/>
        <w:spacing w:line="360" w:lineRule="auto"/>
        <w:rPr>
          <w:rFonts w:hint="eastAsia" w:ascii="宋体" w:hAnsi="宋体" w:eastAsia="宋体" w:cs="宋体"/>
          <w:sz w:val="24"/>
          <w:szCs w:val="24"/>
        </w:rPr>
      </w:pPr>
      <w:r>
        <w:rPr>
          <w:rFonts w:hint="eastAsia" w:ascii="宋体" w:hAnsi="宋体" w:eastAsia="宋体" w:cs="宋体"/>
          <w:sz w:val="24"/>
          <w:szCs w:val="24"/>
        </w:rPr>
        <w:t>实时数据稳定获取：优化数据采集通道，提升遥信数据的抗抖动能力，对瞬变数据进行防抖处理，避免误告警；</w:t>
      </w:r>
    </w:p>
    <w:p w14:paraId="1AE01C0F">
      <w:pPr>
        <w:pStyle w:val="12"/>
        <w:spacing w:line="360" w:lineRule="auto"/>
        <w:rPr>
          <w:rFonts w:hint="eastAsia" w:ascii="宋体" w:hAnsi="宋体" w:eastAsia="宋体" w:cs="宋体"/>
          <w:sz w:val="24"/>
          <w:szCs w:val="24"/>
        </w:rPr>
      </w:pPr>
      <w:r>
        <w:rPr>
          <w:rFonts w:hint="eastAsia" w:ascii="宋体" w:hAnsi="宋体" w:eastAsia="宋体" w:cs="宋体"/>
          <w:sz w:val="24"/>
          <w:szCs w:val="24"/>
        </w:rPr>
        <w:t>OMS深度融合：与OMS系统在用户权限、操作票流程、数据模型三个层面实现深度集成，支持单点登录、界面集成（无缝内嵌OMS值班台框架）和数据实时共享，保证调度员跨入口操作时数据一致性。</w:t>
      </w:r>
    </w:p>
    <w:p w14:paraId="15EE237F">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接口规范</w:t>
      </w:r>
      <w:r>
        <w:rPr>
          <w:rFonts w:hint="eastAsia" w:ascii="宋体" w:hAnsi="宋体" w:eastAsia="宋体" w:cs="宋体"/>
          <w:sz w:val="24"/>
          <w:szCs w:val="24"/>
        </w:rPr>
        <w:t>：全部接口遵循国网信息化接口标准，采用RESTful或WebSocket协议，接口文档与系统同步发布，便于后期维护扩展。</w:t>
      </w:r>
    </w:p>
    <w:p w14:paraId="5FF0251F">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验收标准</w:t>
      </w:r>
      <w:r>
        <w:rPr>
          <w:rFonts w:hint="eastAsia" w:ascii="宋体" w:hAnsi="宋体" w:eastAsia="宋体" w:cs="宋体"/>
          <w:sz w:val="24"/>
          <w:szCs w:val="24"/>
        </w:rPr>
        <w:t>：模型同步误差率&lt;0.1%，实时数据接口可用率≥99.9%，OMS单点登录成功率≥99.99%。</w:t>
      </w:r>
    </w:p>
    <w:p w14:paraId="6E15C47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对工程有帮助的可行性建议</w:t>
      </w:r>
    </w:p>
    <w:p w14:paraId="171DF964">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建议一：优先完成D5000接口稳定性验证</w:t>
      </w:r>
    </w:p>
    <w:p w14:paraId="78F44FC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在正式启动功能开发前，建议用2-3天专项时间完成与主网D5000自动化平台的接口联调验证，重点确认以下内容：</w:t>
      </w:r>
    </w:p>
    <w:p w14:paraId="58680462">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数据协议版本与和田供电公司D5000实际部署版本的一致性；</w:t>
      </w:r>
    </w:p>
    <w:p w14:paraId="550DE99B">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遥信数据点位映射表的完整性与准确性；</w:t>
      </w:r>
    </w:p>
    <w:p w14:paraId="72A734C0">
      <w:pPr>
        <w:pStyle w:val="12"/>
        <w:spacing w:line="360" w:lineRule="auto"/>
        <w:rPr>
          <w:rFonts w:hint="eastAsia" w:ascii="宋体" w:hAnsi="宋体" w:eastAsia="宋体" w:cs="宋体"/>
          <w:sz w:val="24"/>
          <w:szCs w:val="24"/>
        </w:rPr>
      </w:pPr>
      <w:r>
        <w:rPr>
          <w:rFonts w:hint="eastAsia" w:ascii="宋体" w:hAnsi="宋体" w:eastAsia="宋体" w:cs="宋体"/>
          <w:sz w:val="24"/>
          <w:szCs w:val="24"/>
        </w:rPr>
        <w:t>正向隔离装置的配置情况与数据通路的合规性；</w:t>
      </w:r>
    </w:p>
    <w:p w14:paraId="267CB552">
      <w:pPr>
        <w:pStyle w:val="12"/>
        <w:spacing w:line="360" w:lineRule="auto"/>
        <w:rPr>
          <w:rFonts w:hint="eastAsia" w:ascii="宋体" w:hAnsi="宋体" w:eastAsia="宋体" w:cs="宋体"/>
          <w:sz w:val="24"/>
          <w:szCs w:val="24"/>
        </w:rPr>
      </w:pPr>
      <w:r>
        <w:rPr>
          <w:rFonts w:hint="eastAsia" w:ascii="宋体" w:hAnsi="宋体" w:eastAsia="宋体" w:cs="宋体"/>
          <w:sz w:val="24"/>
          <w:szCs w:val="24"/>
        </w:rPr>
        <w:t>D5000侧接口授权与网络安全策略的开放状态。</w:t>
      </w:r>
    </w:p>
    <w:p w14:paraId="5EB3F2B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接口稳定性是实时防误校核功能的核心支柱，建议将其作为第一阶段验收的门禁条件，确保后续开发建立在可靠的数据基础上，避免因接口问题导致后期大规模返工。</w:t>
      </w:r>
    </w:p>
    <w:p w14:paraId="425626ED">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建议二：建立统一的电网设备模型基准库</w:t>
      </w:r>
    </w:p>
    <w:p w14:paraId="3BE642A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当前系统和D5000侧可能存在设备命名、编号不完全一致的问题。建议在项目启动阶段，联合项目单位的运维人员，梳理并建立一份完整的设备对照映射表（涵盖变电站名称、设备类型、电压等级、唯一标识符），作为全系统设备识别的权威基准：</w:t>
      </w:r>
    </w:p>
    <w:p w14:paraId="00324B0D">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避免因同一设备在不同系统中命名差异导致防误逻辑判断失误；</w:t>
      </w:r>
    </w:p>
    <w:p w14:paraId="6E1A99E4">
      <w:pPr>
        <w:pStyle w:val="12"/>
        <w:spacing w:line="360" w:lineRule="auto"/>
        <w:rPr>
          <w:rFonts w:hint="eastAsia" w:ascii="宋体" w:hAnsi="宋体" w:eastAsia="宋体" w:cs="宋体"/>
          <w:sz w:val="24"/>
          <w:szCs w:val="24"/>
        </w:rPr>
      </w:pPr>
      <w:r>
        <w:rPr>
          <w:rFonts w:hint="eastAsia" w:ascii="宋体" w:hAnsi="宋体" w:eastAsia="宋体" w:cs="宋体"/>
          <w:sz w:val="24"/>
          <w:szCs w:val="24"/>
        </w:rPr>
        <w:t>为后续规范校验知识库的维护提供统一参照；</w:t>
      </w:r>
    </w:p>
    <w:p w14:paraId="1B52B720">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降低系统升级时的模型迁移风险。</w:t>
      </w:r>
    </w:p>
    <w:p w14:paraId="4DA092C9">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建议三：分批上线，先功能后强制</w:t>
      </w:r>
    </w:p>
    <w:p w14:paraId="363303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考虑到电力调度系统对稳定性的极高要求，建议采用"软上线→试运行→全面推广"的三步走策略：</w:t>
      </w:r>
    </w:p>
    <w:p w14:paraId="72DE8E45">
      <w:pPr>
        <w:pStyle w:val="12"/>
        <w:spacing w:line="360" w:lineRule="auto"/>
        <w:rPr>
          <w:rFonts w:hint="eastAsia" w:ascii="宋体" w:hAnsi="宋体" w:eastAsia="宋体" w:cs="宋体"/>
          <w:sz w:val="24"/>
          <w:szCs w:val="24"/>
        </w:rPr>
      </w:pPr>
      <w:r>
        <w:rPr>
          <w:rFonts w:hint="eastAsia" w:ascii="宋体" w:hAnsi="宋体" w:eastAsia="宋体" w:cs="宋体"/>
          <w:sz w:val="24"/>
          <w:szCs w:val="24"/>
        </w:rPr>
        <w:t>软上线阶段（2周）：新增功能仅向指定测试账号开放，告警类功能仅记录不弹窗，不影响现有操作流程；</w:t>
      </w:r>
    </w:p>
    <w:p w14:paraId="3422B8AA">
      <w:pPr>
        <w:pStyle w:val="12"/>
        <w:spacing w:line="360" w:lineRule="auto"/>
        <w:rPr>
          <w:rFonts w:hint="eastAsia" w:ascii="宋体" w:hAnsi="宋体" w:eastAsia="宋体" w:cs="宋体"/>
          <w:sz w:val="24"/>
          <w:szCs w:val="24"/>
        </w:rPr>
      </w:pPr>
      <w:r>
        <w:rPr>
          <w:rFonts w:hint="eastAsia" w:ascii="宋体" w:hAnsi="宋体" w:eastAsia="宋体" w:cs="宋体"/>
          <w:sz w:val="24"/>
          <w:szCs w:val="24"/>
        </w:rPr>
        <w:t>试运行阶段（2周）：对全体调度员开放告警提示功能（提示类），收集反馈并优化告警灵敏度阈值；</w:t>
      </w:r>
    </w:p>
    <w:p w14:paraId="03518C8A">
      <w:pPr>
        <w:pStyle w:val="12"/>
        <w:spacing w:line="360" w:lineRule="auto"/>
        <w:rPr>
          <w:rFonts w:hint="eastAsia" w:ascii="宋体" w:hAnsi="宋体" w:eastAsia="宋体" w:cs="宋体"/>
          <w:sz w:val="24"/>
          <w:szCs w:val="24"/>
        </w:rPr>
      </w:pPr>
      <w:r>
        <w:rPr>
          <w:rFonts w:hint="eastAsia" w:ascii="宋体" w:hAnsi="宋体" w:eastAsia="宋体" w:cs="宋体"/>
          <w:sz w:val="24"/>
          <w:szCs w:val="24"/>
        </w:rPr>
        <w:t>全面推广阶段：启用强制确认类告警，完整上线所有功能，同期开展全员培训。</w:t>
      </w:r>
    </w:p>
    <w:p w14:paraId="7D4B82E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此策略可有效降低新功能引入带来的学习成本和操作干扰，保障平稳过渡。</w:t>
      </w:r>
    </w:p>
    <w:p w14:paraId="0A8F1E75">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建议四：建立防误规则的动态维护机制</w:t>
      </w:r>
    </w:p>
    <w:p w14:paraId="1642E5C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电网结构和调度操作规范会随着电网扩展和上级要求变化而更新。建议在系统中内置防误规则管理模块，允许有权限的管理员在不重新部署代码的情况下，在线新增、修改或停用防误规则。同时设置规则变更的审计日志，每次变更均留存操作人、变更内容和生效时间，确保规则可追溯、可审计。</w:t>
      </w:r>
    </w:p>
    <w:p w14:paraId="4264CFAB">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建议五：制定完善的培训与文档交付体系</w:t>
      </w:r>
    </w:p>
    <w:p w14:paraId="3EAB69E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系统上线后，操作层面的成功很大程度上取决于用户培训的质量。建议我方在项目收尾阶段交付以下配套材料：</w:t>
      </w:r>
    </w:p>
    <w:p w14:paraId="1CFCDDFB">
      <w:pPr>
        <w:pStyle w:val="12"/>
        <w:spacing w:line="360" w:lineRule="auto"/>
        <w:rPr>
          <w:rFonts w:hint="eastAsia" w:ascii="宋体" w:hAnsi="宋体" w:eastAsia="宋体" w:cs="宋体"/>
          <w:sz w:val="24"/>
          <w:szCs w:val="24"/>
        </w:rPr>
      </w:pPr>
      <w:r>
        <w:rPr>
          <w:rFonts w:hint="eastAsia" w:ascii="宋体" w:hAnsi="宋体" w:eastAsia="宋体" w:cs="宋体"/>
          <w:sz w:val="24"/>
          <w:szCs w:val="24"/>
        </w:rPr>
        <w:t>用户操作手册：涵盖拟票、审票、预令、下令、预演各环节的操作步骤及截图说明；</w:t>
      </w:r>
    </w:p>
    <w:p w14:paraId="56A62B9D">
      <w:pPr>
        <w:pStyle w:val="12"/>
        <w:spacing w:line="360" w:lineRule="auto"/>
        <w:rPr>
          <w:rFonts w:hint="eastAsia" w:ascii="宋体" w:hAnsi="宋体" w:eastAsia="宋体" w:cs="宋体"/>
          <w:sz w:val="24"/>
          <w:szCs w:val="24"/>
        </w:rPr>
      </w:pPr>
      <w:r>
        <w:rPr>
          <w:rFonts w:hint="eastAsia" w:ascii="宋体" w:hAnsi="宋体" w:eastAsia="宋体" w:cs="宋体"/>
          <w:sz w:val="24"/>
          <w:szCs w:val="24"/>
        </w:rPr>
        <w:t>防误规则说明文档：面向调度员的通俗化防误规则说明，明确哪些操作会触发哪类告警；</w:t>
      </w:r>
    </w:p>
    <w:p w14:paraId="62A15DF9">
      <w:pPr>
        <w:pStyle w:val="12"/>
        <w:spacing w:line="360" w:lineRule="auto"/>
        <w:rPr>
          <w:rFonts w:hint="eastAsia" w:ascii="宋体" w:hAnsi="宋体" w:eastAsia="宋体" w:cs="宋体"/>
          <w:sz w:val="24"/>
          <w:szCs w:val="24"/>
        </w:rPr>
      </w:pPr>
      <w:r>
        <w:rPr>
          <w:rFonts w:hint="eastAsia" w:ascii="宋体" w:hAnsi="宋体" w:eastAsia="宋体" w:cs="宋体"/>
          <w:sz w:val="24"/>
          <w:szCs w:val="24"/>
        </w:rPr>
        <w:t>管理员维护手册：面向系统管理员的配置、规则维护、接口监控操作指南；</w:t>
      </w:r>
    </w:p>
    <w:p w14:paraId="4F45F366">
      <w:pPr>
        <w:pStyle w:val="12"/>
        <w:spacing w:line="360" w:lineRule="auto"/>
        <w:rPr>
          <w:rFonts w:hint="eastAsia" w:ascii="宋体" w:hAnsi="宋体" w:eastAsia="宋体" w:cs="宋体"/>
          <w:sz w:val="24"/>
          <w:szCs w:val="24"/>
        </w:rPr>
      </w:pPr>
      <w:r>
        <w:rPr>
          <w:rFonts w:hint="eastAsia" w:ascii="宋体" w:hAnsi="宋体" w:eastAsia="宋体" w:cs="宋体"/>
          <w:sz w:val="24"/>
          <w:szCs w:val="24"/>
        </w:rPr>
        <w:t>视频操作教程：录制关键功能操作演示视频，供后续新员工自学使用。</w:t>
      </w:r>
    </w:p>
    <w:p w14:paraId="42A5433E">
      <w:pPr>
        <w:pStyle w:val="8"/>
        <w:numPr>
          <w:ilvl w:val="2"/>
          <w:numId w:val="11"/>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建议六：设立上线期间应急值守机制</w:t>
      </w:r>
    </w:p>
    <w:p w14:paraId="1F2E18B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系统正式上线后的前两周，建议我方安排技术人员驻场支持，随时响应调度员在实际操作中发现的问题，提供即时修正和指导。同时与项目单位约定应急响应流程，确保若出现影响调度业务的功能异常，能在30分钟内给出临时解决方案，在2小时内完成修复或回滚。</w:t>
      </w:r>
    </w:p>
    <w:p w14:paraId="0E8048AF">
      <w:pPr>
        <w:pStyle w:val="2"/>
        <w:rPr>
          <w:rFonts w:hint="eastAsia"/>
          <w:lang w:val="en-US" w:eastAsia="zh-CN"/>
        </w:rPr>
      </w:pPr>
    </w:p>
    <w:p w14:paraId="4E85EDED">
      <w:pPr>
        <w:numPr>
          <w:ilvl w:val="1"/>
          <w:numId w:val="3"/>
        </w:numPr>
        <w:adjustRightInd w:val="0"/>
        <w:snapToGrid w:val="0"/>
        <w:spacing w:line="400" w:lineRule="exact"/>
        <w:ind w:left="567" w:leftChars="0" w:hanging="567" w:firstLineChars="0"/>
        <w:outlineLvl w:val="2"/>
        <w:rPr>
          <w:rFonts w:hint="default"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项目意义与展望</w:t>
      </w:r>
    </w:p>
    <w:p w14:paraId="2236A3AC">
      <w:pPr>
        <w:pStyle w:val="8"/>
        <w:numPr>
          <w:ilvl w:val="2"/>
          <w:numId w:val="12"/>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项目建设意义</w:t>
      </w:r>
    </w:p>
    <w:p w14:paraId="6448DE1C">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（1）保障调度操作安全，杜绝电力事故</w:t>
      </w:r>
    </w:p>
    <w:p w14:paraId="36D5C04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调度操作是电力系统安全运行的核心环节，任何误操作均可能引发设备损毁甚至大范围停电事故。本项目通过7大安全防误功能的综合部署，构建从拟票到执行全流程的多重安全屏障，将误操作风险从依赖人工防范提升到系统智能拦截的层次，从根源上降低安全事故概率，为和田地区电力供应的稳定性提供坚实保障。</w:t>
      </w:r>
    </w:p>
    <w:p w14:paraId="42CC1002">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（2）提升调度员工作效率与职业安全感</w:t>
      </w:r>
    </w:p>
    <w:p w14:paraId="52535A9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实时设备状态展示、操作规范自动校验、模拟预演沙盒等功能，可显著减少调度员手工核对的工作量，让调度员将更多精力集中在专业判断而非繁琐的人工核对上。告警中心的统一聚合，也避免了信息分散带来的遗漏风险，有效提升调度员的工作安全感和职业信心。</w:t>
      </w:r>
    </w:p>
    <w:p w14:paraId="4B546497">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（3）达到国调技术标准要求</w:t>
      </w:r>
    </w:p>
    <w:p w14:paraId="241F034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本项目建设目标与国家调度对调度操作安全防误功能的规范要求高度契合，完成后将使国网新疆和田供电公司的网络发令系统跻身国调标准合规行列，为公司在技术管理层面的合规考核提供有力支撑。</w:t>
      </w:r>
    </w:p>
    <w:p w14:paraId="7EF297C8">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（4）为区域电网数字化转型奠定基础</w:t>
      </w:r>
    </w:p>
    <w:p w14:paraId="1B2EA1D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本项目中构建的防误规则引擎、D5000实时接口、拓扑推演模型等基础能力，不仅服务于本次功能完善目标，更为未来智能调度、自动化操作、AI辅助决策等更高层次数字化应用奠定了数据和技术基础。</w:t>
      </w:r>
    </w:p>
    <w:p w14:paraId="473208C1">
      <w:pPr>
        <w:pStyle w:val="8"/>
        <w:numPr>
          <w:ilvl w:val="2"/>
          <w:numId w:val="12"/>
        </w:numPr>
        <w:spacing w:line="360" w:lineRule="auto"/>
        <w:ind w:left="720" w:leftChars="0" w:hanging="720" w:firstLineChars="0"/>
        <w:rPr>
          <w:rFonts w:hint="eastAsia" w:ascii="宋体" w:hAnsi="宋体" w:eastAsia="宋体" w:cs="宋体"/>
          <w:sz w:val="24"/>
          <w:szCs w:val="24"/>
        </w:rPr>
      </w:pPr>
      <w:r>
        <w:rPr>
          <w:rFonts w:hint="eastAsia" w:ascii="宋体" w:hAnsi="宋体" w:eastAsia="宋体" w:cs="宋体"/>
          <w:sz w:val="24"/>
          <w:szCs w:val="24"/>
        </w:rPr>
        <w:t>未来展望</w:t>
      </w:r>
    </w:p>
    <w:p w14:paraId="7602D59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在本项目完成后，我方预见以下发展方向，可作为后续规划的参考：</w:t>
      </w:r>
    </w:p>
    <w:p w14:paraId="495DE853">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（1）AI辅助拟票推荐</w:t>
      </w:r>
    </w:p>
    <w:p w14:paraId="06C82F9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基于历史操作票数据和设备模型，引入机器学习算法，在调度员新建操作票时自动推荐历史相似操作票模板，减少重复劳动，同时基于历史错误案例做智能预警。</w:t>
      </w:r>
    </w:p>
    <w:p w14:paraId="6ED07488">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（2）全电网联合防误</w:t>
      </w:r>
    </w:p>
    <w:p w14:paraId="50AC099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在地区电网层面，将各变电站操作票系统与调度系统的防误逻辑进行纵向贯通，实现从调度侧到站端的全链路联合防误校核，形成更完整的安全防护体系。</w:t>
      </w:r>
    </w:p>
    <w:p w14:paraId="5F6D0AD4">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（3）移动端调度辅助</w:t>
      </w:r>
    </w:p>
    <w:p w14:paraId="239A76D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将告警中心、操作票查阅等功能延伸至移动端，为调度员提供离岗状态下的信息推送和紧急响应支持，进一步拓展调度安全防护的时空覆盖范围。</w:t>
      </w:r>
    </w:p>
    <w:p w14:paraId="0628D043">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（4）大数据运营分析</w:t>
      </w:r>
    </w:p>
    <w:p w14:paraId="4CEB104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汇聚防误告警、操作偏差、设备状态异常等多维运营数据，构建调度操作质量分析平台，为管理层提供决策支持，持续优化调度管理流程和人员培训方向。</w:t>
      </w:r>
    </w:p>
    <w:p w14:paraId="010435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77652DC8">
      <w:pPr>
        <w:numPr>
          <w:ilvl w:val="0"/>
          <w:numId w:val="3"/>
        </w:numPr>
        <w:adjustRightInd w:val="0"/>
        <w:snapToGrid w:val="0"/>
        <w:spacing w:line="400" w:lineRule="exact"/>
        <w:ind w:left="425" w:leftChars="0" w:hanging="425" w:firstLineChars="0"/>
        <w:outlineLvl w:val="1"/>
        <w:rPr>
          <w:rFonts w:hint="eastAsia" w:ascii="宋体" w:hAnsi="宋体" w:eastAsia="宋体" w:cs="宋体"/>
          <w:b/>
          <w:color w:val="000000" w:themeColor="text1"/>
          <w:sz w:val="24"/>
          <w:szCs w:val="28"/>
          <w:highlight w:val="none"/>
          <w14:textFill>
            <w14:solidFill>
              <w14:schemeClr w14:val="tx1"/>
            </w14:solidFill>
          </w14:textFill>
        </w:rPr>
      </w:pPr>
      <w:bookmarkStart w:id="3" w:name="_Toc2484"/>
      <w:bookmarkStart w:id="4" w:name="_Toc3223"/>
      <w:bookmarkStart w:id="5" w:name="_Toc14811"/>
      <w:r>
        <w:rPr>
          <w:rFonts w:hint="eastAsia" w:ascii="宋体" w:hAnsi="宋体" w:eastAsia="宋体" w:cs="宋体"/>
          <w:b/>
          <w:color w:val="000000" w:themeColor="text1"/>
          <w:sz w:val="24"/>
          <w:szCs w:val="28"/>
          <w:highlight w:val="none"/>
          <w14:textFill>
            <w14:solidFill>
              <w14:schemeClr w14:val="tx1"/>
            </w14:solidFill>
          </w14:textFill>
        </w:rPr>
        <w:t>工作规划描述</w:t>
      </w:r>
      <w:bookmarkEnd w:id="3"/>
      <w:bookmarkEnd w:id="4"/>
      <w:bookmarkEnd w:id="5"/>
    </w:p>
    <w:p w14:paraId="37531333">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yellow"/>
          <w:lang w:val="en-US" w:eastAsia="zh-CN"/>
          <w14:textFill>
            <w14:solidFill>
              <w14:schemeClr w14:val="tx1"/>
            </w14:solidFill>
          </w14:textFill>
        </w:rPr>
      </w:pPr>
      <w:bookmarkStart w:id="6" w:name="_Toc23233"/>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硬件、软件实力</w:t>
      </w:r>
    </w:p>
    <w:p w14:paraId="7F30E8F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硬件实力</w:t>
      </w:r>
    </w:p>
    <w:p w14:paraId="251058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49F7922F">
      <w:pPr>
        <w:numPr>
          <w:ilvl w:val="2"/>
          <w:numId w:val="3"/>
        </w:numPr>
        <w:adjustRightInd w:val="0"/>
        <w:snapToGrid w:val="0"/>
        <w:spacing w:line="400" w:lineRule="exact"/>
        <w:ind w:left="709" w:leftChars="0" w:hanging="709" w:firstLineChars="0"/>
        <w:outlineLvl w:val="3"/>
        <w:rPr>
          <w:rFonts w:hint="eastAsia" w:ascii="宋体" w:hAnsi="宋体" w:eastAsia="宋体" w:cs="宋体"/>
          <w:b/>
          <w:color w:val="000000" w:themeColor="text1"/>
          <w:sz w:val="24"/>
          <w:szCs w:val="28"/>
          <w:highlight w:val="yellow"/>
          <w:lang w:val="en-US" w:eastAsia="zh-CN"/>
          <w14:textFill>
            <w14:solidFill>
              <w14:schemeClr w14:val="tx1"/>
            </w14:solidFill>
          </w14:textFill>
        </w:rPr>
      </w:pPr>
      <w:r>
        <w:rPr>
          <w:rFonts w:hint="eastAsia" w:ascii="宋体" w:hAnsi="宋体" w:eastAsia="宋体" w:cs="宋体"/>
          <w:b/>
          <w:color w:val="000000" w:themeColor="text1"/>
          <w:sz w:val="24"/>
          <w:szCs w:val="28"/>
          <w:highlight w:val="yellow"/>
          <w:lang w:val="en-US" w:eastAsia="zh-CN"/>
          <w14:textFill>
            <w14:solidFill>
              <w14:schemeClr w14:val="tx1"/>
            </w14:solidFill>
          </w14:textFill>
        </w:rPr>
        <w:t>软件实力</w:t>
      </w:r>
    </w:p>
    <w:p w14:paraId="593FCD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5D907E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项目实施规模、范围</w:t>
      </w:r>
    </w:p>
    <w:p w14:paraId="2E61A68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本项目实施范围为国网新疆和田供电公司网络发令系统操作票智能安全防误功能完善，具体包括以下工作内容：</w:t>
      </w:r>
    </w:p>
    <w:p w14:paraId="276EBA55">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软件开发与功能升级</w:t>
      </w:r>
      <w:r>
        <w:rPr>
          <w:rFonts w:hint="eastAsia" w:ascii="宋体" w:hAnsi="宋体" w:eastAsia="宋体" w:cs="宋体"/>
          <w:sz w:val="24"/>
          <w:szCs w:val="24"/>
        </w:rPr>
        <w:t>：在现有网络发令系统架构基础上，完成7大功能模块的开发、联调与上线，涵盖操作内容规范校验、基本拓扑防误校核、设备状态实时防误校核、调度操作过程安全防误、安全防误智能告警、操作票模拟预演、D5000与OMS系统接口完善。</w:t>
      </w:r>
    </w:p>
    <w:p w14:paraId="26808706">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系统集成与接口对接</w:t>
      </w:r>
      <w:r>
        <w:rPr>
          <w:rFonts w:hint="eastAsia" w:ascii="宋体" w:hAnsi="宋体" w:eastAsia="宋体" w:cs="宋体"/>
          <w:sz w:val="24"/>
          <w:szCs w:val="24"/>
        </w:rPr>
        <w:t>：与主网D5000自动化平台完成实时数据接口对接，与OMS系统完成单点登录、界面集成和数据共享联调，实现双入口业务功能统一。</w:t>
      </w:r>
    </w:p>
    <w:p w14:paraId="1B0DE964">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测试与验收支持</w:t>
      </w:r>
      <w:r>
        <w:rPr>
          <w:rFonts w:hint="eastAsia" w:ascii="宋体" w:hAnsi="宋体" w:eastAsia="宋体" w:cs="宋体"/>
          <w:sz w:val="24"/>
          <w:szCs w:val="24"/>
        </w:rPr>
        <w:t>：提供完整的测试用例文档，支持项目单位开展功能验收测试（FAT）和用户验收测试（UAT），配合整改并出具测试报告。</w:t>
      </w:r>
    </w:p>
    <w:p w14:paraId="306573A7">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培训与文档交付</w:t>
      </w:r>
      <w:r>
        <w:rPr>
          <w:rFonts w:hint="eastAsia" w:ascii="宋体" w:hAnsi="宋体" w:eastAsia="宋体" w:cs="宋体"/>
          <w:sz w:val="24"/>
          <w:szCs w:val="24"/>
        </w:rPr>
        <w:t>：交付用户操作手册、管理员维护手册、防误规则说明文档及视频教程，开展现场操作培训。</w:t>
      </w:r>
    </w:p>
    <w:p w14:paraId="77C718FB">
      <w:pPr>
        <w:spacing w:line="360" w:lineRule="auto"/>
        <w:ind w:firstLine="480"/>
        <w:rPr>
          <w:rFonts w:hint="eastAsia" w:ascii="宋体" w:hAnsi="宋体" w:eastAsia="宋体" w:cs="宋体"/>
          <w:sz w:val="24"/>
          <w:szCs w:val="24"/>
        </w:rPr>
      </w:pPr>
      <w:r>
        <w:rPr>
          <w:rFonts w:hint="eastAsia" w:ascii="宋体" w:hAnsi="宋体" w:eastAsia="宋体" w:cs="宋体"/>
          <w:b/>
          <w:sz w:val="24"/>
          <w:szCs w:val="24"/>
        </w:rPr>
        <w:t>运维支持</w:t>
      </w:r>
      <w:r>
        <w:rPr>
          <w:rFonts w:hint="eastAsia" w:ascii="宋体" w:hAnsi="宋体" w:eastAsia="宋体" w:cs="宋体"/>
          <w:sz w:val="24"/>
          <w:szCs w:val="24"/>
        </w:rPr>
        <w:t>：在上线后保修期内（不少于12个月），提供7×24小时技术支持，响应和处理系统故障及功能问题。</w:t>
      </w:r>
    </w:p>
    <w:p w14:paraId="56245566">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eastAsia="宋体" w:cs="宋体"/>
          <w:b/>
          <w:color w:val="000000" w:themeColor="text1"/>
          <w:sz w:val="24"/>
          <w:szCs w:val="28"/>
          <w:highlight w:val="none"/>
          <w:lang w:val="en-US" w:eastAsia="zh-CN"/>
          <w14:textFill>
            <w14:solidFill>
              <w14:schemeClr w14:val="tx1"/>
            </w14:solidFill>
          </w14:textFill>
        </w:rPr>
        <w:t>项目建设依据</w:t>
      </w:r>
    </w:p>
    <w:p w14:paraId="4A441ECB">
      <w:pPr>
        <w:ind w:firstLine="480"/>
      </w:pPr>
      <w:r>
        <w:rPr>
          <w:rFonts w:ascii="宋体" w:hAnsi="宋体" w:eastAsia="宋体"/>
          <w:sz w:val="24"/>
        </w:rPr>
        <w:t>本项目建设遵循以下标准和规范：</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0"/>
        <w:gridCol w:w="4302"/>
      </w:tblGrid>
      <w:tr w14:paraId="2A6F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2464ED40">
            <w:pPr>
              <w:spacing w:after="0" w:line="240" w:lineRule="auto"/>
            </w:pPr>
            <w:r>
              <w:rPr>
                <w:rFonts w:ascii="宋体" w:hAnsi="宋体" w:eastAsia="宋体"/>
                <w:b/>
                <w:sz w:val="22"/>
              </w:rPr>
              <w:t>编号</w:t>
            </w:r>
          </w:p>
        </w:tc>
        <w:tc>
          <w:tcPr>
            <w:tcW w:w="4561" w:type="dxa"/>
          </w:tcPr>
          <w:p w14:paraId="6D3EB24A">
            <w:pPr>
              <w:spacing w:after="0" w:line="240" w:lineRule="auto"/>
            </w:pPr>
            <w:r>
              <w:rPr>
                <w:rFonts w:ascii="宋体" w:hAnsi="宋体" w:eastAsia="宋体"/>
                <w:b/>
                <w:sz w:val="22"/>
              </w:rPr>
              <w:t>标准/规范名称</w:t>
            </w:r>
          </w:p>
        </w:tc>
      </w:tr>
      <w:tr w14:paraId="40B5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75AFF14C">
            <w:pPr>
              <w:spacing w:after="0" w:line="240" w:lineRule="auto"/>
            </w:pPr>
            <w:r>
              <w:rPr>
                <w:rFonts w:ascii="宋体" w:hAnsi="宋体" w:eastAsia="宋体"/>
                <w:sz w:val="22"/>
              </w:rPr>
              <w:t>1</w:t>
            </w:r>
          </w:p>
        </w:tc>
        <w:tc>
          <w:tcPr>
            <w:tcW w:w="4561" w:type="dxa"/>
          </w:tcPr>
          <w:p w14:paraId="617FCDB1">
            <w:pPr>
              <w:spacing w:after="0" w:line="240" w:lineRule="auto"/>
            </w:pPr>
            <w:r>
              <w:rPr>
                <w:rFonts w:ascii="宋体" w:hAnsi="宋体" w:eastAsia="宋体"/>
                <w:sz w:val="22"/>
              </w:rPr>
              <w:t>《国家电网公司调度操作安全防误技术规范》</w:t>
            </w:r>
          </w:p>
        </w:tc>
      </w:tr>
      <w:tr w14:paraId="4B14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52A73D2D">
            <w:pPr>
              <w:spacing w:after="0" w:line="240" w:lineRule="auto"/>
            </w:pPr>
            <w:r>
              <w:rPr>
                <w:rFonts w:ascii="宋体" w:hAnsi="宋体" w:eastAsia="宋体"/>
                <w:sz w:val="22"/>
              </w:rPr>
              <w:t>2</w:t>
            </w:r>
          </w:p>
        </w:tc>
        <w:tc>
          <w:tcPr>
            <w:tcW w:w="4561" w:type="dxa"/>
          </w:tcPr>
          <w:p w14:paraId="3CB95966">
            <w:pPr>
              <w:spacing w:after="0" w:line="240" w:lineRule="auto"/>
            </w:pPr>
            <w:r>
              <w:rPr>
                <w:rFonts w:ascii="宋体" w:hAnsi="宋体" w:eastAsia="宋体"/>
                <w:sz w:val="22"/>
              </w:rPr>
              <w:t>《电力监控系统安全防护规定》（国家发展改革委令第14号）</w:t>
            </w:r>
          </w:p>
        </w:tc>
      </w:tr>
      <w:tr w14:paraId="335C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4B0457B1">
            <w:pPr>
              <w:spacing w:after="0" w:line="240" w:lineRule="auto"/>
            </w:pPr>
            <w:r>
              <w:rPr>
                <w:rFonts w:ascii="宋体" w:hAnsi="宋体" w:eastAsia="宋体"/>
                <w:sz w:val="22"/>
              </w:rPr>
              <w:t>3</w:t>
            </w:r>
          </w:p>
        </w:tc>
        <w:tc>
          <w:tcPr>
            <w:tcW w:w="4561" w:type="dxa"/>
          </w:tcPr>
          <w:p w14:paraId="1B9AAA89">
            <w:pPr>
              <w:spacing w:after="0" w:line="240" w:lineRule="auto"/>
            </w:pPr>
            <w:r>
              <w:rPr>
                <w:rFonts w:ascii="宋体" w:hAnsi="宋体" w:eastAsia="宋体"/>
                <w:sz w:val="22"/>
              </w:rPr>
              <w:t>《电力二次系统安全防护总体方案》</w:t>
            </w:r>
          </w:p>
        </w:tc>
      </w:tr>
      <w:tr w14:paraId="4E2F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0095D35">
            <w:pPr>
              <w:spacing w:after="0" w:line="240" w:lineRule="auto"/>
            </w:pPr>
            <w:r>
              <w:rPr>
                <w:rFonts w:ascii="宋体" w:hAnsi="宋体" w:eastAsia="宋体"/>
                <w:sz w:val="22"/>
              </w:rPr>
              <w:t>4</w:t>
            </w:r>
          </w:p>
        </w:tc>
        <w:tc>
          <w:tcPr>
            <w:tcW w:w="4561" w:type="dxa"/>
          </w:tcPr>
          <w:p w14:paraId="720B25B6">
            <w:pPr>
              <w:spacing w:after="0" w:line="240" w:lineRule="auto"/>
            </w:pPr>
            <w:r>
              <w:rPr>
                <w:rFonts w:ascii="宋体" w:hAnsi="宋体" w:eastAsia="宋体"/>
                <w:sz w:val="22"/>
              </w:rPr>
              <w:t>《调度自动化系统运行管理规程》</w:t>
            </w:r>
          </w:p>
        </w:tc>
      </w:tr>
      <w:tr w14:paraId="15E1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0744B9E">
            <w:pPr>
              <w:spacing w:after="0" w:line="240" w:lineRule="auto"/>
            </w:pPr>
            <w:r>
              <w:rPr>
                <w:rFonts w:ascii="宋体" w:hAnsi="宋体" w:eastAsia="宋体"/>
                <w:sz w:val="22"/>
              </w:rPr>
              <w:t>5</w:t>
            </w:r>
          </w:p>
        </w:tc>
        <w:tc>
          <w:tcPr>
            <w:tcW w:w="4561" w:type="dxa"/>
          </w:tcPr>
          <w:p w14:paraId="46A3AB43">
            <w:pPr>
              <w:spacing w:after="0" w:line="240" w:lineRule="auto"/>
            </w:pPr>
            <w:r>
              <w:rPr>
                <w:rFonts w:ascii="宋体" w:hAnsi="宋体" w:eastAsia="宋体"/>
                <w:sz w:val="22"/>
              </w:rPr>
              <w:t>《国家电网公司信息化"十四五"专项规划》</w:t>
            </w:r>
          </w:p>
        </w:tc>
      </w:tr>
      <w:tr w14:paraId="4B42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71BD64F5">
            <w:pPr>
              <w:spacing w:after="0" w:line="240" w:lineRule="auto"/>
            </w:pPr>
            <w:r>
              <w:rPr>
                <w:rFonts w:ascii="宋体" w:hAnsi="宋体" w:eastAsia="宋体"/>
                <w:sz w:val="22"/>
              </w:rPr>
              <w:t>6</w:t>
            </w:r>
          </w:p>
        </w:tc>
        <w:tc>
          <w:tcPr>
            <w:tcW w:w="4561" w:type="dxa"/>
          </w:tcPr>
          <w:p w14:paraId="5763E789">
            <w:pPr>
              <w:spacing w:after="0" w:line="240" w:lineRule="auto"/>
            </w:pPr>
            <w:r>
              <w:rPr>
                <w:rFonts w:ascii="宋体" w:hAnsi="宋体" w:eastAsia="宋体"/>
                <w:sz w:val="22"/>
              </w:rPr>
              <w:t>《国家电网公司网络安全管理规定》</w:t>
            </w:r>
          </w:p>
        </w:tc>
      </w:tr>
      <w:tr w14:paraId="0B40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45FA212F">
            <w:pPr>
              <w:spacing w:after="0" w:line="240" w:lineRule="auto"/>
            </w:pPr>
            <w:r>
              <w:rPr>
                <w:rFonts w:ascii="宋体" w:hAnsi="宋体" w:eastAsia="宋体"/>
                <w:sz w:val="22"/>
              </w:rPr>
              <w:t>7</w:t>
            </w:r>
          </w:p>
        </w:tc>
        <w:tc>
          <w:tcPr>
            <w:tcW w:w="4561" w:type="dxa"/>
          </w:tcPr>
          <w:p w14:paraId="255FE660">
            <w:pPr>
              <w:spacing w:after="0" w:line="240" w:lineRule="auto"/>
            </w:pPr>
            <w:r>
              <w:rPr>
                <w:rFonts w:ascii="宋体" w:hAnsi="宋体" w:eastAsia="宋体"/>
                <w:sz w:val="22"/>
              </w:rPr>
              <w:t>IEC 61968/61970 电力系统管理及信息交换标准</w:t>
            </w:r>
          </w:p>
        </w:tc>
      </w:tr>
      <w:tr w14:paraId="6E9A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85DC228">
            <w:pPr>
              <w:spacing w:after="0" w:line="240" w:lineRule="auto"/>
            </w:pPr>
            <w:r>
              <w:rPr>
                <w:rFonts w:ascii="宋体" w:hAnsi="宋体" w:eastAsia="宋体"/>
                <w:sz w:val="22"/>
              </w:rPr>
              <w:t>8</w:t>
            </w:r>
          </w:p>
        </w:tc>
        <w:tc>
          <w:tcPr>
            <w:tcW w:w="4561" w:type="dxa"/>
          </w:tcPr>
          <w:p w14:paraId="485D2BD7">
            <w:pPr>
              <w:spacing w:after="0" w:line="240" w:lineRule="auto"/>
            </w:pPr>
            <w:r>
              <w:rPr>
                <w:rFonts w:ascii="宋体" w:hAnsi="宋体" w:eastAsia="宋体"/>
                <w:sz w:val="22"/>
              </w:rPr>
              <w:t>GB/T 38942-2020 电力监控系统网络安全防护导则</w:t>
            </w:r>
          </w:p>
        </w:tc>
      </w:tr>
      <w:tr w14:paraId="0878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5DC66619">
            <w:pPr>
              <w:spacing w:after="0" w:line="240" w:lineRule="auto"/>
            </w:pPr>
            <w:r>
              <w:rPr>
                <w:rFonts w:ascii="宋体" w:hAnsi="宋体" w:eastAsia="宋体"/>
                <w:sz w:val="22"/>
              </w:rPr>
              <w:t>9</w:t>
            </w:r>
          </w:p>
        </w:tc>
        <w:tc>
          <w:tcPr>
            <w:tcW w:w="4561" w:type="dxa"/>
          </w:tcPr>
          <w:p w14:paraId="4B39177A">
            <w:pPr>
              <w:spacing w:after="0" w:line="240" w:lineRule="auto"/>
            </w:pPr>
            <w:r>
              <w:rPr>
                <w:rFonts w:ascii="宋体" w:hAnsi="宋体" w:eastAsia="宋体"/>
                <w:sz w:val="22"/>
              </w:rPr>
              <w:t>《新疆电力公司调度操作管理实施细则》</w:t>
            </w:r>
          </w:p>
        </w:tc>
      </w:tr>
      <w:tr w14:paraId="6B2D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1" w:type="dxa"/>
          </w:tcPr>
          <w:p w14:paraId="348E2E99">
            <w:pPr>
              <w:spacing w:after="0" w:line="240" w:lineRule="auto"/>
            </w:pPr>
            <w:r>
              <w:rPr>
                <w:rFonts w:ascii="宋体" w:hAnsi="宋体" w:eastAsia="宋体"/>
                <w:sz w:val="22"/>
              </w:rPr>
              <w:t>10</w:t>
            </w:r>
          </w:p>
        </w:tc>
        <w:tc>
          <w:tcPr>
            <w:tcW w:w="4561" w:type="dxa"/>
          </w:tcPr>
          <w:p w14:paraId="45AF2EAB">
            <w:pPr>
              <w:spacing w:after="0" w:line="240" w:lineRule="auto"/>
            </w:pPr>
            <w:r>
              <w:rPr>
                <w:rFonts w:ascii="宋体" w:hAnsi="宋体" w:eastAsia="宋体"/>
                <w:sz w:val="22"/>
              </w:rPr>
              <w:t>国网新疆和田供电公司现行技术规范书要求</w:t>
            </w:r>
          </w:p>
        </w:tc>
      </w:tr>
    </w:tbl>
    <w:p w14:paraId="78768E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p>
    <w:p w14:paraId="47A67792">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项目服务目标</w:t>
      </w:r>
    </w:p>
    <w:p w14:paraId="65342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安全目标：系统上线后，调度操作过程中因系统防误逻辑失效导致的告警漏报率为零；强制确认类操作无法绕过。</w:t>
      </w:r>
    </w:p>
    <w:p w14:paraId="46C9CC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质量目标：各功能模块一次验收通过率≥90%；最终交付版本缺陷密度（缺陷数/千行代码）≤1。</w:t>
      </w:r>
    </w:p>
    <w:p w14:paraId="150509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进度目标：按合同约定工期完成全部功能开发与上线，关键里程碑节点不延期。</w:t>
      </w:r>
    </w:p>
    <w:p w14:paraId="1722B5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pPr>
      <w:r>
        <w:rPr>
          <w:rFonts w:hint="eastAsia" w:ascii="宋体" w:hAnsi="宋体" w:eastAsia="宋体" w:cs="宋体"/>
          <w:b w:val="0"/>
          <w:bCs/>
          <w:color w:val="000000" w:themeColor="text1"/>
          <w:sz w:val="24"/>
          <w:szCs w:val="28"/>
          <w:highlight w:val="none"/>
          <w:lang w:val="en-US" w:eastAsia="zh-CN"/>
          <w14:textFill>
            <w14:solidFill>
              <w14:schemeClr w14:val="tx1"/>
            </w14:solidFill>
          </w14:textFill>
        </w:rPr>
        <w:t>服务目标：7×24小时服务响应，故障接报后30分钟内响应，2小时内给出实质性处理方案，24小时内提交故障处理报告。</w:t>
      </w:r>
    </w:p>
    <w:p w14:paraId="1A7AF73C">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r>
        <w:rPr>
          <w:rFonts w:hint="eastAsia" w:ascii="宋体" w:hAnsi="宋体" w:cs="宋体"/>
          <w:b/>
          <w:color w:val="000000" w:themeColor="text1"/>
          <w:sz w:val="24"/>
          <w:szCs w:val="28"/>
          <w:highlight w:val="none"/>
          <w:lang w:val="en-US" w:eastAsia="zh-CN"/>
          <w14:textFill>
            <w14:solidFill>
              <w14:schemeClr w14:val="tx1"/>
            </w14:solidFill>
          </w14:textFill>
        </w:rPr>
        <w:t>项目服务</w:t>
      </w:r>
      <w:r>
        <w:rPr>
          <w:rFonts w:hint="eastAsia" w:ascii="宋体" w:hAnsi="宋体" w:eastAsia="宋体" w:cs="宋体"/>
          <w:b/>
          <w:color w:val="000000" w:themeColor="text1"/>
          <w:sz w:val="24"/>
          <w:szCs w:val="28"/>
          <w:highlight w:val="none"/>
          <w:lang w:val="en-US" w:eastAsia="zh-CN"/>
          <w14:textFill>
            <w14:solidFill>
              <w14:schemeClr w14:val="tx1"/>
            </w14:solidFill>
          </w14:textFill>
        </w:rPr>
        <w:t>内容</w:t>
      </w:r>
      <w:bookmarkEnd w:id="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853"/>
        <w:gridCol w:w="2844"/>
      </w:tblGrid>
      <w:tr w14:paraId="05DB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97087F8">
            <w:pPr>
              <w:spacing w:after="0" w:line="240" w:lineRule="auto"/>
            </w:pPr>
            <w:r>
              <w:rPr>
                <w:rFonts w:ascii="宋体" w:hAnsi="宋体" w:eastAsia="宋体"/>
                <w:b/>
                <w:sz w:val="22"/>
              </w:rPr>
              <w:t>序号</w:t>
            </w:r>
          </w:p>
        </w:tc>
        <w:tc>
          <w:tcPr>
            <w:tcW w:w="3041" w:type="dxa"/>
          </w:tcPr>
          <w:p w14:paraId="17FE757F">
            <w:pPr>
              <w:spacing w:after="0" w:line="240" w:lineRule="auto"/>
            </w:pPr>
            <w:r>
              <w:rPr>
                <w:rFonts w:ascii="宋体" w:hAnsi="宋体" w:eastAsia="宋体"/>
                <w:b/>
                <w:sz w:val="22"/>
              </w:rPr>
              <w:t>服务内容</w:t>
            </w:r>
          </w:p>
        </w:tc>
        <w:tc>
          <w:tcPr>
            <w:tcW w:w="3041" w:type="dxa"/>
          </w:tcPr>
          <w:p w14:paraId="26C7B8DB">
            <w:pPr>
              <w:spacing w:after="0" w:line="240" w:lineRule="auto"/>
            </w:pPr>
            <w:r>
              <w:rPr>
                <w:rFonts w:ascii="宋体" w:hAnsi="宋体" w:eastAsia="宋体"/>
                <w:b/>
                <w:sz w:val="22"/>
              </w:rPr>
              <w:t>交付物</w:t>
            </w:r>
          </w:p>
        </w:tc>
      </w:tr>
      <w:tr w14:paraId="753F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6C31937">
            <w:pPr>
              <w:spacing w:after="0" w:line="240" w:lineRule="auto"/>
            </w:pPr>
            <w:r>
              <w:rPr>
                <w:rFonts w:ascii="宋体" w:hAnsi="宋体" w:eastAsia="宋体"/>
                <w:sz w:val="22"/>
              </w:rPr>
              <w:t>1</w:t>
            </w:r>
          </w:p>
        </w:tc>
        <w:tc>
          <w:tcPr>
            <w:tcW w:w="3041" w:type="dxa"/>
          </w:tcPr>
          <w:p w14:paraId="5B49184C">
            <w:pPr>
              <w:spacing w:after="0" w:line="240" w:lineRule="auto"/>
            </w:pPr>
            <w:r>
              <w:rPr>
                <w:rFonts w:ascii="宋体" w:hAnsi="宋体" w:eastAsia="宋体"/>
                <w:sz w:val="22"/>
              </w:rPr>
              <w:t>需求调研与方案细化</w:t>
            </w:r>
          </w:p>
        </w:tc>
        <w:tc>
          <w:tcPr>
            <w:tcW w:w="3041" w:type="dxa"/>
          </w:tcPr>
          <w:p w14:paraId="6550612C">
            <w:pPr>
              <w:spacing w:after="0" w:line="240" w:lineRule="auto"/>
            </w:pPr>
            <w:r>
              <w:rPr>
                <w:rFonts w:ascii="宋体" w:hAnsi="宋体" w:eastAsia="宋体"/>
                <w:sz w:val="22"/>
              </w:rPr>
              <w:t>需求确认书、详细设计文档</w:t>
            </w:r>
          </w:p>
        </w:tc>
      </w:tr>
      <w:tr w14:paraId="312A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637E4EA7">
            <w:pPr>
              <w:spacing w:after="0" w:line="240" w:lineRule="auto"/>
            </w:pPr>
            <w:r>
              <w:rPr>
                <w:rFonts w:ascii="宋体" w:hAnsi="宋体" w:eastAsia="宋体"/>
                <w:sz w:val="22"/>
              </w:rPr>
              <w:t>2</w:t>
            </w:r>
          </w:p>
        </w:tc>
        <w:tc>
          <w:tcPr>
            <w:tcW w:w="3041" w:type="dxa"/>
          </w:tcPr>
          <w:p w14:paraId="44F1FEDA">
            <w:pPr>
              <w:spacing w:after="0" w:line="240" w:lineRule="auto"/>
            </w:pPr>
            <w:r>
              <w:rPr>
                <w:rFonts w:ascii="宋体" w:hAnsi="宋体" w:eastAsia="宋体"/>
                <w:sz w:val="22"/>
              </w:rPr>
              <w:t>防误规则库建设</w:t>
            </w:r>
          </w:p>
        </w:tc>
        <w:tc>
          <w:tcPr>
            <w:tcW w:w="3041" w:type="dxa"/>
          </w:tcPr>
          <w:p w14:paraId="183FDA42">
            <w:pPr>
              <w:spacing w:after="0" w:line="240" w:lineRule="auto"/>
            </w:pPr>
            <w:r>
              <w:rPr>
                <w:rFonts w:ascii="宋体" w:hAnsi="宋体" w:eastAsia="宋体"/>
                <w:sz w:val="22"/>
              </w:rPr>
              <w:t>防误规则配置文档</w:t>
            </w:r>
          </w:p>
        </w:tc>
      </w:tr>
      <w:tr w14:paraId="1BA8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01551CFB">
            <w:pPr>
              <w:spacing w:after="0" w:line="240" w:lineRule="auto"/>
            </w:pPr>
            <w:r>
              <w:rPr>
                <w:rFonts w:ascii="宋体" w:hAnsi="宋体" w:eastAsia="宋体"/>
                <w:sz w:val="22"/>
              </w:rPr>
              <w:t>3</w:t>
            </w:r>
          </w:p>
        </w:tc>
        <w:tc>
          <w:tcPr>
            <w:tcW w:w="3041" w:type="dxa"/>
          </w:tcPr>
          <w:p w14:paraId="3A2F795A">
            <w:pPr>
              <w:spacing w:after="0" w:line="240" w:lineRule="auto"/>
            </w:pPr>
            <w:r>
              <w:rPr>
                <w:rFonts w:ascii="宋体" w:hAnsi="宋体" w:eastAsia="宋体"/>
                <w:sz w:val="22"/>
              </w:rPr>
              <w:t>D5000接口开发与联调</w:t>
            </w:r>
          </w:p>
        </w:tc>
        <w:tc>
          <w:tcPr>
            <w:tcW w:w="3041" w:type="dxa"/>
          </w:tcPr>
          <w:p w14:paraId="31CB1C37">
            <w:pPr>
              <w:spacing w:after="0" w:line="240" w:lineRule="auto"/>
            </w:pPr>
            <w:r>
              <w:rPr>
                <w:rFonts w:ascii="宋体" w:hAnsi="宋体" w:eastAsia="宋体"/>
                <w:sz w:val="22"/>
              </w:rPr>
              <w:t>接口技术文档、联调报告</w:t>
            </w:r>
          </w:p>
        </w:tc>
      </w:tr>
      <w:tr w14:paraId="58AB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5D727356">
            <w:pPr>
              <w:spacing w:after="0" w:line="240" w:lineRule="auto"/>
            </w:pPr>
            <w:r>
              <w:rPr>
                <w:rFonts w:ascii="宋体" w:hAnsi="宋体" w:eastAsia="宋体"/>
                <w:sz w:val="22"/>
              </w:rPr>
              <w:t>4</w:t>
            </w:r>
          </w:p>
        </w:tc>
        <w:tc>
          <w:tcPr>
            <w:tcW w:w="3041" w:type="dxa"/>
          </w:tcPr>
          <w:p w14:paraId="5C8C319F">
            <w:pPr>
              <w:spacing w:after="0" w:line="240" w:lineRule="auto"/>
            </w:pPr>
            <w:r>
              <w:rPr>
                <w:rFonts w:ascii="宋体" w:hAnsi="宋体" w:eastAsia="宋体"/>
                <w:sz w:val="22"/>
              </w:rPr>
              <w:t>7大功能模块开发</w:t>
            </w:r>
          </w:p>
        </w:tc>
        <w:tc>
          <w:tcPr>
            <w:tcW w:w="3041" w:type="dxa"/>
          </w:tcPr>
          <w:p w14:paraId="22072F8E">
            <w:pPr>
              <w:spacing w:after="0" w:line="240" w:lineRule="auto"/>
            </w:pPr>
            <w:r>
              <w:rPr>
                <w:rFonts w:ascii="宋体" w:hAnsi="宋体" w:eastAsia="宋体"/>
                <w:sz w:val="22"/>
              </w:rPr>
              <w:t>软件系统（含源码或部署包）</w:t>
            </w:r>
          </w:p>
        </w:tc>
      </w:tr>
      <w:tr w14:paraId="27D1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23684378">
            <w:pPr>
              <w:spacing w:after="0" w:line="240" w:lineRule="auto"/>
            </w:pPr>
            <w:r>
              <w:rPr>
                <w:rFonts w:ascii="宋体" w:hAnsi="宋体" w:eastAsia="宋体"/>
                <w:sz w:val="22"/>
              </w:rPr>
              <w:t>5</w:t>
            </w:r>
          </w:p>
        </w:tc>
        <w:tc>
          <w:tcPr>
            <w:tcW w:w="3041" w:type="dxa"/>
          </w:tcPr>
          <w:p w14:paraId="6E3B01EC">
            <w:pPr>
              <w:spacing w:after="0" w:line="240" w:lineRule="auto"/>
            </w:pPr>
            <w:r>
              <w:rPr>
                <w:rFonts w:ascii="宋体" w:hAnsi="宋体" w:eastAsia="宋体"/>
                <w:sz w:val="22"/>
              </w:rPr>
              <w:t>系统集成测试</w:t>
            </w:r>
          </w:p>
        </w:tc>
        <w:tc>
          <w:tcPr>
            <w:tcW w:w="3041" w:type="dxa"/>
          </w:tcPr>
          <w:p w14:paraId="2AF1695C">
            <w:pPr>
              <w:spacing w:after="0" w:line="240" w:lineRule="auto"/>
            </w:pPr>
            <w:r>
              <w:rPr>
                <w:rFonts w:ascii="宋体" w:hAnsi="宋体" w:eastAsia="宋体"/>
                <w:sz w:val="22"/>
              </w:rPr>
              <w:t>测试用例、测试报告</w:t>
            </w:r>
          </w:p>
        </w:tc>
      </w:tr>
      <w:tr w14:paraId="5584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7BDF15BE">
            <w:pPr>
              <w:spacing w:after="0" w:line="240" w:lineRule="auto"/>
            </w:pPr>
            <w:r>
              <w:rPr>
                <w:rFonts w:ascii="宋体" w:hAnsi="宋体" w:eastAsia="宋体"/>
                <w:sz w:val="22"/>
              </w:rPr>
              <w:t>6</w:t>
            </w:r>
          </w:p>
        </w:tc>
        <w:tc>
          <w:tcPr>
            <w:tcW w:w="3041" w:type="dxa"/>
          </w:tcPr>
          <w:p w14:paraId="7B024225">
            <w:pPr>
              <w:spacing w:after="0" w:line="240" w:lineRule="auto"/>
            </w:pPr>
            <w:r>
              <w:rPr>
                <w:rFonts w:ascii="宋体" w:hAnsi="宋体" w:eastAsia="宋体"/>
                <w:sz w:val="22"/>
              </w:rPr>
              <w:t>用户验收测试支持</w:t>
            </w:r>
          </w:p>
        </w:tc>
        <w:tc>
          <w:tcPr>
            <w:tcW w:w="3041" w:type="dxa"/>
          </w:tcPr>
          <w:p w14:paraId="0824989E">
            <w:pPr>
              <w:spacing w:after="0" w:line="240" w:lineRule="auto"/>
            </w:pPr>
            <w:r>
              <w:rPr>
                <w:rFonts w:ascii="宋体" w:hAnsi="宋体" w:eastAsia="宋体"/>
                <w:sz w:val="22"/>
              </w:rPr>
              <w:t>UAT支持记录、整改报告</w:t>
            </w:r>
          </w:p>
        </w:tc>
      </w:tr>
      <w:tr w14:paraId="1587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3EC16DAE">
            <w:pPr>
              <w:spacing w:after="0" w:line="240" w:lineRule="auto"/>
            </w:pPr>
            <w:r>
              <w:rPr>
                <w:rFonts w:ascii="宋体" w:hAnsi="宋体" w:eastAsia="宋体"/>
                <w:sz w:val="22"/>
              </w:rPr>
              <w:t>7</w:t>
            </w:r>
          </w:p>
        </w:tc>
        <w:tc>
          <w:tcPr>
            <w:tcW w:w="3041" w:type="dxa"/>
          </w:tcPr>
          <w:p w14:paraId="760FEEC9">
            <w:pPr>
              <w:spacing w:after="0" w:line="240" w:lineRule="auto"/>
            </w:pPr>
            <w:r>
              <w:rPr>
                <w:rFonts w:ascii="宋体" w:hAnsi="宋体" w:eastAsia="宋体"/>
                <w:sz w:val="22"/>
              </w:rPr>
              <w:t>系统上线部署</w:t>
            </w:r>
          </w:p>
        </w:tc>
        <w:tc>
          <w:tcPr>
            <w:tcW w:w="3041" w:type="dxa"/>
          </w:tcPr>
          <w:p w14:paraId="1D44D48E">
            <w:pPr>
              <w:spacing w:after="0" w:line="240" w:lineRule="auto"/>
            </w:pPr>
            <w:r>
              <w:rPr>
                <w:rFonts w:ascii="宋体" w:hAnsi="宋体" w:eastAsia="宋体"/>
                <w:sz w:val="22"/>
              </w:rPr>
              <w:t>部署方案、上线记录</w:t>
            </w:r>
          </w:p>
        </w:tc>
      </w:tr>
      <w:tr w14:paraId="3321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45A90ED3">
            <w:pPr>
              <w:spacing w:after="0" w:line="240" w:lineRule="auto"/>
            </w:pPr>
            <w:r>
              <w:rPr>
                <w:rFonts w:ascii="宋体" w:hAnsi="宋体" w:eastAsia="宋体"/>
                <w:sz w:val="22"/>
              </w:rPr>
              <w:t>8</w:t>
            </w:r>
          </w:p>
        </w:tc>
        <w:tc>
          <w:tcPr>
            <w:tcW w:w="3041" w:type="dxa"/>
          </w:tcPr>
          <w:p w14:paraId="40207F45">
            <w:pPr>
              <w:spacing w:after="0" w:line="240" w:lineRule="auto"/>
            </w:pPr>
            <w:r>
              <w:rPr>
                <w:rFonts w:ascii="宋体" w:hAnsi="宋体" w:eastAsia="宋体"/>
                <w:sz w:val="22"/>
              </w:rPr>
              <w:t>培训交付</w:t>
            </w:r>
          </w:p>
        </w:tc>
        <w:tc>
          <w:tcPr>
            <w:tcW w:w="3041" w:type="dxa"/>
          </w:tcPr>
          <w:p w14:paraId="40E3230F">
            <w:pPr>
              <w:spacing w:after="0" w:line="240" w:lineRule="auto"/>
            </w:pPr>
            <w:r>
              <w:rPr>
                <w:rFonts w:ascii="宋体" w:hAnsi="宋体" w:eastAsia="宋体"/>
                <w:sz w:val="22"/>
              </w:rPr>
              <w:t>操作手册、视频教程、培训记录</w:t>
            </w:r>
          </w:p>
        </w:tc>
      </w:tr>
      <w:tr w14:paraId="4CA0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1" w:type="dxa"/>
          </w:tcPr>
          <w:p w14:paraId="58A7B85D">
            <w:pPr>
              <w:spacing w:after="0" w:line="240" w:lineRule="auto"/>
            </w:pPr>
            <w:r>
              <w:rPr>
                <w:rFonts w:ascii="宋体" w:hAnsi="宋体" w:eastAsia="宋体"/>
                <w:sz w:val="22"/>
              </w:rPr>
              <w:t>9</w:t>
            </w:r>
          </w:p>
        </w:tc>
        <w:tc>
          <w:tcPr>
            <w:tcW w:w="3041" w:type="dxa"/>
          </w:tcPr>
          <w:p w14:paraId="571CD561">
            <w:pPr>
              <w:spacing w:after="0" w:line="240" w:lineRule="auto"/>
            </w:pPr>
            <w:r>
              <w:rPr>
                <w:rFonts w:ascii="宋体" w:hAnsi="宋体" w:eastAsia="宋体"/>
                <w:sz w:val="22"/>
              </w:rPr>
              <w:t>运维支持（保修期内）</w:t>
            </w:r>
          </w:p>
        </w:tc>
        <w:tc>
          <w:tcPr>
            <w:tcW w:w="3041" w:type="dxa"/>
          </w:tcPr>
          <w:p w14:paraId="20500353">
            <w:pPr>
              <w:spacing w:after="0" w:line="240" w:lineRule="auto"/>
            </w:pPr>
            <w:r>
              <w:rPr>
                <w:rFonts w:ascii="宋体" w:hAnsi="宋体" w:eastAsia="宋体"/>
                <w:sz w:val="22"/>
              </w:rPr>
              <w:t>月度运维报告、故障处理报告</w:t>
            </w:r>
          </w:p>
        </w:tc>
      </w:tr>
    </w:tbl>
    <w:p w14:paraId="0B20F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8"/>
          <w:highlight w:val="none"/>
          <w14:textFill>
            <w14:solidFill>
              <w14:schemeClr w14:val="tx1"/>
            </w14:solidFill>
          </w14:textFill>
        </w:rPr>
      </w:pPr>
    </w:p>
    <w:p w14:paraId="251B76F1">
      <w:pPr>
        <w:numPr>
          <w:ilvl w:val="1"/>
          <w:numId w:val="3"/>
        </w:numPr>
        <w:adjustRightInd w:val="0"/>
        <w:snapToGrid w:val="0"/>
        <w:spacing w:line="400" w:lineRule="exact"/>
        <w:ind w:left="567" w:leftChars="0" w:hanging="567" w:firstLineChars="0"/>
        <w:outlineLvl w:val="2"/>
        <w:rPr>
          <w:rFonts w:hint="eastAsia" w:ascii="宋体" w:hAnsi="宋体" w:eastAsia="宋体" w:cs="宋体"/>
          <w:b/>
          <w:color w:val="000000" w:themeColor="text1"/>
          <w:sz w:val="24"/>
          <w:szCs w:val="28"/>
          <w:highlight w:val="none"/>
          <w:lang w:val="en-US" w:eastAsia="zh-CN"/>
          <w14:textFill>
            <w14:solidFill>
              <w14:schemeClr w14:val="tx1"/>
            </w14:solidFill>
          </w14:textFill>
        </w:rPr>
      </w:pPr>
      <w:bookmarkStart w:id="7" w:name="_Toc7184"/>
      <w:r>
        <w:rPr>
          <w:rFonts w:hint="eastAsia" w:ascii="宋体" w:hAnsi="宋体" w:eastAsia="宋体" w:cs="宋体"/>
          <w:b/>
          <w:color w:val="000000" w:themeColor="text1"/>
          <w:sz w:val="24"/>
          <w:szCs w:val="28"/>
          <w:highlight w:val="none"/>
          <w:lang w:val="en-US" w:eastAsia="zh-CN"/>
          <w14:textFill>
            <w14:solidFill>
              <w14:schemeClr w14:val="tx1"/>
            </w14:solidFill>
          </w14:textFill>
        </w:rPr>
        <w:t>工作计划</w:t>
      </w:r>
      <w:bookmarkEnd w:id="7"/>
      <w:r>
        <w:rPr>
          <w:rFonts w:hint="eastAsia" w:ascii="宋体" w:hAnsi="宋体" w:cs="宋体"/>
          <w:b/>
          <w:color w:val="000000" w:themeColor="text1"/>
          <w:sz w:val="24"/>
          <w:szCs w:val="28"/>
          <w:highlight w:val="none"/>
          <w:lang w:val="en-US" w:eastAsia="zh-CN"/>
          <w14:textFill>
            <w14:solidFill>
              <w14:schemeClr w14:val="tx1"/>
            </w14:solidFill>
          </w14:textFill>
        </w:rPr>
        <w:t>安排</w:t>
      </w:r>
    </w:p>
    <w:p w14:paraId="15FBD79E">
      <w:pPr>
        <w:pStyle w:val="8"/>
        <w:numPr>
          <w:ilvl w:val="2"/>
          <w:numId w:val="13"/>
        </w:numPr>
        <w:spacing w:line="360" w:lineRule="auto"/>
        <w:ind w:left="720" w:leftChars="0" w:hanging="720" w:firstLineChars="0"/>
        <w:rPr>
          <w:rFonts w:hint="eastAsia" w:ascii="宋体" w:hAnsi="宋体" w:eastAsia="宋体" w:cs="宋体"/>
          <w:sz w:val="24"/>
          <w:szCs w:val="24"/>
        </w:rPr>
      </w:pPr>
      <w:bookmarkStart w:id="8" w:name="_Toc6007"/>
      <w:bookmarkStart w:id="9" w:name="_Toc589"/>
      <w:bookmarkStart w:id="10" w:name="_Toc20220"/>
      <w:r>
        <w:rPr>
          <w:rFonts w:hint="eastAsia" w:ascii="宋体" w:hAnsi="宋体" w:eastAsia="宋体" w:cs="宋体"/>
          <w:sz w:val="24"/>
          <w:szCs w:val="24"/>
        </w:rPr>
        <w:t>工作进度</w:t>
      </w:r>
      <w:bookmarkEnd w:id="8"/>
      <w:bookmarkEnd w:id="9"/>
      <w:r>
        <w:rPr>
          <w:rFonts w:hint="eastAsia" w:ascii="宋体" w:hAnsi="宋体" w:eastAsia="宋体" w:cs="宋体"/>
          <w:sz w:val="24"/>
          <w:szCs w:val="24"/>
        </w:rPr>
        <w:t>安排</w:t>
      </w:r>
      <w:bookmarkEnd w:id="1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6C22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FFD18F">
            <w:pPr>
              <w:widowControl w:val="0"/>
              <w:spacing w:after="0" w:line="360" w:lineRule="auto"/>
              <w:jc w:val="both"/>
              <w:rPr>
                <w:rFonts w:hint="eastAsia" w:ascii="宋体" w:hAnsi="宋体" w:eastAsia="宋体" w:cs="宋体"/>
                <w:sz w:val="24"/>
                <w:szCs w:val="24"/>
              </w:rPr>
            </w:pPr>
            <w:r>
              <w:rPr>
                <w:rFonts w:hint="eastAsia" w:ascii="宋体" w:hAnsi="宋体" w:eastAsia="宋体" w:cs="宋体"/>
                <w:b/>
                <w:sz w:val="24"/>
                <w:szCs w:val="24"/>
              </w:rPr>
              <w:t>阶段</w:t>
            </w:r>
          </w:p>
        </w:tc>
        <w:tc>
          <w:tcPr>
            <w:tcW w:w="2769" w:type="dxa"/>
          </w:tcPr>
          <w:p w14:paraId="441D0DA9">
            <w:pPr>
              <w:widowControl w:val="0"/>
              <w:spacing w:after="0" w:line="360" w:lineRule="auto"/>
              <w:jc w:val="both"/>
              <w:rPr>
                <w:rFonts w:hint="eastAsia" w:ascii="宋体" w:hAnsi="宋体" w:eastAsia="宋体" w:cs="宋体"/>
                <w:sz w:val="24"/>
                <w:szCs w:val="24"/>
              </w:rPr>
            </w:pPr>
            <w:r>
              <w:rPr>
                <w:rFonts w:hint="eastAsia" w:ascii="宋体" w:hAnsi="宋体" w:eastAsia="宋体" w:cs="宋体"/>
                <w:b/>
                <w:sz w:val="24"/>
                <w:szCs w:val="24"/>
              </w:rPr>
              <w:t>时间节点</w:t>
            </w:r>
          </w:p>
        </w:tc>
        <w:tc>
          <w:tcPr>
            <w:tcW w:w="2769" w:type="dxa"/>
          </w:tcPr>
          <w:p w14:paraId="01A446DB">
            <w:pPr>
              <w:widowControl w:val="0"/>
              <w:spacing w:after="0" w:line="360" w:lineRule="auto"/>
              <w:jc w:val="both"/>
              <w:rPr>
                <w:rFonts w:hint="eastAsia" w:ascii="宋体" w:hAnsi="宋体" w:eastAsia="宋体" w:cs="宋体"/>
                <w:sz w:val="24"/>
                <w:szCs w:val="24"/>
              </w:rPr>
            </w:pPr>
            <w:r>
              <w:rPr>
                <w:rFonts w:hint="eastAsia" w:ascii="宋体" w:hAnsi="宋体" w:eastAsia="宋体" w:cs="宋体"/>
                <w:b/>
                <w:sz w:val="24"/>
                <w:szCs w:val="24"/>
              </w:rPr>
              <w:t>主要工作内容</w:t>
            </w:r>
          </w:p>
        </w:tc>
      </w:tr>
      <w:tr w14:paraId="5D9A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9692789">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项目启动</w:t>
            </w:r>
          </w:p>
        </w:tc>
        <w:tc>
          <w:tcPr>
            <w:tcW w:w="2769" w:type="dxa"/>
          </w:tcPr>
          <w:p w14:paraId="737100C7">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合同签订后5个工作日内</w:t>
            </w:r>
          </w:p>
        </w:tc>
        <w:tc>
          <w:tcPr>
            <w:tcW w:w="2769" w:type="dxa"/>
          </w:tcPr>
          <w:p w14:paraId="10E2AF90">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组建项目团队，召开启动会，明确服务范围与接口需求</w:t>
            </w:r>
          </w:p>
        </w:tc>
      </w:tr>
      <w:tr w14:paraId="00CF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E6810F8">
            <w:pPr>
              <w:widowControl w:val="0"/>
              <w:spacing w:after="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功能开发</w:t>
            </w:r>
          </w:p>
        </w:tc>
        <w:tc>
          <w:tcPr>
            <w:tcW w:w="2769" w:type="dxa"/>
          </w:tcPr>
          <w:p w14:paraId="6E06C3EC">
            <w:pPr>
              <w:widowControl w:val="0"/>
              <w:spacing w:after="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rPr>
              <w:t>合同签订后</w:t>
            </w:r>
            <w:r>
              <w:rPr>
                <w:rFonts w:hint="eastAsia" w:ascii="宋体" w:hAnsi="宋体" w:eastAsia="宋体" w:cs="宋体"/>
                <w:sz w:val="24"/>
                <w:szCs w:val="24"/>
                <w:lang w:val="en-US" w:eastAsia="zh-CN"/>
              </w:rPr>
              <w:t>3个月内</w:t>
            </w:r>
          </w:p>
        </w:tc>
        <w:tc>
          <w:tcPr>
            <w:tcW w:w="2769" w:type="dxa"/>
          </w:tcPr>
          <w:p w14:paraId="74D44310">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完成</w:t>
            </w:r>
            <w:r>
              <w:rPr>
                <w:rFonts w:hint="eastAsia" w:ascii="宋体" w:hAnsi="宋体" w:eastAsia="宋体" w:cs="宋体"/>
                <w:sz w:val="24"/>
                <w:szCs w:val="24"/>
                <w:lang w:val="en-US" w:eastAsia="zh-CN"/>
              </w:rPr>
              <w:t>功能</w:t>
            </w:r>
            <w:r>
              <w:rPr>
                <w:rFonts w:hint="eastAsia" w:ascii="宋体" w:hAnsi="宋体" w:eastAsia="宋体" w:cs="宋体"/>
                <w:sz w:val="24"/>
                <w:szCs w:val="24"/>
              </w:rPr>
              <w:t>开发、联调与测试</w:t>
            </w:r>
          </w:p>
        </w:tc>
      </w:tr>
      <w:tr w14:paraId="01FD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35B6AAC">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服务上线</w:t>
            </w:r>
          </w:p>
        </w:tc>
        <w:tc>
          <w:tcPr>
            <w:tcW w:w="2769" w:type="dxa"/>
          </w:tcPr>
          <w:p w14:paraId="6A22C37C">
            <w:pPr>
              <w:widowControl w:val="0"/>
              <w:spacing w:after="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rPr>
              <w:t>合同签订后</w:t>
            </w:r>
            <w:r>
              <w:rPr>
                <w:rFonts w:hint="eastAsia" w:ascii="宋体" w:hAnsi="宋体" w:eastAsia="宋体" w:cs="宋体"/>
                <w:sz w:val="24"/>
                <w:szCs w:val="24"/>
                <w:lang w:val="en-US" w:eastAsia="zh-CN"/>
              </w:rPr>
              <w:t>6个月内</w:t>
            </w:r>
          </w:p>
        </w:tc>
        <w:tc>
          <w:tcPr>
            <w:tcW w:w="2769" w:type="dxa"/>
          </w:tcPr>
          <w:p w14:paraId="0602A1F3">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lang w:val="en-US" w:eastAsia="zh-CN"/>
              </w:rPr>
              <w:t>功能</w:t>
            </w:r>
            <w:r>
              <w:rPr>
                <w:rFonts w:hint="eastAsia" w:ascii="宋体" w:hAnsi="宋体" w:eastAsia="宋体" w:cs="宋体"/>
                <w:sz w:val="24"/>
                <w:szCs w:val="24"/>
              </w:rPr>
              <w:t>全面上线运行</w:t>
            </w:r>
          </w:p>
        </w:tc>
      </w:tr>
      <w:tr w14:paraId="4866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8B5E048">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稳定运行</w:t>
            </w:r>
          </w:p>
        </w:tc>
        <w:tc>
          <w:tcPr>
            <w:tcW w:w="2769" w:type="dxa"/>
          </w:tcPr>
          <w:p w14:paraId="07E4940A">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合同期内持续</w:t>
            </w:r>
          </w:p>
        </w:tc>
        <w:tc>
          <w:tcPr>
            <w:tcW w:w="2769" w:type="dxa"/>
          </w:tcPr>
          <w:p w14:paraId="693DE830">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按要求稳定提供各项服务</w:t>
            </w:r>
          </w:p>
        </w:tc>
      </w:tr>
      <w:tr w14:paraId="4901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02B7B00">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定期汇报</w:t>
            </w:r>
          </w:p>
        </w:tc>
        <w:tc>
          <w:tcPr>
            <w:tcW w:w="2769" w:type="dxa"/>
          </w:tcPr>
          <w:p w14:paraId="3350A0F9">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每月一次</w:t>
            </w:r>
          </w:p>
        </w:tc>
        <w:tc>
          <w:tcPr>
            <w:tcW w:w="2769" w:type="dxa"/>
          </w:tcPr>
          <w:p w14:paraId="703FF90D">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提交月度服务质量报告</w:t>
            </w:r>
          </w:p>
        </w:tc>
      </w:tr>
      <w:tr w14:paraId="3ED9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7A10A78">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项目验收</w:t>
            </w:r>
          </w:p>
        </w:tc>
        <w:tc>
          <w:tcPr>
            <w:tcW w:w="2769" w:type="dxa"/>
          </w:tcPr>
          <w:p w14:paraId="42B54F7F">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合同期末</w:t>
            </w:r>
          </w:p>
        </w:tc>
        <w:tc>
          <w:tcPr>
            <w:tcW w:w="2769" w:type="dxa"/>
          </w:tcPr>
          <w:p w14:paraId="3FB0BCA3">
            <w:pPr>
              <w:widowControl w:val="0"/>
              <w:spacing w:after="0" w:line="360" w:lineRule="auto"/>
              <w:jc w:val="both"/>
              <w:rPr>
                <w:rFonts w:hint="eastAsia" w:ascii="宋体" w:hAnsi="宋体" w:eastAsia="宋体" w:cs="宋体"/>
                <w:sz w:val="24"/>
                <w:szCs w:val="24"/>
              </w:rPr>
            </w:pPr>
            <w:r>
              <w:rPr>
                <w:rFonts w:hint="eastAsia" w:ascii="宋体" w:hAnsi="宋体" w:eastAsia="宋体" w:cs="宋体"/>
                <w:sz w:val="24"/>
                <w:szCs w:val="24"/>
              </w:rPr>
              <w:t>编制验收材料，配合完成项目验收</w:t>
            </w:r>
          </w:p>
        </w:tc>
      </w:tr>
    </w:tbl>
    <w:p w14:paraId="00E932FC">
      <w:pPr>
        <w:pStyle w:val="17"/>
        <w:spacing w:line="360" w:lineRule="auto"/>
        <w:rPr>
          <w:rFonts w:hint="eastAsia" w:ascii="宋体" w:hAnsi="宋体" w:eastAsia="宋体" w:cs="宋体"/>
          <w:sz w:val="24"/>
          <w:szCs w:val="24"/>
        </w:rPr>
      </w:pPr>
    </w:p>
    <w:p w14:paraId="18048612">
      <w:pPr>
        <w:pStyle w:val="8"/>
        <w:numPr>
          <w:ilvl w:val="2"/>
          <w:numId w:val="13"/>
        </w:numPr>
        <w:spacing w:line="360" w:lineRule="auto"/>
        <w:ind w:left="720" w:leftChars="0" w:hanging="720" w:firstLineChars="0"/>
        <w:rPr>
          <w:rFonts w:hint="eastAsia" w:ascii="宋体" w:hAnsi="宋体" w:eastAsia="宋体" w:cs="宋体"/>
          <w:sz w:val="24"/>
          <w:szCs w:val="24"/>
        </w:rPr>
      </w:pPr>
      <w:bookmarkStart w:id="11" w:name="_Toc27283"/>
      <w:bookmarkStart w:id="12" w:name="_Toc31769"/>
      <w:bookmarkStart w:id="13" w:name="_Toc3501"/>
      <w:r>
        <w:rPr>
          <w:rFonts w:hint="eastAsia" w:ascii="宋体" w:hAnsi="宋体" w:eastAsia="宋体" w:cs="宋体"/>
          <w:sz w:val="24"/>
          <w:szCs w:val="24"/>
        </w:rPr>
        <w:t>项目管理与质量保障</w:t>
      </w:r>
      <w:bookmarkEnd w:id="11"/>
      <w:bookmarkEnd w:id="12"/>
      <w:bookmarkEnd w:id="13"/>
    </w:p>
    <w:p w14:paraId="009815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采用敏捷项目管理方法，建立项目管理团队，负责项目的整体规划、进度控制、风险管理等工作。通过定期的项目评审会议和报告，确保项目按计划顺利推进。同时，建立有效的沟通与协调机制，确保项目团队内部及与客户之间的信息畅通。</w:t>
      </w:r>
    </w:p>
    <w:p w14:paraId="65786CC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质量保障：建立全面的质量管理体系，包括需求分析、设计评审、代码审查、测试验收等环节。通过严格的质量控制措施，确保项目交付成果的质量符合客户要求。同时，建立质量反馈机制，及时收集和处理客户反馈的问题和建议，持续改进项目质量。</w:t>
      </w:r>
    </w:p>
    <w:p w14:paraId="7E5FC0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outlineLvl w:val="9"/>
        <w:rPr>
          <w:rFonts w:hint="eastAsia" w:ascii="宋体" w:hAnsi="宋体" w:eastAsia="宋体" w:cs="宋体"/>
          <w:b w:val="0"/>
          <w:bCs/>
          <w:color w:val="000000" w:themeColor="text1"/>
          <w:sz w:val="24"/>
          <w:szCs w:val="24"/>
          <w:highlight w:val="none"/>
          <w14:textFill>
            <w14:solidFill>
              <w14:schemeClr w14:val="tx1"/>
            </w14:solidFill>
          </w14:textFill>
        </w:rPr>
      </w:pPr>
      <w:r>
        <w:rPr>
          <w:rFonts w:hint="eastAsia" w:ascii="宋体" w:hAnsi="宋体" w:eastAsia="宋体" w:cs="宋体"/>
          <w:sz w:val="24"/>
          <w:szCs w:val="24"/>
        </w:rPr>
        <w:t>风险管理：识别项目过程中可能面临的风险，包括技术风险、安全风险、进度风险等。针对每个风险制定相应的风险应对策略和预案，确保在风险发生时能够及时有效地应对和处置</w:t>
      </w:r>
    </w:p>
    <w:p w14:paraId="6FE94F16">
      <w:pPr>
        <w:spacing w:line="360" w:lineRule="auto"/>
        <w:ind w:firstLine="480"/>
        <w:rPr>
          <w:rFonts w:hint="eastAsia" w:ascii="宋体" w:hAnsi="宋体" w:eastAsia="宋体" w:cs="宋体"/>
          <w:b/>
          <w:color w:val="000000" w:themeColor="text1"/>
          <w:sz w:val="24"/>
          <w:szCs w:val="24"/>
          <w:highlight w:val="none"/>
          <w:lang w:val="en-US" w:eastAsia="zh-CN"/>
          <w14:textFill>
            <w14:solidFill>
              <w14:schemeClr w14:val="tx1"/>
            </w14:solidFill>
          </w14:textFill>
        </w:rPr>
      </w:pPr>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9CD7F"/>
    <w:multiLevelType w:val="multilevel"/>
    <w:tmpl w:val="96C9CD7F"/>
    <w:lvl w:ilvl="0" w:tentative="0">
      <w:start w:val="2"/>
      <w:numFmt w:val="chineseCounting"/>
      <w:suff w:val="nothing"/>
      <w:lvlText w:val="第%1章 "/>
      <w:lvlJc w:val="left"/>
      <w:pPr>
        <w:tabs>
          <w:tab w:val="left" w:pos="420"/>
        </w:tabs>
        <w:ind w:left="432" w:hanging="432"/>
      </w:pPr>
      <w:rPr>
        <w:rFonts w:hint="eastAsia"/>
      </w:rPr>
    </w:lvl>
    <w:lvl w:ilvl="1" w:tentative="0">
      <w:start w:val="6"/>
      <w:numFmt w:val="decimal"/>
      <w:isLgl/>
      <w:lvlText w:val="%1.%2."/>
      <w:lvlJc w:val="left"/>
      <w:pPr>
        <w:tabs>
          <w:tab w:val="left" w:pos="420"/>
        </w:tabs>
        <w:ind w:left="575" w:hanging="575"/>
      </w:pPr>
      <w:rPr>
        <w:rFonts w:hint="eastAsia"/>
      </w:rPr>
    </w:lvl>
    <w:lvl w:ilvl="2" w:tentative="0">
      <w:start w:val="1"/>
      <w:numFmt w:val="decimal"/>
      <w:isLgl/>
      <w:lvlText w:val="%1.%2.%3."/>
      <w:lvlJc w:val="left"/>
      <w:pPr>
        <w:tabs>
          <w:tab w:val="left" w:pos="420"/>
        </w:tabs>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AC8289D4"/>
    <w:multiLevelType w:val="multilevel"/>
    <w:tmpl w:val="AC8289D4"/>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4"/>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B65709F2"/>
    <w:multiLevelType w:val="multilevel"/>
    <w:tmpl w:val="B65709F2"/>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3"/>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3">
    <w:nsid w:val="BF7C04F7"/>
    <w:multiLevelType w:val="multilevel"/>
    <w:tmpl w:val="BF7C04F7"/>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4">
    <w:nsid w:val="D3C068B3"/>
    <w:multiLevelType w:val="multilevel"/>
    <w:tmpl w:val="D3C068B3"/>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5"/>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FF018D3E"/>
    <w:multiLevelType w:val="multilevel"/>
    <w:tmpl w:val="FF018D3E"/>
    <w:lvl w:ilvl="0" w:tentative="0">
      <w:start w:val="1"/>
      <w:numFmt w:val="chineseCounting"/>
      <w:suff w:val="nothing"/>
      <w:lvlText w:val="第%1章 "/>
      <w:lvlJc w:val="left"/>
      <w:pPr>
        <w:tabs>
          <w:tab w:val="left" w:pos="420"/>
        </w:tabs>
        <w:ind w:left="432" w:hanging="432"/>
      </w:pPr>
      <w:rPr>
        <w:rFonts w:hint="eastAsia"/>
      </w:rPr>
    </w:lvl>
    <w:lvl w:ilvl="1" w:tentative="0">
      <w:start w:val="6"/>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6">
    <w:nsid w:val="0A5F0526"/>
    <w:multiLevelType w:val="multilevel"/>
    <w:tmpl w:val="0A5F0526"/>
    <w:lvl w:ilvl="0" w:tentative="0">
      <w:start w:val="1"/>
      <w:numFmt w:val="chineseCounting"/>
      <w:suff w:val="nothing"/>
      <w:lvlText w:val="第%1章 "/>
      <w:lvlJc w:val="left"/>
      <w:pPr>
        <w:tabs>
          <w:tab w:val="left" w:pos="420"/>
        </w:tabs>
        <w:ind w:left="432" w:hanging="432"/>
      </w:pPr>
      <w:rPr>
        <w:rFonts w:hint="eastAsia"/>
      </w:rPr>
    </w:lvl>
    <w:lvl w:ilvl="1" w:tentative="0">
      <w:start w:val="5"/>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7">
    <w:nsid w:val="1127009E"/>
    <w:multiLevelType w:val="multilevel"/>
    <w:tmpl w:val="1127009E"/>
    <w:lvl w:ilvl="0" w:tentative="0">
      <w:start w:val="1"/>
      <w:numFmt w:val="chineseCounting"/>
      <w:suff w:val="nothing"/>
      <w:lvlText w:val="第%1章 "/>
      <w:lvlJc w:val="left"/>
      <w:pPr>
        <w:tabs>
          <w:tab w:val="left" w:pos="420"/>
        </w:tabs>
        <w:ind w:left="432" w:hanging="432"/>
      </w:pPr>
      <w:rPr>
        <w:rFonts w:hint="eastAsia"/>
      </w:rPr>
    </w:lvl>
    <w:lvl w:ilvl="1" w:tentative="0">
      <w:start w:val="4"/>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8">
    <w:nsid w:val="12742891"/>
    <w:multiLevelType w:val="singleLevel"/>
    <w:tmpl w:val="12742891"/>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9">
    <w:nsid w:val="1AF18828"/>
    <w:multiLevelType w:val="multilevel"/>
    <w:tmpl w:val="1AF18828"/>
    <w:lvl w:ilvl="0" w:tentative="0">
      <w:start w:val="2"/>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7"/>
      <w:isLgl/>
      <w:lvlText w:val="%1.%2.%3."/>
      <w:lvlJc w:val="left"/>
      <w:pPr>
        <w:ind w:left="720" w:hanging="720"/>
      </w:pPr>
      <w:rPr>
        <w:rFonts w:hint="eastAsia"/>
      </w:rPr>
    </w:lvl>
    <w:lvl w:ilvl="3" w:tentative="0">
      <w:start w:val="1"/>
      <w:numFmt w:val="decimal"/>
      <w:pStyle w:val="8"/>
      <w:isLgl/>
      <w:lvlText w:val="%1.%2.%3.%4."/>
      <w:lvlJc w:val="left"/>
      <w:pPr>
        <w:ind w:left="864" w:hanging="864"/>
      </w:pPr>
      <w:rPr>
        <w:rFonts w:hint="eastAsia"/>
      </w:rPr>
    </w:lvl>
    <w:lvl w:ilvl="4" w:tentative="0">
      <w:start w:val="1"/>
      <w:numFmt w:val="decimal"/>
      <w:pStyle w:val="9"/>
      <w:isLgl/>
      <w:lvlText w:val="%1.%2.%3.%4.%5."/>
      <w:lvlJc w:val="left"/>
      <w:pPr>
        <w:ind w:left="1008" w:hanging="1008"/>
      </w:pPr>
      <w:rPr>
        <w:rFonts w:hint="eastAsia"/>
      </w:rPr>
    </w:lvl>
    <w:lvl w:ilvl="5" w:tentative="0">
      <w:start w:val="1"/>
      <w:numFmt w:val="decimal"/>
      <w:pStyle w:val="10"/>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0">
    <w:nsid w:val="31AD1F1A"/>
    <w:multiLevelType w:val="multilevel"/>
    <w:tmpl w:val="31AD1F1A"/>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1">
    <w:nsid w:val="3AD68685"/>
    <w:multiLevelType w:val="multilevel"/>
    <w:tmpl w:val="3AD68685"/>
    <w:lvl w:ilvl="0" w:tentative="0">
      <w:start w:val="1"/>
      <w:numFmt w:val="chineseCounting"/>
      <w:suff w:val="nothing"/>
      <w:lvlText w:val="第%1章 "/>
      <w:lvlJc w:val="left"/>
      <w:pPr>
        <w:tabs>
          <w:tab w:val="left" w:pos="420"/>
        </w:tabs>
        <w:ind w:left="432" w:hanging="432"/>
      </w:pPr>
      <w:rPr>
        <w:rFonts w:hint="eastAsia"/>
      </w:rPr>
    </w:lvl>
    <w:lvl w:ilvl="1" w:tentative="0">
      <w:start w:val="3"/>
      <w:numFmt w:val="decimal"/>
      <w:isLgl/>
      <w:lvlText w:val="%1.%2."/>
      <w:lvlJc w:val="left"/>
      <w:pPr>
        <w:tabs>
          <w:tab w:val="left" w:pos="420"/>
        </w:tabs>
        <w:ind w:left="575" w:hanging="575"/>
      </w:pPr>
      <w:rPr>
        <w:rFonts w:hint="eastAsia"/>
      </w:rPr>
    </w:lvl>
    <w:lvl w:ilvl="2" w:tentative="0">
      <w:start w:val="2"/>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2">
    <w:nsid w:val="6FAE0467"/>
    <w:multiLevelType w:val="multilevel"/>
    <w:tmpl w:val="6FAE046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8"/>
  </w:num>
  <w:num w:numId="3">
    <w:abstractNumId w:val="12"/>
  </w:num>
  <w:num w:numId="4">
    <w:abstractNumId w:val="10"/>
  </w:num>
  <w:num w:numId="5">
    <w:abstractNumId w:val="3"/>
  </w:num>
  <w:num w:numId="6">
    <w:abstractNumId w:val="11"/>
  </w:num>
  <w:num w:numId="7">
    <w:abstractNumId w:val="2"/>
  </w:num>
  <w:num w:numId="8">
    <w:abstractNumId w:val="1"/>
  </w:num>
  <w:num w:numId="9">
    <w:abstractNumId w:val="4"/>
  </w:num>
  <w:num w:numId="10">
    <w:abstractNumId w:val="7"/>
  </w:num>
  <w:num w:numId="11">
    <w:abstractNumId w:val="6"/>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37CE5"/>
    <w:rsid w:val="0DC022DF"/>
    <w:rsid w:val="109F5990"/>
    <w:rsid w:val="12C37CE5"/>
    <w:rsid w:val="4CD910FA"/>
    <w:rsid w:val="5F0A527B"/>
    <w:rsid w:val="716316E4"/>
    <w:rsid w:val="735344A6"/>
    <w:rsid w:val="774C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6">
    <w:name w:val="heading 2"/>
    <w:basedOn w:val="1"/>
    <w:next w:val="1"/>
    <w:unhideWhenUsed/>
    <w:qFormat/>
    <w:uiPriority w:val="0"/>
    <w:pPr>
      <w:keepNext/>
      <w:tabs>
        <w:tab w:val="left" w:pos="284"/>
        <w:tab w:val="left" w:pos="420"/>
        <w:tab w:val="left" w:pos="851"/>
      </w:tabs>
      <w:overflowPunct w:val="0"/>
      <w:adjustRightInd w:val="0"/>
      <w:outlineLvl w:val="1"/>
    </w:pPr>
    <w:rPr>
      <w:rFonts w:ascii="宋体" w:hAnsi="宋体" w:cs="宋体"/>
      <w:szCs w:val="20"/>
    </w:rPr>
  </w:style>
  <w:style w:type="paragraph" w:styleId="7">
    <w:name w:val="heading 3"/>
    <w:basedOn w:val="1"/>
    <w:next w:val="1"/>
    <w:unhideWhenUsed/>
    <w:qFormat/>
    <w:uiPriority w:val="0"/>
    <w:pPr>
      <w:numPr>
        <w:ilvl w:val="2"/>
        <w:numId w:val="1"/>
      </w:numPr>
      <w:tabs>
        <w:tab w:val="left" w:pos="420"/>
      </w:tabs>
      <w:ind w:hanging="720" w:firstLineChars="0"/>
      <w:outlineLvl w:val="2"/>
    </w:pPr>
    <w:rPr>
      <w:rFonts w:ascii="楷体" w:hAnsi="楷体"/>
      <w:szCs w:val="28"/>
    </w:rPr>
  </w:style>
  <w:style w:type="paragraph" w:styleId="8">
    <w:name w:val="heading 4"/>
    <w:basedOn w:val="1"/>
    <w:next w:val="1"/>
    <w:unhideWhenUsed/>
    <w:qFormat/>
    <w:uiPriority w:val="0"/>
    <w:pPr>
      <w:keepLines/>
      <w:numPr>
        <w:ilvl w:val="3"/>
        <w:numId w:val="1"/>
      </w:numPr>
      <w:tabs>
        <w:tab w:val="left" w:pos="420"/>
      </w:tabs>
      <w:ind w:hanging="864" w:firstLineChars="0"/>
      <w:outlineLvl w:val="3"/>
    </w:pPr>
    <w:rPr>
      <w:bCs/>
    </w:rPr>
  </w:style>
  <w:style w:type="paragraph" w:styleId="9">
    <w:name w:val="heading 5"/>
    <w:basedOn w:val="1"/>
    <w:next w:val="1"/>
    <w:unhideWhenUsed/>
    <w:qFormat/>
    <w:uiPriority w:val="0"/>
    <w:pPr>
      <w:numPr>
        <w:ilvl w:val="4"/>
        <w:numId w:val="1"/>
      </w:numPr>
      <w:tabs>
        <w:tab w:val="left" w:pos="420"/>
      </w:tabs>
      <w:ind w:hanging="1008" w:firstLineChars="0"/>
      <w:outlineLvl w:val="4"/>
    </w:pPr>
  </w:style>
  <w:style w:type="paragraph" w:styleId="10">
    <w:name w:val="heading 6"/>
    <w:basedOn w:val="1"/>
    <w:next w:val="1"/>
    <w:unhideWhenUsed/>
    <w:qFormat/>
    <w:uiPriority w:val="0"/>
    <w:pPr>
      <w:numPr>
        <w:ilvl w:val="5"/>
        <w:numId w:val="1"/>
      </w:numPr>
      <w:tabs>
        <w:tab w:val="left" w:pos="420"/>
      </w:tabs>
      <w:ind w:hanging="1151" w:firstLineChars="0"/>
      <w:jc w:val="left"/>
      <w:outlineLvl w:val="5"/>
    </w:pPr>
    <w:rPr>
      <w:rFonts w:ascii="Arial" w:hAnsi="Arial"/>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ind w:left="0" w:leftChars="0" w:firstLine="420"/>
    </w:pPr>
  </w:style>
  <w:style w:type="paragraph" w:styleId="3">
    <w:name w:val="Body Text Indent"/>
    <w:basedOn w:val="1"/>
    <w:unhideWhenUsed/>
    <w:qFormat/>
    <w:uiPriority w:val="0"/>
    <w:pPr>
      <w:spacing w:after="120"/>
      <w:ind w:left="420" w:leftChars="200"/>
    </w:pPr>
  </w:style>
  <w:style w:type="paragraph" w:customStyle="1" w:styleId="4">
    <w:name w:val="表格文字"/>
    <w:basedOn w:val="5"/>
    <w:next w:val="1"/>
    <w:qFormat/>
    <w:uiPriority w:val="0"/>
    <w:pPr>
      <w:ind w:firstLine="0" w:firstLineChars="0"/>
      <w:jc w:val="center"/>
    </w:pPr>
    <w:rPr>
      <w:szCs w:val="20"/>
    </w:rPr>
  </w:style>
  <w:style w:type="paragraph" w:styleId="5">
    <w:name w:val="List"/>
    <w:basedOn w:val="1"/>
    <w:qFormat/>
    <w:uiPriority w:val="0"/>
    <w:pPr>
      <w:ind w:left="200" w:hanging="200" w:hangingChars="200"/>
      <w:contextualSpacing/>
    </w:pPr>
  </w:style>
  <w:style w:type="paragraph" w:styleId="11">
    <w:name w:val="Normal Indent"/>
    <w:basedOn w:val="1"/>
    <w:qFormat/>
    <w:uiPriority w:val="0"/>
    <w:pPr>
      <w:ind w:firstLine="420"/>
    </w:pPr>
    <w:rPr>
      <w:rFonts w:ascii="Times New Roman" w:hAnsi="Times New Roman"/>
      <w:szCs w:val="24"/>
    </w:rPr>
  </w:style>
  <w:style w:type="paragraph" w:styleId="12">
    <w:name w:val="List Bullet"/>
    <w:basedOn w:val="1"/>
    <w:qFormat/>
    <w:uiPriority w:val="0"/>
    <w:pPr>
      <w:numPr>
        <w:ilvl w:val="0"/>
        <w:numId w:val="2"/>
      </w:numPr>
    </w:pPr>
  </w:style>
  <w:style w:type="paragraph" w:styleId="13">
    <w:name w:val="envelope return"/>
    <w:basedOn w:val="1"/>
    <w:qFormat/>
    <w:uiPriority w:val="0"/>
    <w:rPr>
      <w:rFonts w:ascii="Arial" w:hAnsi="Arial"/>
    </w:rPr>
  </w:style>
  <w:style w:type="table" w:styleId="15">
    <w:name w:val="Table Grid"/>
    <w:basedOn w:val="1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List Paragraph"/>
    <w:basedOn w:val="1"/>
    <w:unhideWhenUsed/>
    <w:qFormat/>
    <w:uiPriority w:val="99"/>
    <w:pPr>
      <w:ind w:firstLine="420"/>
    </w:pPr>
  </w:style>
  <w:style w:type="paragraph" w:customStyle="1" w:styleId="18">
    <w:name w:val="正文字缩1字"/>
    <w:basedOn w:val="1"/>
    <w:qFormat/>
    <w:uiPriority w:val="0"/>
    <w:pPr>
      <w:spacing w:before="60" w:after="60"/>
      <w:ind w:left="100" w:leftChars="100"/>
    </w:pPr>
    <w:rPr>
      <w:rFonts w:ascii="Times New Roman" w:hAnsi="Times New Roman" w:eastAsia="宋体"/>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8273</Words>
  <Characters>8590</Characters>
  <Lines>0</Lines>
  <Paragraphs>0</Paragraphs>
  <TotalTime>14</TotalTime>
  <ScaleCrop>false</ScaleCrop>
  <LinksUpToDate>false</LinksUpToDate>
  <CharactersWithSpaces>8607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2026-05-06T06:04:00Z</dcterms:created>
  <dc:creator>admin</dc:creator>
  <cp:lastModifiedBy>骚年</cp:lastModifiedBy>
  <dcterms:modified xsi:type="dcterms:W3CDTF">2026-05-12T09:20:09Z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0C36B477DA3245179A40C05C2A3521DB_13</vt:lpwstr>
  </property>
  <property fmtid="{D5CDD505-2E9C-101B-9397-08002B2CF9AE}" pid="4" name="KSOTemplateDocerSaveRecord">
    <vt:lpwstr>eyJoZGlkIjoiNjA2ZDk3ZTc3MzQxM2RlNDMwOGQ0ZWJkOGMzYTI2ZjgiLCJ1c2VySWQiOiIzNzc1MzAxMDgifQ==</vt:lpwstr>
  </property>
</Properties>
</file>