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494BBF8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4DC88303">
      <w:pPr>
        <w:spacing w:line="360" w:lineRule="auto"/>
        <w:ind w:firstLine="480"/>
        <w:rPr>
          <w:rFonts w:hint="eastAsia" w:ascii="宋体" w:hAnsi="宋体" w:eastAsia="宋体"/>
          <w:b w:val="0"/>
          <w:sz w:val="24"/>
        </w:rPr>
      </w:pPr>
      <w:r>
        <w:rPr>
          <w:rFonts w:hint="eastAsia" w:ascii="宋体" w:hAnsi="宋体" w:eastAsia="宋体"/>
          <w:b w:val="0"/>
          <w:sz w:val="24"/>
        </w:rPr>
        <w:t>电压质量是衡量电力系统供电服务水平的重要指标，直接关系到广大电力用户的用电体验和生产生活安全。随着国网新疆乌鲁木齐供电公司供电区域内低压用户规模的持续增长，截至2025年底，乌鲁木齐供电公司供电区域内低压用户已达146.33万户，配电变压器8133台，供电范围覆盖乌鲁木齐市天山区、沙依巴克区、新市区、水磨沟区、头屯河区、达坂城区、米东区及乌鲁木齐县等行政区域。</w:t>
      </w:r>
    </w:p>
    <w:p w14:paraId="6DA17EFF">
      <w:pPr>
        <w:spacing w:line="360" w:lineRule="auto"/>
        <w:ind w:firstLine="480"/>
        <w:rPr>
          <w:rFonts w:hint="eastAsia" w:ascii="宋体" w:hAnsi="宋体" w:eastAsia="宋体"/>
          <w:b w:val="0"/>
          <w:sz w:val="24"/>
        </w:rPr>
      </w:pPr>
      <w:r>
        <w:rPr>
          <w:rFonts w:hint="eastAsia" w:ascii="宋体" w:hAnsi="宋体" w:eastAsia="宋体"/>
          <w:b w:val="0"/>
          <w:sz w:val="24"/>
        </w:rPr>
        <w:t>近年来，随着乌鲁木齐地区经济社会的快速发展，居民用电负荷持续增长，尤其冬季电采暖负荷的大规模接入，对低压配电网的供电质量提出了更高要求。根据2025年度电压监测数据统计，乌鲁木齐供电公司辖区内存在1073个电压越限台区，占配电变压器总数的13.19%，其中低电压台区826个、过电压台区247个。电压质量异常不仅影响用户正常用电，还可能导致家用电器损坏、工业设备运行异常等严重后果，引发用户投诉，影响供电服务满意度。</w:t>
      </w:r>
    </w:p>
    <w:p w14:paraId="76D7BCA0">
      <w:pPr>
        <w:spacing w:line="360" w:lineRule="auto"/>
        <w:ind w:firstLine="480"/>
        <w:rPr>
          <w:rFonts w:hint="eastAsia" w:ascii="宋体" w:hAnsi="宋体" w:eastAsia="宋体"/>
          <w:b w:val="0"/>
          <w:sz w:val="24"/>
        </w:rPr>
      </w:pPr>
      <w:r>
        <w:rPr>
          <w:rFonts w:hint="eastAsia" w:ascii="宋体" w:hAnsi="宋体" w:eastAsia="宋体"/>
          <w:b w:val="0"/>
          <w:sz w:val="24"/>
        </w:rPr>
        <w:t>当前，乌鲁木齐供电公司在电压质量管理方面主要面临以下问题：一是电压监测数据采集不全面，D类电压监测点覆盖率不足，难以全面反映台区实际电压状况；二是电压异常分析手段单一，主要依赖人工经验判断，缺乏系统化的数据分析方法和智能化的诊断工具；三是电压异常治理措施针对性不强，配变档位调整、无功补偿等治理措施的应用缺乏精准的数据支撑，存在"头痛医头、脚痛医脚"的现象；四是电压质量跟踪评估机制不完善，治理效果缺乏有效的量化评估手段，难以形成闭环管控。</w:t>
      </w:r>
    </w:p>
    <w:p w14:paraId="4578BA8D">
      <w:pPr>
        <w:spacing w:line="360" w:lineRule="auto"/>
        <w:ind w:firstLine="480"/>
        <w:rPr>
          <w:rFonts w:hint="eastAsia" w:ascii="宋体" w:hAnsi="宋体" w:eastAsia="宋体"/>
          <w:b w:val="0"/>
          <w:sz w:val="24"/>
        </w:rPr>
      </w:pPr>
      <w:r>
        <w:rPr>
          <w:rFonts w:hint="eastAsia" w:ascii="宋体" w:hAnsi="宋体" w:eastAsia="宋体"/>
          <w:b w:val="0"/>
          <w:sz w:val="24"/>
        </w:rPr>
        <w:t>从数据层面来看，当前存在的突出问题包括：PMS系统设备台账数据与实际运行状态存在偏差，部分设备参数信息更新不及时；用电信息采集系统96点日数据采集完整率约92%，部分终端存在通信中断、数据缺失等问题；D类电压监测点覆盖率约65%，部分台区缺乏有效的电压监测手段；95598工单数据与电压监测数据的关联分析尚未建立，工单反映的问题难以快速定位到具体台区和原因；配变档位台账信息不完整，约15%的配变档位信息缺失或存疑。这些问题严重制约了电压质量管理的精细化水平。</w:t>
      </w:r>
    </w:p>
    <w:p w14:paraId="4EEBB6F8">
      <w:pPr>
        <w:spacing w:line="360" w:lineRule="auto"/>
        <w:ind w:firstLine="480"/>
        <w:rPr>
          <w:rFonts w:hint="eastAsia" w:ascii="宋体" w:hAnsi="宋体" w:eastAsia="宋体"/>
          <w:b w:val="0"/>
          <w:sz w:val="24"/>
        </w:rPr>
      </w:pPr>
      <w:r>
        <w:rPr>
          <w:rFonts w:hint="eastAsia" w:ascii="宋体" w:hAnsi="宋体" w:eastAsia="宋体"/>
          <w:b w:val="0"/>
          <w:sz w:val="24"/>
        </w:rPr>
        <w:t>在此背景下，国网新疆乌鲁木齐供电公司亟需引入专业的电压质量数据分析治理提升技术服务，通过系统化的数据采集、分析和治理，全面掌握辖区内低压用户电压质量状况，精准定位电压异常原因，制定科学的治理措施，建立长效的跟踪评估机制，切实提升供电服务质量和用户用电体验。</w:t>
      </w:r>
    </w:p>
    <w:p w14:paraId="7A4A827A">
      <w:pPr>
        <w:spacing w:line="360" w:lineRule="auto"/>
        <w:ind w:firstLine="480"/>
        <w:rPr>
          <w:rFonts w:hint="eastAsia" w:ascii="宋体" w:hAnsi="宋体" w:eastAsia="宋体"/>
          <w:b w:val="0"/>
          <w:sz w:val="24"/>
        </w:rPr>
      </w:pPr>
      <w:r>
        <w:rPr>
          <w:rFonts w:hint="eastAsia" w:ascii="宋体" w:hAnsi="宋体" w:eastAsia="宋体"/>
          <w:b w:val="0"/>
          <w:sz w:val="24"/>
        </w:rPr>
        <w:t>本项目通过对全口径低压用户电压质量数据的深度分析和综合治理，旨在解决当前电压质量管理中存在的"监测不全、分析不深、治理不精、评估不准"等突出问题，为乌鲁木齐供电公司电压质量提升提供全方位的技术支撑和决策依据。项目服务期限自合同签订日起至2026年12月30日，覆盖合同期内全年电压质量数据的采集、分析、治理和评估工作。</w:t>
      </w:r>
    </w:p>
    <w:p w14:paraId="5C1958E8">
      <w:pPr>
        <w:spacing w:line="360" w:lineRule="auto"/>
        <w:ind w:firstLine="480"/>
        <w:rPr>
          <w:rFonts w:hint="eastAsia" w:ascii="宋体" w:hAnsi="宋体" w:eastAsia="宋体"/>
          <w:b w:val="0"/>
          <w:sz w:val="24"/>
        </w:rPr>
      </w:pPr>
      <w:r>
        <w:rPr>
          <w:rFonts w:hint="eastAsia" w:ascii="宋体" w:hAnsi="宋体" w:eastAsia="宋体"/>
          <w:b w:val="0"/>
          <w:sz w:val="24"/>
        </w:rPr>
        <w:t>从乌鲁木齐地区供电特点来看，冬季采暖负荷占比较大，部分区域电采暖渗透率已超过60%，冬季最大负荷是夏季的2-3倍。负荷的季节性剧烈波动，对配变调压能力提出了更高要求。同时，乌鲁木齐市区部分老旧小区供电线路建设年代久远，线径偏细、供电半径过长的问题较为突出，加之近年来居民用电需求持续增长，电压质量改善的压力不断加大。此外，城乡结合部和农村地区的供电线路较长、负荷密度较低，电压质量控制难度更大。</w:t>
      </w:r>
    </w:p>
    <w:p w14:paraId="4DF5373B">
      <w:pPr>
        <w:spacing w:line="360" w:lineRule="auto"/>
        <w:ind w:firstLine="480"/>
      </w:pPr>
      <w:r>
        <w:rPr>
          <w:rFonts w:hint="eastAsia" w:ascii="宋体" w:hAnsi="宋体" w:eastAsia="宋体"/>
          <w:b w:val="0"/>
          <w:sz w:val="24"/>
        </w:rPr>
        <w:t>根据国家电网公司"十四五"配电网规划建设要求和国网新疆电力公司电能质量提升专项行动部署，乌鲁木齐供电公司需在2026年度内系统化开展全口径低压用户电压质量数据分析治理提升工作，通过数据驱动的精准分析和科学治理，切实降低电压越限台区比例，提升供电服务质量，满足人民群众对美好用电的需求。本项目正是在这一背景下立项实施的</w:t>
      </w:r>
      <w:r>
        <w:rPr>
          <w:rFonts w:ascii="宋体" w:hAnsi="宋体" w:eastAsia="宋体"/>
          <w:b w:val="0"/>
          <w:sz w:val="24"/>
        </w:rPr>
        <w:t>。</w:t>
      </w:r>
    </w:p>
    <w:p w14:paraId="60AE8AC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6887C31B">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本项目的总体目标是：以数据为驱动，以问题为导向，以提升为目标，建立覆盖乌鲁木齐供电公司全口径低压用户的电压质量数据分析和治理提升技术服务体系，实现电压质量问题的精准识别、科学诊断和有效治理，切实提升供电区域内低压用户电压质量水平。</w:t>
      </w:r>
    </w:p>
    <w:p w14:paraId="50D434BD">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具体目标如下：</w:t>
      </w:r>
    </w:p>
    <w:p w14:paraId="7ACE7A87">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1）全面摸清电压质量底数。通过对全口径低压用户电压质量数据的系统采集和整理，建立完整的电压质量数据库，准确掌握146.33万户低压用户、8133台配变的电压质量现状，为后续分析和治理提供可靠的数据基础。</w:t>
      </w:r>
    </w:p>
    <w:p w14:paraId="2EE5491A">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（2）精准定位电压异常原因。运用多维数据分析方法，结合配电网运行参数、负荷特性、台区拓扑等关联数据，对1073个越限台区逐一分析，精准识别电压异常的根因，为制定治理措施提供科学依据。</w:t>
      </w:r>
    </w:p>
    <w:p w14:paraId="05098C02">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（3）分类制定治理提升方案。根据电压异常类型、成因和严重程度，对越限台区进行分类分级，制定针对性的治理措施，包括配变档位调整、无功补偿优化、线路改造建议等，确保治理措施的精准性和有效性。</w:t>
      </w:r>
    </w:p>
    <w:p w14:paraId="7A62FE5B">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（4）建立长效跟踪评估机制。建立电压质量治理效果的跟踪评估体系，对已治理台区进行持续监测，评估治理效果，及时发现回弹问题，形成"监测-分析-治理-评估-优化"的闭环管控机制。</w:t>
      </w:r>
    </w:p>
    <w:p w14:paraId="6353EB02">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5）编制规范的诊断分析报告。按照技术规范书要求，及时、准确、完整地编制各类诊断分析报告，包括半年度诊断分析报告、年度诊断分析报告、迎峰度冬期间电压质量诊断分析报告等，为供电公司决策提供数据支撑和参考。</w:t>
      </w:r>
    </w:p>
    <w:p w14:paraId="7EF4B942">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6）提升电压质量管控水平。通过本项目的实施，推动乌鲁木齐供电公司电压质量管理从"被动响应"向"主动预防"转变，从"经验驱动"向"数据驱动"转变，从"分散管理"向"系统管控"转变，全面提升电压质量管控的信息化、规范化和科学化水平。</w:t>
      </w:r>
    </w:p>
    <w:p w14:paraId="785F4380">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（7）降低用户投诉率。通过95598工单关联分析和精准治理，将因电压质量问题引发的客户投诉量较上一年度降低30%以上，提升供电服务满意度和客户获得感。</w:t>
      </w:r>
    </w:p>
    <w:p w14:paraId="6C14187A">
      <w:pPr>
        <w:spacing w:line="360" w:lineRule="auto"/>
        <w:ind w:firstLine="480"/>
        <w:rPr>
          <w:rFonts w:hint="eastAsia" w:ascii="宋体" w:hAnsi="宋体" w:eastAsia="宋体"/>
          <w:b w:val="0"/>
          <w:sz w:val="24"/>
          <w:lang w:val="en-US" w:eastAsia="zh-CN"/>
        </w:rPr>
      </w:pPr>
      <w:r>
        <w:rPr>
          <w:rFonts w:hint="eastAsia" w:ascii="宋体" w:hAnsi="宋体" w:eastAsia="宋体"/>
          <w:b w:val="0"/>
          <w:sz w:val="24"/>
          <w:lang w:val="en-US" w:eastAsia="zh-CN"/>
        </w:rPr>
        <w:t>（8）支撑配网规划决策。通过系统化的电压质量数据分析和治理效果评估，为乌鲁木齐供电公司配电网规划和改造投资提供精准的数据支撑，优化资源配置，提高投资效率</w:t>
      </w:r>
    </w:p>
    <w:p w14:paraId="5745D997">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13694DB1">
      <w:pPr>
        <w:spacing w:after="0" w:line="360" w:lineRule="auto"/>
        <w:ind w:firstLine="560"/>
      </w:pPr>
      <w:r>
        <w:rPr>
          <w:rFonts w:ascii="仿宋" w:hAnsi="仿宋" w:eastAsia="仿宋"/>
          <w:sz w:val="28"/>
        </w:rPr>
        <w:t>通过对项目技术规范书的深入研读和对乌鲁木齐供电公司电压质量管理现状的调研分析，本项目在实施过程中将面临以下重点和难点问题：</w:t>
      </w:r>
    </w:p>
    <w:p w14:paraId="66672780">
      <w:pPr>
        <w:pStyle w:val="4"/>
        <w:numPr>
          <w:ilvl w:val="3"/>
          <w:numId w:val="0"/>
        </w:numPr>
        <w:bidi w:val="0"/>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1.3.1 重点问题</w:t>
      </w:r>
    </w:p>
    <w:p w14:paraId="142655C0">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1）单向越限台区调档管控。对电压越限台区特别是单向越限台区进行精准的调档管控是本项目的核心任务。需要在准确判断台区电压越限类型和原因的基础上，科学制定配变档位调整方案，既要确保电压恢复到合格范围，又要避免调档后出现反向越限。目前乌鲁木齐供电公司辖区内单向越限台区数量较多，调档管控工作量较大，需要建立高效的调档审核和跟踪流程。</w:t>
      </w:r>
    </w:p>
    <w:p w14:paraId="737CDF43">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2）配变档位台账管理。建立和维护完整、准确的配变档位台账是调档管控的基础性工作。当前部分配变档位信息缺失或不准确，档位变更记录不完整，需要通过核查和校验，建立规范化的配变档位台账管理体系，确保档位信息的准确性和时效性。</w:t>
      </w:r>
    </w:p>
    <w:p w14:paraId="4EB69D37">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3）疑难台区一台一案分析。对于常规措施难以解决的疑难越限台区，需要开展深度分析，综合考虑台区供电半径、线路参数、负荷特性、无功配置等多维度因素，制定"一台一案"的专项治理方案。这类台区往往涉及复杂的电网拓扑和运行工况，分析难度大，治理成本高。</w:t>
      </w:r>
    </w:p>
    <w:p w14:paraId="3A76071C">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4）电压异常综合治理。电压异常问题的治理不仅仅是配变调档，还涉及无功补偿优化、线路改造、负荷调整、三相不平衡治理等多个方面。需要建立系统化的综合治理思路，根据不同台区的具体情况，制定组合式的治理措施，确保治理效果的最大化。</w:t>
      </w:r>
    </w:p>
    <w:p w14:paraId="784B0205">
      <w:pPr>
        <w:pStyle w:val="4"/>
        <w:numPr>
          <w:ilvl w:val="3"/>
          <w:numId w:val="0"/>
        </w:numPr>
        <w:bidi w:val="0"/>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1.3.2 难点问题</w:t>
      </w:r>
    </w:p>
    <w:p w14:paraId="388FE978">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1）多源异构数据融合分析。电压质量分析需要融合PMS系统数据、用电信息采集系统数据、SCADA系统数据、95598客服系统数据等多种数据源，这些数据在格式、粒度、时效性等方面存在较大差异，数据融合和关联分析的技术难度较高。特别是D类电压监测点数据的覆盖率不足，数据缺失和异常情况较为普遍，数据清洗和质量控制的难度较大。</w:t>
      </w:r>
    </w:p>
    <w:p w14:paraId="2C0248A0">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2）电压异常根因精准定位。电压异常的成因往往具有多重性和关联性，一个台区可能同时存在低电压和三相不平衡问题，也可能是由供电半径过长、线径偏细、负荷分布不均等多种因素共同导致。如何在复杂的多因素条件下精准定位电压异常的根因，是本项目面临的核心技术难点。</w:t>
      </w:r>
    </w:p>
    <w:p w14:paraId="1BA17C2A">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3）迎峰度夏/迎峰度冬保障。乌鲁木齐地区夏季空调负荷和冬季电采暖负荷均处于高位运行，导致迎峰度夏和迎峰度冬期间电压质量波动加剧，保障难度远超平时。需要提前开展负荷高峰期电压质量预测分析，制定针对性的保障措施，确保负荷高峰期供电电压质量稳定。</w:t>
      </w:r>
    </w:p>
    <w:p w14:paraId="376064E9">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4）配变档位状态核查困难。部分台区配变档位信息与实际不符，档位核查需要现场实地查看，工作量大、效率低。需要结合用电信息采集系统的数据分析，建立档位异常自动识别算法，提高档位核查的效率和准确性。</w:t>
      </w:r>
    </w:p>
    <w:p w14:paraId="114FB7CB">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5）治理效果长效保持。电压质量治理不是一次性工作，治理后台区电压可能因负荷变化、季节变化等因素出现回弹。如何建立长效的跟踪评估机制，及时发现和处置电压回弹问题，确保治理效果的持续性，是项目实施的重要难点。</w:t>
      </w:r>
    </w:p>
    <w:p w14:paraId="08716303">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6）配变调档与无功补偿协同优化。部分台区电压异常同时存在档位不合理和无功不足的问题，需要将配变调档与无功补偿进行协同优化。调档主要解决空载或轻载时的电压偏高问题，无功补偿主要解决重载时的电压偏低问题。两者需要统筹考虑，既要避免调档后重载时电压更低，又要避免无功补偿后轻载时电压更高。如何在两者之间找到最优平衡点，是项目实施的技术难点。</w:t>
      </w:r>
    </w:p>
    <w:p w14:paraId="2B0BDC07">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7）数据分析结果的可解释性。数据分析模型得出的结论需要能够被供电公司运维人员理解和接受，否则难以指导实际治理工作。如何在保证分析深度和精度的前提下，提高分析结果的可解释性和可操作性，使分析建议真正落地实施，是项目实施的重要考量。</w:t>
      </w:r>
    </w:p>
    <w:p w14:paraId="46A338F4">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本项目重点难点分析及对策汇总如下：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33"/>
        <w:gridCol w:w="2133"/>
      </w:tblGrid>
      <w:tr w14:paraId="76D8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85C35B">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60" w:type="dxa"/>
          </w:tcPr>
          <w:p w14:paraId="0279ADAD">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重难点问题</w:t>
            </w:r>
          </w:p>
        </w:tc>
        <w:tc>
          <w:tcPr>
            <w:tcW w:w="2160" w:type="dxa"/>
          </w:tcPr>
          <w:p w14:paraId="760C7E51">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问题分析</w:t>
            </w:r>
          </w:p>
        </w:tc>
        <w:tc>
          <w:tcPr>
            <w:tcW w:w="2160" w:type="dxa"/>
          </w:tcPr>
          <w:p w14:paraId="0EAF8CF8">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应对策略</w:t>
            </w:r>
          </w:p>
        </w:tc>
      </w:tr>
      <w:tr w14:paraId="1DCB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1C15B2">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160" w:type="dxa"/>
          </w:tcPr>
          <w:p w14:paraId="5BC4AAC7">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单向越限台区</w:t>
            </w:r>
            <w:r>
              <w:rPr>
                <w:rFonts w:hint="eastAsia" w:ascii="宋体" w:hAnsi="宋体" w:eastAsia="宋体" w:cs="宋体"/>
                <w:sz w:val="24"/>
                <w:szCs w:val="24"/>
              </w:rPr>
              <w:br w:type="textWrapping"/>
            </w:r>
            <w:r>
              <w:rPr>
                <w:rFonts w:hint="eastAsia" w:ascii="宋体" w:hAnsi="宋体" w:eastAsia="宋体" w:cs="宋体"/>
                <w:sz w:val="24"/>
                <w:szCs w:val="24"/>
              </w:rPr>
              <w:t>调档管控</w:t>
            </w:r>
          </w:p>
        </w:tc>
        <w:tc>
          <w:tcPr>
            <w:tcW w:w="2160" w:type="dxa"/>
          </w:tcPr>
          <w:p w14:paraId="42EC4DF9">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越限台区数量多，调档方案</w:t>
            </w:r>
            <w:r>
              <w:rPr>
                <w:rFonts w:hint="eastAsia" w:ascii="宋体" w:hAnsi="宋体" w:eastAsia="宋体" w:cs="宋体"/>
                <w:sz w:val="24"/>
                <w:szCs w:val="24"/>
              </w:rPr>
              <w:br w:type="textWrapping"/>
            </w:r>
            <w:r>
              <w:rPr>
                <w:rFonts w:hint="eastAsia" w:ascii="宋体" w:hAnsi="宋体" w:eastAsia="宋体" w:cs="宋体"/>
                <w:sz w:val="24"/>
                <w:szCs w:val="24"/>
              </w:rPr>
              <w:t>制定需兼顾安全性和有效性</w:t>
            </w:r>
          </w:p>
        </w:tc>
        <w:tc>
          <w:tcPr>
            <w:tcW w:w="2160" w:type="dxa"/>
          </w:tcPr>
          <w:p w14:paraId="05B45426">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建立分类分级调档管控流程，</w:t>
            </w:r>
            <w:r>
              <w:rPr>
                <w:rFonts w:hint="eastAsia" w:ascii="宋体" w:hAnsi="宋体" w:eastAsia="宋体" w:cs="宋体"/>
                <w:sz w:val="24"/>
                <w:szCs w:val="24"/>
              </w:rPr>
              <w:br w:type="textWrapping"/>
            </w:r>
            <w:r>
              <w:rPr>
                <w:rFonts w:hint="eastAsia" w:ascii="宋体" w:hAnsi="宋体" w:eastAsia="宋体" w:cs="宋体"/>
                <w:sz w:val="24"/>
                <w:szCs w:val="24"/>
              </w:rPr>
              <w:t>制定标准化调档方案模板</w:t>
            </w:r>
          </w:p>
        </w:tc>
      </w:tr>
      <w:tr w14:paraId="670E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ED40A2">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160" w:type="dxa"/>
          </w:tcPr>
          <w:p w14:paraId="4914E9F5">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配变档位</w:t>
            </w:r>
            <w:r>
              <w:rPr>
                <w:rFonts w:hint="eastAsia" w:ascii="宋体" w:hAnsi="宋体" w:eastAsia="宋体" w:cs="宋体"/>
                <w:sz w:val="24"/>
                <w:szCs w:val="24"/>
              </w:rPr>
              <w:br w:type="textWrapping"/>
            </w:r>
            <w:r>
              <w:rPr>
                <w:rFonts w:hint="eastAsia" w:ascii="宋体" w:hAnsi="宋体" w:eastAsia="宋体" w:cs="宋体"/>
                <w:sz w:val="24"/>
                <w:szCs w:val="24"/>
              </w:rPr>
              <w:t>台账管理</w:t>
            </w:r>
          </w:p>
        </w:tc>
        <w:tc>
          <w:tcPr>
            <w:tcW w:w="2160" w:type="dxa"/>
          </w:tcPr>
          <w:p w14:paraId="066FDFE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档位信息不完整、不准确，</w:t>
            </w:r>
            <w:r>
              <w:rPr>
                <w:rFonts w:hint="eastAsia" w:ascii="宋体" w:hAnsi="宋体" w:eastAsia="宋体" w:cs="宋体"/>
                <w:sz w:val="24"/>
                <w:szCs w:val="24"/>
              </w:rPr>
              <w:br w:type="textWrapping"/>
            </w:r>
            <w:r>
              <w:rPr>
                <w:rFonts w:hint="eastAsia" w:ascii="宋体" w:hAnsi="宋体" w:eastAsia="宋体" w:cs="宋体"/>
                <w:sz w:val="24"/>
                <w:szCs w:val="24"/>
              </w:rPr>
              <w:t>变更记录缺失</w:t>
            </w:r>
          </w:p>
        </w:tc>
        <w:tc>
          <w:tcPr>
            <w:tcW w:w="2160" w:type="dxa"/>
          </w:tcPr>
          <w:p w14:paraId="6D3534F4">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建立档位动态更新机制，</w:t>
            </w:r>
            <w:r>
              <w:rPr>
                <w:rFonts w:hint="eastAsia" w:ascii="宋体" w:hAnsi="宋体" w:eastAsia="宋体" w:cs="宋体"/>
                <w:sz w:val="24"/>
                <w:szCs w:val="24"/>
              </w:rPr>
              <w:br w:type="textWrapping"/>
            </w:r>
            <w:r>
              <w:rPr>
                <w:rFonts w:hint="eastAsia" w:ascii="宋体" w:hAnsi="宋体" w:eastAsia="宋体" w:cs="宋体"/>
                <w:sz w:val="24"/>
                <w:szCs w:val="24"/>
              </w:rPr>
              <w:t>开发档位异常自动识别算法</w:t>
            </w:r>
          </w:p>
        </w:tc>
      </w:tr>
      <w:tr w14:paraId="4DE5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A8985F">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160" w:type="dxa"/>
          </w:tcPr>
          <w:p w14:paraId="05FA54CA">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多源异构</w:t>
            </w:r>
            <w:r>
              <w:rPr>
                <w:rFonts w:hint="eastAsia" w:ascii="宋体" w:hAnsi="宋体" w:eastAsia="宋体" w:cs="宋体"/>
                <w:sz w:val="24"/>
                <w:szCs w:val="24"/>
              </w:rPr>
              <w:br w:type="textWrapping"/>
            </w:r>
            <w:r>
              <w:rPr>
                <w:rFonts w:hint="eastAsia" w:ascii="宋体" w:hAnsi="宋体" w:eastAsia="宋体" w:cs="宋体"/>
                <w:sz w:val="24"/>
                <w:szCs w:val="24"/>
              </w:rPr>
              <w:t>数据融合</w:t>
            </w:r>
          </w:p>
        </w:tc>
        <w:tc>
          <w:tcPr>
            <w:tcW w:w="2160" w:type="dxa"/>
          </w:tcPr>
          <w:p w14:paraId="0F48CD2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数据源多样、格式不统一、</w:t>
            </w:r>
            <w:r>
              <w:rPr>
                <w:rFonts w:hint="eastAsia" w:ascii="宋体" w:hAnsi="宋体" w:eastAsia="宋体" w:cs="宋体"/>
                <w:sz w:val="24"/>
                <w:szCs w:val="24"/>
              </w:rPr>
              <w:br w:type="textWrapping"/>
            </w:r>
            <w:r>
              <w:rPr>
                <w:rFonts w:hint="eastAsia" w:ascii="宋体" w:hAnsi="宋体" w:eastAsia="宋体" w:cs="宋体"/>
                <w:sz w:val="24"/>
                <w:szCs w:val="24"/>
              </w:rPr>
              <w:t>粒度不一致</w:t>
            </w:r>
          </w:p>
        </w:tc>
        <w:tc>
          <w:tcPr>
            <w:tcW w:w="2160" w:type="dxa"/>
          </w:tcPr>
          <w:p w14:paraId="59CA3A4A">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建立统一数据接入标准，</w:t>
            </w:r>
            <w:r>
              <w:rPr>
                <w:rFonts w:hint="eastAsia" w:ascii="宋体" w:hAnsi="宋体" w:eastAsia="宋体" w:cs="宋体"/>
                <w:sz w:val="24"/>
                <w:szCs w:val="24"/>
              </w:rPr>
              <w:br w:type="textWrapping"/>
            </w:r>
            <w:r>
              <w:rPr>
                <w:rFonts w:hint="eastAsia" w:ascii="宋体" w:hAnsi="宋体" w:eastAsia="宋体" w:cs="宋体"/>
                <w:sz w:val="24"/>
                <w:szCs w:val="24"/>
              </w:rPr>
              <w:t>开发自动化数据清洗工具</w:t>
            </w:r>
          </w:p>
        </w:tc>
      </w:tr>
      <w:tr w14:paraId="02F4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C0676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160" w:type="dxa"/>
          </w:tcPr>
          <w:p w14:paraId="36B38AF9">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电压异常</w:t>
            </w:r>
            <w:r>
              <w:rPr>
                <w:rFonts w:hint="eastAsia" w:ascii="宋体" w:hAnsi="宋体" w:eastAsia="宋体" w:cs="宋体"/>
                <w:sz w:val="24"/>
                <w:szCs w:val="24"/>
              </w:rPr>
              <w:br w:type="textWrapping"/>
            </w:r>
            <w:r>
              <w:rPr>
                <w:rFonts w:hint="eastAsia" w:ascii="宋体" w:hAnsi="宋体" w:eastAsia="宋体" w:cs="宋体"/>
                <w:sz w:val="24"/>
                <w:szCs w:val="24"/>
              </w:rPr>
              <w:t>根因定位</w:t>
            </w:r>
          </w:p>
        </w:tc>
        <w:tc>
          <w:tcPr>
            <w:tcW w:w="2160" w:type="dxa"/>
          </w:tcPr>
          <w:p w14:paraId="258C21D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成因多重且关联性强，</w:t>
            </w:r>
            <w:r>
              <w:rPr>
                <w:rFonts w:hint="eastAsia" w:ascii="宋体" w:hAnsi="宋体" w:eastAsia="宋体" w:cs="宋体"/>
                <w:sz w:val="24"/>
                <w:szCs w:val="24"/>
              </w:rPr>
              <w:br w:type="textWrapping"/>
            </w:r>
            <w:r>
              <w:rPr>
                <w:rFonts w:hint="eastAsia" w:ascii="宋体" w:hAnsi="宋体" w:eastAsia="宋体" w:cs="宋体"/>
                <w:sz w:val="24"/>
                <w:szCs w:val="24"/>
              </w:rPr>
              <w:t>难以精准识别</w:t>
            </w:r>
          </w:p>
        </w:tc>
        <w:tc>
          <w:tcPr>
            <w:tcW w:w="2160" w:type="dxa"/>
          </w:tcPr>
          <w:p w14:paraId="0E3F0DEE">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建立多维关联分析模型，</w:t>
            </w:r>
            <w:r>
              <w:rPr>
                <w:rFonts w:hint="eastAsia" w:ascii="宋体" w:hAnsi="宋体" w:eastAsia="宋体" w:cs="宋体"/>
                <w:sz w:val="24"/>
                <w:szCs w:val="24"/>
              </w:rPr>
              <w:br w:type="textWrapping"/>
            </w:r>
            <w:r>
              <w:rPr>
                <w:rFonts w:hint="eastAsia" w:ascii="宋体" w:hAnsi="宋体" w:eastAsia="宋体" w:cs="宋体"/>
                <w:sz w:val="24"/>
                <w:szCs w:val="24"/>
              </w:rPr>
              <w:t>开发根因诊断专家系统</w:t>
            </w:r>
          </w:p>
        </w:tc>
      </w:tr>
      <w:tr w14:paraId="6AA8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9F4BA5D">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160" w:type="dxa"/>
          </w:tcPr>
          <w:p w14:paraId="36386914">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迎峰度夏/度冬</w:t>
            </w:r>
            <w:r>
              <w:rPr>
                <w:rFonts w:hint="eastAsia" w:ascii="宋体" w:hAnsi="宋体" w:eastAsia="宋体" w:cs="宋体"/>
                <w:sz w:val="24"/>
                <w:szCs w:val="24"/>
              </w:rPr>
              <w:br w:type="textWrapping"/>
            </w:r>
            <w:r>
              <w:rPr>
                <w:rFonts w:hint="eastAsia" w:ascii="宋体" w:hAnsi="宋体" w:eastAsia="宋体" w:cs="宋体"/>
                <w:sz w:val="24"/>
                <w:szCs w:val="24"/>
              </w:rPr>
              <w:t>保障</w:t>
            </w:r>
          </w:p>
        </w:tc>
        <w:tc>
          <w:tcPr>
            <w:tcW w:w="2160" w:type="dxa"/>
          </w:tcPr>
          <w:p w14:paraId="1B823F7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负荷突变大，电压波动</w:t>
            </w:r>
            <w:r>
              <w:rPr>
                <w:rFonts w:hint="eastAsia" w:ascii="宋体" w:hAnsi="宋体" w:eastAsia="宋体" w:cs="宋体"/>
                <w:sz w:val="24"/>
                <w:szCs w:val="24"/>
              </w:rPr>
              <w:br w:type="textWrapping"/>
            </w:r>
            <w:r>
              <w:rPr>
                <w:rFonts w:hint="eastAsia" w:ascii="宋体" w:hAnsi="宋体" w:eastAsia="宋体" w:cs="宋体"/>
                <w:sz w:val="24"/>
                <w:szCs w:val="24"/>
              </w:rPr>
              <w:t>剧烈，保障难度高</w:t>
            </w:r>
          </w:p>
        </w:tc>
        <w:tc>
          <w:tcPr>
            <w:tcW w:w="2160" w:type="dxa"/>
          </w:tcPr>
          <w:p w14:paraId="1CFF4079">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提前预测预警，制定</w:t>
            </w:r>
            <w:r>
              <w:rPr>
                <w:rFonts w:hint="eastAsia" w:ascii="宋体" w:hAnsi="宋体" w:eastAsia="宋体" w:cs="宋体"/>
                <w:sz w:val="24"/>
                <w:szCs w:val="24"/>
              </w:rPr>
              <w:br w:type="textWrapping"/>
            </w:r>
            <w:r>
              <w:rPr>
                <w:rFonts w:hint="eastAsia" w:ascii="宋体" w:hAnsi="宋体" w:eastAsia="宋体" w:cs="宋体"/>
                <w:sz w:val="24"/>
                <w:szCs w:val="24"/>
              </w:rPr>
              <w:t>专项保障方案和应急预案</w:t>
            </w:r>
          </w:p>
        </w:tc>
      </w:tr>
      <w:tr w14:paraId="206E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0C9B23">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2160" w:type="dxa"/>
          </w:tcPr>
          <w:p w14:paraId="51AE200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疑难台区</w:t>
            </w:r>
            <w:r>
              <w:rPr>
                <w:rFonts w:hint="eastAsia" w:ascii="宋体" w:hAnsi="宋体" w:eastAsia="宋体" w:cs="宋体"/>
                <w:sz w:val="24"/>
                <w:szCs w:val="24"/>
              </w:rPr>
              <w:br w:type="textWrapping"/>
            </w:r>
            <w:r>
              <w:rPr>
                <w:rFonts w:hint="eastAsia" w:ascii="宋体" w:hAnsi="宋体" w:eastAsia="宋体" w:cs="宋体"/>
                <w:sz w:val="24"/>
                <w:szCs w:val="24"/>
              </w:rPr>
              <w:t>一台一案</w:t>
            </w:r>
          </w:p>
        </w:tc>
        <w:tc>
          <w:tcPr>
            <w:tcW w:w="2160" w:type="dxa"/>
          </w:tcPr>
          <w:p w14:paraId="5F5E3BC6">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涉及复杂电网拓扑和</w:t>
            </w:r>
            <w:r>
              <w:rPr>
                <w:rFonts w:hint="eastAsia" w:ascii="宋体" w:hAnsi="宋体" w:eastAsia="宋体" w:cs="宋体"/>
                <w:sz w:val="24"/>
                <w:szCs w:val="24"/>
              </w:rPr>
              <w:br w:type="textWrapping"/>
            </w:r>
            <w:r>
              <w:rPr>
                <w:rFonts w:hint="eastAsia" w:ascii="宋体" w:hAnsi="宋体" w:eastAsia="宋体" w:cs="宋体"/>
                <w:sz w:val="24"/>
                <w:szCs w:val="24"/>
              </w:rPr>
              <w:t>运行工况，分析难度大</w:t>
            </w:r>
          </w:p>
        </w:tc>
        <w:tc>
          <w:tcPr>
            <w:tcW w:w="2160" w:type="dxa"/>
          </w:tcPr>
          <w:p w14:paraId="3DAE8183">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组织专家会诊，综合运用</w:t>
            </w:r>
            <w:r>
              <w:rPr>
                <w:rFonts w:hint="eastAsia" w:ascii="宋体" w:hAnsi="宋体" w:eastAsia="宋体" w:cs="宋体"/>
                <w:sz w:val="24"/>
                <w:szCs w:val="24"/>
              </w:rPr>
              <w:br w:type="textWrapping"/>
            </w:r>
            <w:r>
              <w:rPr>
                <w:rFonts w:hint="eastAsia" w:ascii="宋体" w:hAnsi="宋体" w:eastAsia="宋体" w:cs="宋体"/>
                <w:sz w:val="24"/>
                <w:szCs w:val="24"/>
              </w:rPr>
              <w:t>多种分析方法深度诊断</w:t>
            </w:r>
          </w:p>
        </w:tc>
      </w:tr>
      <w:tr w14:paraId="3CF7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41CFF2">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7</w:t>
            </w:r>
          </w:p>
        </w:tc>
        <w:tc>
          <w:tcPr>
            <w:tcW w:w="2160" w:type="dxa"/>
          </w:tcPr>
          <w:p w14:paraId="387019CA">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治理效果</w:t>
            </w:r>
            <w:r>
              <w:rPr>
                <w:rFonts w:hint="eastAsia" w:ascii="宋体" w:hAnsi="宋体" w:eastAsia="宋体" w:cs="宋体"/>
                <w:sz w:val="24"/>
                <w:szCs w:val="24"/>
              </w:rPr>
              <w:br w:type="textWrapping"/>
            </w:r>
            <w:r>
              <w:rPr>
                <w:rFonts w:hint="eastAsia" w:ascii="宋体" w:hAnsi="宋体" w:eastAsia="宋体" w:cs="宋体"/>
                <w:sz w:val="24"/>
                <w:szCs w:val="24"/>
              </w:rPr>
              <w:t>长效保持</w:t>
            </w:r>
          </w:p>
        </w:tc>
        <w:tc>
          <w:tcPr>
            <w:tcW w:w="2160" w:type="dxa"/>
          </w:tcPr>
          <w:p w14:paraId="00035C79">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负荷变化可能导致电压</w:t>
            </w:r>
            <w:r>
              <w:rPr>
                <w:rFonts w:hint="eastAsia" w:ascii="宋体" w:hAnsi="宋体" w:eastAsia="宋体" w:cs="宋体"/>
                <w:sz w:val="24"/>
                <w:szCs w:val="24"/>
              </w:rPr>
              <w:br w:type="textWrapping"/>
            </w:r>
            <w:r>
              <w:rPr>
                <w:rFonts w:hint="eastAsia" w:ascii="宋体" w:hAnsi="宋体" w:eastAsia="宋体" w:cs="宋体"/>
                <w:sz w:val="24"/>
                <w:szCs w:val="24"/>
              </w:rPr>
              <w:t>回弹，治理效果难以持续</w:t>
            </w:r>
          </w:p>
        </w:tc>
        <w:tc>
          <w:tcPr>
            <w:tcW w:w="2160" w:type="dxa"/>
          </w:tcPr>
          <w:p w14:paraId="2BD300B3">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建立闭环跟踪评估机制，</w:t>
            </w:r>
            <w:r>
              <w:rPr>
                <w:rFonts w:hint="eastAsia" w:ascii="宋体" w:hAnsi="宋体" w:eastAsia="宋体" w:cs="宋体"/>
                <w:sz w:val="24"/>
                <w:szCs w:val="24"/>
              </w:rPr>
              <w:br w:type="textWrapping"/>
            </w:r>
            <w:r>
              <w:rPr>
                <w:rFonts w:hint="eastAsia" w:ascii="宋体" w:hAnsi="宋体" w:eastAsia="宋体" w:cs="宋体"/>
                <w:sz w:val="24"/>
                <w:szCs w:val="24"/>
              </w:rPr>
              <w:t>设置电压回弹预警指标</w:t>
            </w:r>
          </w:p>
        </w:tc>
      </w:tr>
    </w:tbl>
    <w:p w14:paraId="0E18D097">
      <w:pPr>
        <w:spacing w:line="360" w:lineRule="auto"/>
        <w:ind w:firstLine="480"/>
        <w:rPr>
          <w:rFonts w:ascii="宋体" w:hAnsi="宋体" w:eastAsia="宋体"/>
          <w:b w:val="0"/>
          <w:sz w:val="24"/>
        </w:rPr>
      </w:pPr>
    </w:p>
    <w:p w14:paraId="0FAF005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45B02996">
      <w:pPr>
        <w:spacing w:line="360" w:lineRule="auto"/>
        <w:ind w:firstLine="480"/>
        <w:rPr>
          <w:rFonts w:hint="eastAsia" w:ascii="宋体" w:hAnsi="宋体" w:eastAsia="宋体"/>
          <w:b w:val="0"/>
          <w:sz w:val="24"/>
        </w:rPr>
      </w:pPr>
      <w:r>
        <w:rPr>
          <w:rFonts w:hint="eastAsia" w:ascii="宋体" w:hAnsi="宋体" w:eastAsia="宋体"/>
          <w:b w:val="0"/>
          <w:sz w:val="24"/>
        </w:rPr>
        <w:t>本项目的实施遵循"数据驱动、精准分析、分类施策、闭环管控"的总体思路，按照"数据采集→数据分析→治理实施→效果评估→持续优化"的五步闭环流程推进，具体实施路径如下：</w:t>
      </w:r>
    </w:p>
    <w:p w14:paraId="07FF18F2">
      <w:pPr>
        <w:spacing w:line="360" w:lineRule="auto"/>
        <w:ind w:firstLine="480"/>
        <w:rPr>
          <w:rFonts w:hint="eastAsia" w:ascii="宋体" w:hAnsi="宋体" w:eastAsia="宋体"/>
          <w:b w:val="0"/>
          <w:sz w:val="24"/>
        </w:rPr>
      </w:pPr>
      <w:r>
        <w:rPr>
          <w:rFonts w:hint="eastAsia" w:ascii="宋体" w:hAnsi="宋体" w:eastAsia="宋体"/>
          <w:b w:val="0"/>
          <w:sz w:val="24"/>
        </w:rPr>
        <w:t>本项目的实施遵循"数据驱动、精准分析、分类施策、闭环管控"的总体思路，按照"数据采集→数据分析→治理实施→效果评估→持续优化"的五步闭环流程推进，具体实施路径如下：</w:t>
      </w:r>
    </w:p>
    <w:p w14:paraId="55B4A5C1">
      <w:pPr>
        <w:spacing w:line="360" w:lineRule="auto"/>
        <w:ind w:firstLine="480"/>
        <w:rPr>
          <w:rFonts w:hint="eastAsia" w:ascii="宋体" w:hAnsi="宋体" w:eastAsia="宋体"/>
          <w:b w:val="0"/>
          <w:sz w:val="24"/>
        </w:rPr>
      </w:pPr>
      <w:r>
        <w:rPr>
          <w:rFonts w:hint="eastAsia" w:ascii="宋体" w:hAnsi="宋体" w:eastAsia="宋体"/>
          <w:b w:val="0"/>
          <w:sz w:val="24"/>
        </w:rPr>
        <w:t>项目实施路径的总体框架遵循PDCA循环管理理念：Plan（计划阶段）完成数据采集与整合，Do（执行阶段）开展深度分析与诊断，Check（检查阶段）进行治理实施与跟踪，Act（处理阶段）完成效果评估与优化。四个阶段循环推进，每个季度完成一个完整的PDCA循环，确保项目实施持续改进、不断优化。</w:t>
      </w:r>
    </w:p>
    <w:p w14:paraId="7D4E346C">
      <w:pPr>
        <w:spacing w:line="360" w:lineRule="auto"/>
        <w:ind w:firstLine="480"/>
        <w:rPr>
          <w:rFonts w:hint="eastAsia" w:ascii="宋体" w:hAnsi="宋体" w:eastAsia="宋体"/>
          <w:b w:val="0"/>
          <w:sz w:val="24"/>
        </w:rPr>
      </w:pPr>
      <w:r>
        <w:rPr>
          <w:rFonts w:hint="eastAsia" w:ascii="宋体" w:hAnsi="宋体" w:eastAsia="宋体"/>
          <w:b w:val="0"/>
          <w:sz w:val="24"/>
        </w:rPr>
        <w:t>在实施路径设计上，坚持以下原则：一是数据先行原则，所有分析和治理结论必须有充分的数据支撑，避免主观判断和经验主义；二是问题导向原则，以解决实际电压质量问题为出发点和落脚点，不做无意义的分析；三是分类施策原则，根据不同类型、不同严重程度的电压异常，制定差异化的分析和治理策略；四是闭环管理原则，每项分析和治理工作都要有始有终，形成闭环，确保问题真正解决。</w:t>
      </w:r>
    </w:p>
    <w:p w14:paraId="6C8727BB">
      <w:pPr>
        <w:pStyle w:val="4"/>
        <w:numPr>
          <w:ilvl w:val="3"/>
          <w:numId w:val="0"/>
        </w:numPr>
        <w:bidi w:val="0"/>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1.4.1 数据采集与整合阶段</w:t>
      </w:r>
    </w:p>
    <w:p w14:paraId="57CE9483">
      <w:pPr>
        <w:spacing w:line="360" w:lineRule="auto"/>
        <w:ind w:firstLine="480"/>
        <w:rPr>
          <w:rFonts w:hint="eastAsia" w:ascii="宋体" w:hAnsi="宋体" w:eastAsia="宋体"/>
          <w:b w:val="0"/>
          <w:sz w:val="24"/>
        </w:rPr>
      </w:pPr>
      <w:r>
        <w:rPr>
          <w:rFonts w:hint="eastAsia" w:ascii="宋体" w:hAnsi="宋体" w:eastAsia="宋体"/>
          <w:b w:val="0"/>
          <w:sz w:val="24"/>
        </w:rPr>
        <w:t>（1）数据源梳理与接入。全面梳理乌鲁木齐供电公司电压质量相关的数据源，包括PMS系统中的配电网设备台账数据、用电信息采集系统中的用户电压电流功率数据、SCADA系统中的配变运行数据、95598客服系统中的用户投诉和工单数据等。针对每个数据源，明确数据格式、采集频度、数据接口和获取方式，建立统一的数据接入规范。</w:t>
      </w:r>
    </w:p>
    <w:p w14:paraId="2F44BB2D">
      <w:pPr>
        <w:spacing w:line="360" w:lineRule="auto"/>
        <w:ind w:firstLine="480"/>
        <w:rPr>
          <w:rFonts w:hint="eastAsia" w:ascii="宋体" w:hAnsi="宋体" w:eastAsia="宋体"/>
          <w:b w:val="0"/>
          <w:sz w:val="24"/>
        </w:rPr>
      </w:pPr>
      <w:r>
        <w:rPr>
          <w:rFonts w:hint="eastAsia" w:ascii="宋体" w:hAnsi="宋体" w:eastAsia="宋体"/>
          <w:b w:val="0"/>
          <w:sz w:val="24"/>
        </w:rPr>
        <w:t>（2）数据质量评估与清洗。对接入的数据进行质量评估，识别数据缺失、数据异常、数据不一致等问题。建立数据清洗规则，包括缺失值补全、异常值识别与修正、重复数据去重、数据格式标准化等，确保分析所用的数据准确可靠。重点关注D类电压监测点数据的完整性和准确性，对数据质量不达标的监测点提出改进建议。</w:t>
      </w:r>
    </w:p>
    <w:p w14:paraId="7F4CC66C">
      <w:pPr>
        <w:spacing w:line="360" w:lineRule="auto"/>
        <w:ind w:firstLine="480"/>
        <w:rPr>
          <w:rFonts w:hint="eastAsia" w:ascii="宋体" w:hAnsi="宋体" w:eastAsia="宋体"/>
          <w:b w:val="0"/>
          <w:sz w:val="24"/>
        </w:rPr>
      </w:pPr>
      <w:r>
        <w:rPr>
          <w:rFonts w:hint="eastAsia" w:ascii="宋体" w:hAnsi="宋体" w:eastAsia="宋体"/>
          <w:b w:val="0"/>
          <w:sz w:val="24"/>
        </w:rPr>
        <w:t>（3）数据仓库构建。基于清洗后的数据，构建电压质量专题数据仓库，建立台区-用户-设备的多维关联关系，支持快速的数据查询和多维分析。数据仓库按照台区维度、时间维度、指标维度进行组织，为后续的深度分析提供数据基础。</w:t>
      </w:r>
    </w:p>
    <w:p w14:paraId="1760ECD0">
      <w:pPr>
        <w:spacing w:line="360" w:lineRule="auto"/>
        <w:ind w:firstLine="480"/>
        <w:rPr>
          <w:rFonts w:hint="eastAsia" w:ascii="宋体" w:hAnsi="宋体" w:eastAsia="宋体"/>
          <w:b w:val="0"/>
          <w:sz w:val="24"/>
        </w:rPr>
      </w:pPr>
      <w:r>
        <w:rPr>
          <w:rFonts w:hint="eastAsia" w:ascii="宋体" w:hAnsi="宋体" w:eastAsia="宋体"/>
          <w:b w:val="0"/>
          <w:sz w:val="24"/>
        </w:rPr>
        <w:t>（4）数据关联关系构建。建立PMS设备台账数据、用电信息采集数据、SCADA运行数据之间的关联关系，形成以配变为核心的"配变-线路-用户"数据关联图谱。通过配变编号、用户编号、线路编号等关键字段，实现多系统数据的交叉关联和融合分析，为深度诊断提供完整的数据视图。</w:t>
      </w:r>
    </w:p>
    <w:p w14:paraId="3AC6516D">
      <w:pPr>
        <w:spacing w:line="360" w:lineRule="auto"/>
        <w:ind w:firstLine="480"/>
        <w:rPr>
          <w:rFonts w:hint="eastAsia" w:ascii="宋体" w:hAnsi="宋体" w:eastAsia="宋体"/>
          <w:b w:val="0"/>
          <w:sz w:val="24"/>
        </w:rPr>
      </w:pPr>
      <w:r>
        <w:rPr>
          <w:rFonts w:hint="eastAsia" w:ascii="宋体" w:hAnsi="宋体" w:eastAsia="宋体"/>
          <w:b w:val="0"/>
          <w:sz w:val="24"/>
        </w:rPr>
        <w:t>（5）数据质量监控与反馈。建立持续的数据质量监控机制，对数据采集完整率、数据准确率、数据及时率等指标进行实时监控。对数据质量异常情况及时反馈给数据源管理部门，推动数据质量的持续改善。每月编制数据质量报告，作为电压质量分析报告的重要支撑材料。</w:t>
      </w:r>
    </w:p>
    <w:p w14:paraId="68C75B5F">
      <w:pPr>
        <w:pStyle w:val="4"/>
        <w:numPr>
          <w:ilvl w:val="3"/>
          <w:numId w:val="0"/>
        </w:numPr>
        <w:bidi w:val="0"/>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1.4.2 深度分析与诊断阶段</w:t>
      </w:r>
    </w:p>
    <w:p w14:paraId="587F4A1D">
      <w:pPr>
        <w:spacing w:line="360" w:lineRule="auto"/>
        <w:ind w:firstLine="480"/>
        <w:rPr>
          <w:rFonts w:hint="eastAsia" w:ascii="宋体" w:hAnsi="宋体" w:eastAsia="宋体"/>
          <w:b w:val="0"/>
          <w:sz w:val="24"/>
        </w:rPr>
      </w:pPr>
      <w:r>
        <w:rPr>
          <w:rFonts w:hint="eastAsia" w:ascii="宋体" w:hAnsi="宋体" w:eastAsia="宋体"/>
          <w:b w:val="0"/>
          <w:sz w:val="24"/>
        </w:rPr>
        <w:t>（1）电压偏差分析。对全口径低压用户电压数据进行统计分析，计算各台区电压偏差率、电压合格率等核心指标，识别电压越限台区。按照越限类型（低电压、高电压）、越限程度（轻微、一般、严重）进行分类统计，形成电压偏差分析报告。</w:t>
      </w:r>
    </w:p>
    <w:p w14:paraId="50BEE943">
      <w:pPr>
        <w:spacing w:line="360" w:lineRule="auto"/>
        <w:ind w:firstLine="480"/>
        <w:rPr>
          <w:rFonts w:hint="eastAsia" w:ascii="宋体" w:hAnsi="宋体" w:eastAsia="宋体"/>
          <w:b w:val="0"/>
          <w:sz w:val="24"/>
        </w:rPr>
      </w:pPr>
      <w:r>
        <w:rPr>
          <w:rFonts w:hint="eastAsia" w:ascii="宋体" w:hAnsi="宋体" w:eastAsia="宋体"/>
          <w:b w:val="0"/>
          <w:sz w:val="24"/>
        </w:rPr>
        <w:t>（2）电压波动与闪变分析。对电压波动幅度和频次进行统计分析，识别电压波动严重的台区，分析波动原因（如大功率设备启停、电弧炉等冲击性负荷），为治理提供依据。</w:t>
      </w:r>
    </w:p>
    <w:p w14:paraId="766238F3">
      <w:pPr>
        <w:spacing w:line="360" w:lineRule="auto"/>
        <w:ind w:firstLine="480"/>
        <w:rPr>
          <w:rFonts w:hint="eastAsia" w:ascii="宋体" w:hAnsi="宋体" w:eastAsia="宋体"/>
          <w:b w:val="0"/>
          <w:sz w:val="24"/>
        </w:rPr>
      </w:pPr>
      <w:r>
        <w:rPr>
          <w:rFonts w:hint="eastAsia" w:ascii="宋体" w:hAnsi="宋体" w:eastAsia="宋体"/>
          <w:b w:val="0"/>
          <w:sz w:val="24"/>
        </w:rPr>
        <w:t>（3）三相不平衡分析。计算各台区三相电流不平衡度和三相电压不平衡度，识别三相不平衡严重的台区，分析不平衡原因（如单相负荷分配不均、单相用户接入不合理等），提出相序调整和负荷均衡化建议。</w:t>
      </w:r>
    </w:p>
    <w:p w14:paraId="22545ADB">
      <w:pPr>
        <w:spacing w:line="360" w:lineRule="auto"/>
        <w:ind w:firstLine="480"/>
        <w:rPr>
          <w:rFonts w:hint="eastAsia" w:ascii="宋体" w:hAnsi="宋体" w:eastAsia="宋体"/>
          <w:b w:val="0"/>
          <w:sz w:val="24"/>
        </w:rPr>
      </w:pPr>
      <w:r>
        <w:rPr>
          <w:rFonts w:hint="eastAsia" w:ascii="宋体" w:hAnsi="宋体" w:eastAsia="宋体"/>
          <w:b w:val="0"/>
          <w:sz w:val="24"/>
        </w:rPr>
        <w:t>（4）无功不足分析。结合配变无功补偿配置和运行数据，分析台区无功功率供需情况，识别无功不足导致电压偏低的台区，提出无功补偿装置增容或优化配置建议。</w:t>
      </w:r>
    </w:p>
    <w:p w14:paraId="74B79610">
      <w:pPr>
        <w:spacing w:line="360" w:lineRule="auto"/>
        <w:ind w:firstLine="480"/>
        <w:rPr>
          <w:rFonts w:hint="eastAsia" w:ascii="宋体" w:hAnsi="宋体" w:eastAsia="宋体"/>
          <w:b w:val="0"/>
          <w:sz w:val="24"/>
        </w:rPr>
      </w:pPr>
      <w:r>
        <w:rPr>
          <w:rFonts w:hint="eastAsia" w:ascii="宋体" w:hAnsi="宋体" w:eastAsia="宋体"/>
          <w:b w:val="0"/>
          <w:sz w:val="24"/>
        </w:rPr>
        <w:t>（5）配变档位状态分析。结合配变档位台账信息和电压监测数据，分析配变当前档位是否合理，识别档位异常（实际档位与台账不符、档位与电压不匹配等），提出档位调整建议。</w:t>
      </w:r>
    </w:p>
    <w:p w14:paraId="6DA97436">
      <w:pPr>
        <w:spacing w:line="360" w:lineRule="auto"/>
        <w:ind w:firstLine="480"/>
        <w:rPr>
          <w:rFonts w:hint="eastAsia" w:ascii="宋体" w:hAnsi="宋体" w:eastAsia="宋体"/>
          <w:b w:val="0"/>
          <w:sz w:val="24"/>
        </w:rPr>
      </w:pPr>
      <w:r>
        <w:rPr>
          <w:rFonts w:hint="eastAsia" w:ascii="宋体" w:hAnsi="宋体" w:eastAsia="宋体"/>
          <w:b w:val="0"/>
          <w:sz w:val="24"/>
        </w:rPr>
        <w:t>（6）疑难台区深度诊断。对常规分析无法明确原因的疑难台区，开展深度诊断分析。综合运用灵敏度分析、潮流计算、负荷预测等方法，从供电半径、线路参数、负荷特性、无功配置、网络拓扑等多个维度进行综合分析，形成"一台一案"专项诊断报告。</w:t>
      </w:r>
    </w:p>
    <w:p w14:paraId="2D63CC91">
      <w:pPr>
        <w:spacing w:line="360" w:lineRule="auto"/>
        <w:ind w:firstLine="480"/>
        <w:rPr>
          <w:rFonts w:hint="eastAsia" w:ascii="宋体" w:hAnsi="宋体" w:eastAsia="宋体"/>
          <w:b w:val="0"/>
          <w:sz w:val="24"/>
        </w:rPr>
      </w:pPr>
      <w:r>
        <w:rPr>
          <w:rFonts w:hint="eastAsia" w:ascii="宋体" w:hAnsi="宋体" w:eastAsia="宋体"/>
          <w:b w:val="0"/>
          <w:sz w:val="24"/>
        </w:rPr>
        <w:t>（7）95598工单关联诊断。将95598客服系统中用户反映的电压质量问题与监测数据进行关联分析，验证用户投诉与实际电压异常的对应关系，识别用户感知与数据监测之间的差异，为改善用户体验提供依据。对投诉集中的区域和台区进行重点分析，从用户视角审视电压质量问题，确保治理措施能够切实改善用户体验。</w:t>
      </w:r>
    </w:p>
    <w:p w14:paraId="379B967A">
      <w:pPr>
        <w:spacing w:line="360" w:lineRule="auto"/>
        <w:ind w:firstLine="480"/>
        <w:rPr>
          <w:rFonts w:hint="eastAsia" w:ascii="宋体" w:hAnsi="宋体" w:eastAsia="宋体"/>
          <w:b w:val="0"/>
          <w:sz w:val="24"/>
        </w:rPr>
      </w:pPr>
      <w:r>
        <w:rPr>
          <w:rFonts w:hint="eastAsia" w:ascii="宋体" w:hAnsi="宋体" w:eastAsia="宋体"/>
          <w:b w:val="0"/>
          <w:sz w:val="24"/>
        </w:rPr>
        <w:t>（8）迎峰度夏/迎峰度冬预测分析。针对夏季和冬季负荷高峰期的特点，提前开展电压质量预测分析。基于历史负荷数据和电压数据，结合新增用户和负荷增长趋势，预测可能出现的电压越限台区，提前制定保障措施，确保负荷高峰期供电电压质量稳定。</w:t>
      </w:r>
    </w:p>
    <w:p w14:paraId="3669AFE3">
      <w:pPr>
        <w:pStyle w:val="4"/>
        <w:numPr>
          <w:ilvl w:val="3"/>
          <w:numId w:val="0"/>
        </w:numPr>
        <w:bidi w:val="0"/>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1.4.3 治理实施与跟踪阶段</w:t>
      </w:r>
    </w:p>
    <w:p w14:paraId="1D19E51A">
      <w:pPr>
        <w:spacing w:line="360" w:lineRule="auto"/>
        <w:ind w:firstLine="480"/>
        <w:rPr>
          <w:rFonts w:hint="eastAsia" w:ascii="宋体" w:hAnsi="宋体" w:eastAsia="宋体"/>
          <w:b w:val="0"/>
          <w:sz w:val="24"/>
        </w:rPr>
      </w:pPr>
      <w:r>
        <w:rPr>
          <w:rFonts w:hint="eastAsia" w:ascii="宋体" w:hAnsi="宋体" w:eastAsia="宋体"/>
          <w:b w:val="0"/>
          <w:sz w:val="24"/>
        </w:rPr>
        <w:t>（1）分类分级治理。根据电压异常分析结果，对越限台区进行分类分级，制定差异化的治理策略。对于配变档位不合理导致的电压越限，制定调档方案；对于无功不足导致的电压偏低，提出无功补偿方案；对于供电半径过长导致的末端低电压，提出线路改造或新增配变方案；对于三相不平衡导致的电压异常，提出相序调整方案。</w:t>
      </w:r>
    </w:p>
    <w:p w14:paraId="385480BE">
      <w:pPr>
        <w:spacing w:line="360" w:lineRule="auto"/>
        <w:ind w:firstLine="480"/>
        <w:rPr>
          <w:rFonts w:hint="eastAsia" w:ascii="宋体" w:hAnsi="宋体" w:eastAsia="宋体"/>
          <w:b w:val="0"/>
          <w:sz w:val="24"/>
        </w:rPr>
      </w:pPr>
      <w:r>
        <w:rPr>
          <w:rFonts w:hint="eastAsia" w:ascii="宋体" w:hAnsi="宋体" w:eastAsia="宋体"/>
          <w:b w:val="0"/>
          <w:sz w:val="24"/>
        </w:rPr>
        <w:t>分类分级治理的具体标准：根据电压越限严重程度分为三级——一级（严重越限）：电压偏差超过±10%，影响用户数超过50户，需在一周内制定治理方案并优先实施；二级（一般越限）：电压偏差在±7%至±10%之间，影响用户数在20-50户，需在两周内制定治理方案并安排实施；三级（轻微越限）：电压偏差在±5%至±7%之间，影响用户数少于20户，可在月度工作计划中安排治理。根据越限类型分为低电压越限、高电压越限和双向越限，分别制定针对性的治理策略。</w:t>
      </w:r>
    </w:p>
    <w:p w14:paraId="5866E544">
      <w:pPr>
        <w:spacing w:line="360" w:lineRule="auto"/>
        <w:ind w:firstLine="480"/>
        <w:rPr>
          <w:rFonts w:hint="eastAsia" w:ascii="宋体" w:hAnsi="宋体" w:eastAsia="宋体"/>
          <w:b w:val="0"/>
          <w:sz w:val="24"/>
        </w:rPr>
      </w:pPr>
      <w:r>
        <w:rPr>
          <w:rFonts w:hint="eastAsia" w:ascii="宋体" w:hAnsi="宋体" w:eastAsia="宋体"/>
          <w:b w:val="0"/>
          <w:sz w:val="24"/>
        </w:rPr>
        <w:t>（2）治理措施跟踪。建立治理措施执行跟踪台账，对每项治理措施的执行情况、执行效果进行持续跟踪。重点关注配变调档后的电压变化情况，评估调档措施的有效性。对于治理效果不理想的台区，及时进行原因分析和方案调整。</w:t>
      </w:r>
    </w:p>
    <w:p w14:paraId="52DBB25F">
      <w:pPr>
        <w:spacing w:line="360" w:lineRule="auto"/>
        <w:ind w:firstLine="480"/>
        <w:rPr>
          <w:rFonts w:hint="eastAsia" w:ascii="宋体" w:hAnsi="宋体" w:eastAsia="宋体"/>
          <w:b w:val="0"/>
          <w:sz w:val="24"/>
        </w:rPr>
      </w:pPr>
      <w:r>
        <w:rPr>
          <w:rFonts w:hint="eastAsia" w:ascii="宋体" w:hAnsi="宋体" w:eastAsia="宋体"/>
          <w:b w:val="0"/>
          <w:sz w:val="24"/>
        </w:rPr>
        <w:t>治理措施跟踪的关键指标：一是治理执行率，已制定治理方案中实际执行的比率，目标值不低于90%；二是治理有效率，已执行治理措施中电压恢复合格的比率，目标值不低于85%；三是治理回弹率，已治理合格的台区中电压再次越限的比率，目标值控制在10%以内；四是平均治理周期，从问题识别到治理完成的平均时间，目标值不超过30天。每月对以上指标进行统计和分析，对指标不达标的情况进行原因分析和改进。</w:t>
      </w:r>
    </w:p>
    <w:p w14:paraId="196FC5C1">
      <w:pPr>
        <w:spacing w:line="360" w:lineRule="auto"/>
        <w:ind w:firstLine="480"/>
        <w:rPr>
          <w:rFonts w:hint="eastAsia" w:ascii="宋体" w:hAnsi="宋体" w:eastAsia="宋体"/>
          <w:b w:val="0"/>
          <w:sz w:val="24"/>
        </w:rPr>
      </w:pPr>
      <w:r>
        <w:rPr>
          <w:rFonts w:hint="eastAsia" w:ascii="宋体" w:hAnsi="宋体" w:eastAsia="宋体"/>
          <w:b w:val="0"/>
          <w:sz w:val="24"/>
        </w:rPr>
        <w:t>（3）95598工单关联分析。将电压质量分析与95598客服工单进行关联，对用户投诉的电压问题进行重点分析和治理，形成"投诉-分析-治理-回访"的闭环处理流程，有效降低因电压质量问题引发的客户投诉。</w:t>
      </w:r>
    </w:p>
    <w:p w14:paraId="17D34703">
      <w:pPr>
        <w:spacing w:line="360" w:lineRule="auto"/>
        <w:ind w:firstLine="480"/>
        <w:rPr>
          <w:rFonts w:hint="eastAsia" w:ascii="宋体" w:hAnsi="宋体" w:eastAsia="宋体"/>
          <w:b w:val="0"/>
          <w:sz w:val="24"/>
        </w:rPr>
      </w:pPr>
      <w:r>
        <w:rPr>
          <w:rFonts w:hint="eastAsia" w:ascii="宋体" w:hAnsi="宋体" w:eastAsia="宋体"/>
          <w:b w:val="0"/>
          <w:sz w:val="24"/>
        </w:rPr>
        <w:t>（4）配网调压需求综合评估。在单项治理措施实施的基础上，从配电网整体角度开展调压需求综合评估。评估内容包括：现有配变调压能力整体评估，识别调压能力不足的区域；无功补偿配置合理性评估，识别无功补偿不足或过补偿的区域；线路供电能力评估，识别线损过大、末端电压偏低的区域；综合调压需求排序，根据问题严重程度和影响范围，对调压需求进行优先级排序，为配网改造投资提供依据。</w:t>
      </w:r>
    </w:p>
    <w:p w14:paraId="2C899D71">
      <w:pPr>
        <w:pStyle w:val="4"/>
        <w:numPr>
          <w:ilvl w:val="3"/>
          <w:numId w:val="0"/>
        </w:numPr>
        <w:bidi w:val="0"/>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1.4.4 效果评估与优化阶段</w:t>
      </w:r>
    </w:p>
    <w:p w14:paraId="21631FF7">
      <w:pPr>
        <w:spacing w:line="360" w:lineRule="auto"/>
        <w:ind w:firstLine="480"/>
        <w:rPr>
          <w:rFonts w:hint="eastAsia" w:ascii="宋体" w:hAnsi="宋体" w:eastAsia="宋体"/>
          <w:b w:val="0"/>
          <w:sz w:val="24"/>
        </w:rPr>
      </w:pPr>
      <w:r>
        <w:rPr>
          <w:rFonts w:hint="eastAsia" w:ascii="宋体" w:hAnsi="宋体" w:eastAsia="宋体"/>
          <w:b w:val="0"/>
          <w:sz w:val="24"/>
        </w:rPr>
        <w:t>（1）治理效果量化评估。建立电压质量治理效果评估指标体系，从电压合格率改善、越限台区减少、用户投诉降低等维度，对治理效果进行量化评估。每季度开展治理效果综合评估，编制治理效果评估报告。</w:t>
      </w:r>
    </w:p>
    <w:p w14:paraId="614C7C81">
      <w:pPr>
        <w:spacing w:line="360" w:lineRule="auto"/>
        <w:ind w:firstLine="480"/>
        <w:rPr>
          <w:rFonts w:hint="eastAsia" w:ascii="宋体" w:hAnsi="宋体" w:eastAsia="宋体"/>
          <w:b w:val="0"/>
          <w:sz w:val="24"/>
        </w:rPr>
      </w:pPr>
      <w:r>
        <w:rPr>
          <w:rFonts w:hint="eastAsia" w:ascii="宋体" w:hAnsi="宋体" w:eastAsia="宋体"/>
          <w:b w:val="0"/>
          <w:sz w:val="24"/>
        </w:rPr>
        <w:t>治理效果评估的具体方法：一是纵向对比法，将治理前后的电压数据进行对比，计算电压合格率改善幅度；二是横向对比法，将已治理台区与未治理台区（对照组）进行对比，验证治理措施的净效果；三是趋势分析法，分析治理后台区电压变化趋势，判断治理效果是否稳定；四是成本效益分析法，计算单位投资带来的电压合格率改善，评估治理投资的经济性。综合运用以上方法，形成全面的治理效果评估结论。</w:t>
      </w:r>
    </w:p>
    <w:p w14:paraId="7BB90656">
      <w:pPr>
        <w:spacing w:line="360" w:lineRule="auto"/>
        <w:ind w:firstLine="480"/>
        <w:rPr>
          <w:rFonts w:hint="eastAsia" w:ascii="宋体" w:hAnsi="宋体" w:eastAsia="宋体"/>
          <w:b w:val="0"/>
          <w:sz w:val="24"/>
        </w:rPr>
      </w:pPr>
      <w:r>
        <w:rPr>
          <w:rFonts w:hint="eastAsia" w:ascii="宋体" w:hAnsi="宋体" w:eastAsia="宋体"/>
          <w:b w:val="0"/>
          <w:sz w:val="24"/>
        </w:rPr>
        <w:t>（2）持续优化提升。根据效果评估结果，对治理方案进行持续优化。对治理效果不理想的台区，深入分析原因，调整治理策略；对治理效果良好的台区，总结经验做法，形成可推广的治理模式。</w:t>
      </w:r>
    </w:p>
    <w:p w14:paraId="537EE21C">
      <w:pPr>
        <w:spacing w:line="360" w:lineRule="auto"/>
        <w:ind w:firstLine="480"/>
        <w:rPr>
          <w:rFonts w:hint="eastAsia" w:ascii="宋体" w:hAnsi="宋体" w:eastAsia="宋体"/>
          <w:b w:val="0"/>
          <w:sz w:val="24"/>
        </w:rPr>
      </w:pPr>
      <w:r>
        <w:rPr>
          <w:rFonts w:hint="eastAsia" w:ascii="宋体" w:hAnsi="宋体" w:eastAsia="宋体"/>
          <w:b w:val="0"/>
          <w:sz w:val="24"/>
        </w:rPr>
        <w:t>持续优化的重点方向：一是优化分析模型，根据实际分析效果不断优化电压异常诊断模型的参数和算法，提高诊断准确率；二是优化治理流程，简化不必要的审批环节，缩短从分析到治理的时间周期；三是优化资源配置，根据治理效果评估结果，将有限的治理资源向效果好的措施倾斜；四是优化跟踪策略，对回弹风险高的台区提高跟踪频次，对治理效果稳定的台区降低跟踪频次，提高跟踪效率。</w:t>
      </w:r>
    </w:p>
    <w:p w14:paraId="00592BEA">
      <w:pPr>
        <w:spacing w:line="360" w:lineRule="auto"/>
        <w:ind w:firstLine="480"/>
        <w:rPr>
          <w:rFonts w:hint="eastAsia" w:ascii="宋体" w:hAnsi="宋体" w:eastAsia="宋体"/>
          <w:b w:val="0"/>
          <w:sz w:val="24"/>
        </w:rPr>
      </w:pPr>
      <w:r>
        <w:rPr>
          <w:rFonts w:hint="eastAsia" w:ascii="宋体" w:hAnsi="宋体" w:eastAsia="宋体"/>
          <w:b w:val="0"/>
          <w:sz w:val="24"/>
        </w:rPr>
        <w:t>（3）报告编制与交付。按照技术规范书要求，定期编制并交付各类诊断分析报告，包括半年度诊断分析报告、年度诊断分析报告、迎峰度冬期间电压质量诊断分析报告等。确保报告内容准确、数据可靠、结论明确、建议可行。</w:t>
      </w:r>
    </w:p>
    <w:p w14:paraId="1B647DDB">
      <w:pPr>
        <w:spacing w:line="360" w:lineRule="auto"/>
        <w:ind w:firstLine="480"/>
        <w:rPr>
          <w:rFonts w:hint="eastAsia" w:ascii="宋体" w:hAnsi="宋体" w:eastAsia="宋体"/>
          <w:b w:val="0"/>
          <w:sz w:val="24"/>
          <w:lang w:eastAsia="zh-CN"/>
        </w:rPr>
      </w:pPr>
      <w:r>
        <w:rPr>
          <w:rFonts w:hint="eastAsia" w:ascii="宋体" w:hAnsi="宋体" w:eastAsia="宋体"/>
          <w:b w:val="0"/>
          <w:sz w:val="24"/>
        </w:rPr>
        <w:t>（4）知识沉淀与经验总结。在项目实施过程中，系统梳理和沉淀电压质量分析诊断的方法论、典型案例和治理经验，形成可复用的知识资产。每季度组织经验分享会，促进团队成员之间的知识交流和技能提升。项目结束时编制项目知识总结报告，为后续类似项目提供参考</w:t>
      </w:r>
      <w:r>
        <w:rPr>
          <w:rFonts w:hint="eastAsia" w:ascii="宋体" w:hAnsi="宋体" w:eastAsia="宋体"/>
          <w:b w:val="0"/>
          <w:sz w:val="24"/>
          <w:lang w:eastAsia="zh-CN"/>
        </w:rPr>
        <w:t>。</w:t>
      </w:r>
    </w:p>
    <w:p w14:paraId="6E15C47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2A4A5F2F">
      <w:pPr>
        <w:spacing w:line="360" w:lineRule="auto"/>
        <w:ind w:firstLine="480"/>
        <w:rPr>
          <w:rFonts w:hint="eastAsia" w:ascii="宋体" w:hAnsi="宋体" w:eastAsia="宋体"/>
          <w:b w:val="0"/>
          <w:sz w:val="24"/>
        </w:rPr>
      </w:pPr>
      <w:r>
        <w:rPr>
          <w:rFonts w:hint="eastAsia" w:ascii="宋体" w:hAnsi="宋体" w:eastAsia="宋体"/>
          <w:b w:val="0"/>
          <w:sz w:val="24"/>
        </w:rPr>
        <w:t>基于我方在电压质量数据分析治理领域的丰富经验和对乌鲁木齐供电公司实际情况的深入了解，提出以下对工程有帮助的可行性建议：</w:t>
      </w:r>
    </w:p>
    <w:p w14:paraId="75E2F1BF">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1.5.1 建立电压质量全景监测看板</w:t>
      </w:r>
    </w:p>
    <w:p w14:paraId="2E82DB69">
      <w:pPr>
        <w:spacing w:line="360" w:lineRule="auto"/>
        <w:ind w:firstLine="480"/>
        <w:rPr>
          <w:rFonts w:hint="eastAsia" w:ascii="宋体" w:hAnsi="宋体" w:eastAsia="宋体"/>
          <w:b w:val="0"/>
          <w:sz w:val="24"/>
        </w:rPr>
      </w:pPr>
      <w:r>
        <w:rPr>
          <w:rFonts w:hint="eastAsia" w:ascii="宋体" w:hAnsi="宋体" w:eastAsia="宋体"/>
          <w:b w:val="0"/>
          <w:sz w:val="24"/>
        </w:rPr>
        <w:t>建议在现有电压监测数据基础上，开发电压质量全景监测看板，实现对全口径低压用户电压质量的实时可视化展示。看板应包括以下功能模块：一是电压质量总体概况，展示全区电压合格率、越限台区数量及分布；二是异常预警，对电压越限台区进行实时预警和分级告警；三是治理进展跟踪，展示各台区治理措施执行情况和效果评估结果；四是趋势分析，展示电压质量变化趋势和预测结果。通过全景监测看板，管理人员可以直观、全面地掌握电压质量状况，及时发现和处理问题。</w:t>
      </w:r>
    </w:p>
    <w:p w14:paraId="43C95385">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1.5.2 开发配变档位智能优化算法</w:t>
      </w:r>
    </w:p>
    <w:p w14:paraId="3E2DC312">
      <w:pPr>
        <w:spacing w:line="360" w:lineRule="auto"/>
        <w:ind w:firstLine="480"/>
        <w:rPr>
          <w:rFonts w:hint="eastAsia" w:ascii="宋体" w:hAnsi="宋体" w:eastAsia="宋体"/>
          <w:b w:val="0"/>
          <w:sz w:val="24"/>
        </w:rPr>
      </w:pPr>
      <w:r>
        <w:rPr>
          <w:rFonts w:hint="eastAsia" w:ascii="宋体" w:hAnsi="宋体" w:eastAsia="宋体"/>
          <w:b w:val="0"/>
          <w:sz w:val="24"/>
        </w:rPr>
        <w:t>建议开发配变档位智能优化算法，根据台区历史电压数据和负荷预测结果，自动计算最优档位配置方案。算法应考虑以下因素：一是台区当前电压水平和越限情况；二是台区负荷特性和变化趋势；三是配变额定电压和档位调节范围；四是调档后对首末端电压的影响。通过智能优化算法，可以提高调档方案的科学性和精准性，减少调档试错成本，缩短治理周期。</w:t>
      </w:r>
    </w:p>
    <w:p w14:paraId="3DD3EC1B">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1.5.3 构建电压异常根因知识库</w:t>
      </w:r>
    </w:p>
    <w:p w14:paraId="52892806">
      <w:pPr>
        <w:spacing w:line="360" w:lineRule="auto"/>
        <w:ind w:firstLine="480"/>
        <w:rPr>
          <w:rFonts w:hint="eastAsia" w:ascii="宋体" w:hAnsi="宋体" w:eastAsia="宋体"/>
          <w:b w:val="0"/>
          <w:sz w:val="24"/>
        </w:rPr>
      </w:pPr>
      <w:r>
        <w:rPr>
          <w:rFonts w:hint="eastAsia" w:ascii="宋体" w:hAnsi="宋体" w:eastAsia="宋体"/>
          <w:b w:val="0"/>
          <w:sz w:val="24"/>
        </w:rPr>
        <w:t>建议在项目实施过程中，系统梳理和总结各类电压异常的典型成因和治理经验，构建电压异常根因知识库。知识库应包括：一是电压异常分类体系，按照越限类型、成因、严重程度等维度进行分类；二是典型故障模式库，记录各类电压异常的典型表现、成因和治理措施；三是治理案例库，记录成功治理案例的经验做法和效果评估。知识库的建立可以为后续分析提供参考和借鉴，提高分析诊断的效率和准确性。</w:t>
      </w:r>
    </w:p>
    <w:p w14:paraId="4C8EDD52">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1.5.4 建立电压质量分级预警机制</w:t>
      </w:r>
    </w:p>
    <w:p w14:paraId="5333978A">
      <w:pPr>
        <w:spacing w:line="360" w:lineRule="auto"/>
        <w:ind w:firstLine="480"/>
        <w:rPr>
          <w:rFonts w:hint="eastAsia" w:ascii="宋体" w:hAnsi="宋体" w:eastAsia="宋体"/>
          <w:b w:val="0"/>
          <w:sz w:val="24"/>
        </w:rPr>
      </w:pPr>
      <w:r>
        <w:rPr>
          <w:rFonts w:hint="eastAsia" w:ascii="宋体" w:hAnsi="宋体" w:eastAsia="宋体"/>
          <w:b w:val="0"/>
          <w:sz w:val="24"/>
        </w:rPr>
        <w:t>建议建立电压质量分级预警机制，根据电压越限程度和影响范围，设置不同级别的预警信号。一级预警（红色）针对大面积、严重的电压异常事件，需要立即启动应急响应；二级预警（橙色）针对局部区域、较严重的电压异常，需要优先处理；三级预警（黄色）针对个别台区、轻微的电压异常，可按常规流程处理。通过分级预警机制，实现电压质量问题的优先级排序和差异化处置，提高应急响应效率。</w:t>
      </w:r>
    </w:p>
    <w:p w14:paraId="2981A9F2">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1.5.5 加强D类电压监测点覆盖率</w:t>
      </w:r>
    </w:p>
    <w:p w14:paraId="403731E0">
      <w:pPr>
        <w:spacing w:line="360" w:lineRule="auto"/>
        <w:ind w:firstLine="480"/>
        <w:rPr>
          <w:rFonts w:hint="eastAsia" w:ascii="宋体" w:hAnsi="宋体" w:eastAsia="宋体"/>
          <w:b w:val="0"/>
          <w:sz w:val="24"/>
        </w:rPr>
      </w:pPr>
      <w:r>
        <w:rPr>
          <w:rFonts w:hint="eastAsia" w:ascii="宋体" w:hAnsi="宋体" w:eastAsia="宋体"/>
          <w:b w:val="0"/>
          <w:sz w:val="24"/>
        </w:rPr>
        <w:t>建议在项目实施过程中，结合数据分析结果，对D类电压监测点覆盖率不足的区域提出增设建议。特别是对于频繁出现电压异常但缺乏监测数据的台区，应优先增设监测点。同时，建议对现有D类监测点的数据质量进行评估，对数据缺失严重或数据异常的监测点进行排查和修复。充足的监测点覆盖率是准确分析电压质量状况的前提，建议逐步提高D类监测点覆盖率至80%以上。</w:t>
      </w:r>
    </w:p>
    <w:p w14:paraId="6F8F815D">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1.5.6 推进电压质量治理标准化建设</w:t>
      </w:r>
    </w:p>
    <w:p w14:paraId="17A61D5D">
      <w:pPr>
        <w:spacing w:line="360" w:lineRule="auto"/>
        <w:ind w:firstLine="480"/>
        <w:rPr>
          <w:rFonts w:hint="eastAsia" w:ascii="宋体" w:hAnsi="宋体" w:eastAsia="宋体"/>
          <w:b w:val="0"/>
          <w:sz w:val="24"/>
        </w:rPr>
      </w:pPr>
      <w:r>
        <w:rPr>
          <w:rFonts w:hint="eastAsia" w:ascii="宋体" w:hAnsi="宋体" w:eastAsia="宋体"/>
          <w:b w:val="0"/>
          <w:sz w:val="24"/>
        </w:rPr>
        <w:t>建议在项目实施过程中，总结和提炼电压质量治理的标准化流程和规范，形成可复制、可推广的标准化治理模式。具体包括：一是标准化分析流程，明确各类电压异常的分析步骤和方法；二是标准化治理措施，明确各类电压异常的推荐治理措施和执行标准；三是标准化评估指标，明确治理效果的评估维度和量化标准。标准化建设可以有效提升治理效率，降低治理成本，形成长效管控机制。</w:t>
      </w:r>
    </w:p>
    <w:p w14:paraId="5BAA4FD9">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1.5.7 建立电压质量治理效果后评价体系</w:t>
      </w:r>
    </w:p>
    <w:p w14:paraId="3C871EA0">
      <w:pPr>
        <w:spacing w:line="360" w:lineRule="auto"/>
        <w:ind w:firstLine="480"/>
        <w:rPr>
          <w:rFonts w:hint="eastAsia" w:ascii="宋体" w:hAnsi="宋体" w:eastAsia="宋体"/>
          <w:b w:val="0"/>
          <w:sz w:val="24"/>
        </w:rPr>
      </w:pPr>
      <w:r>
        <w:rPr>
          <w:rFonts w:hint="eastAsia" w:ascii="宋体" w:hAnsi="宋体" w:eastAsia="宋体"/>
          <w:b w:val="0"/>
          <w:sz w:val="24"/>
        </w:rPr>
        <w:t>建议建立电压质量治理效果后评价体系，对已实施的治理措施进行系统性的后评价。后评价内容包括：治理措施的技术效果评估，包括电压合格率改善程度、越限消除率等；治理措施的经济效益评估，包括减少用户投诉带来的服务成本节约、延长设备寿命带来的维护成本节约等；治理措施的可持续性评估，评估治理效果是否能够长期保持。通过后评价，不断优化治理策略和方法，提高治理投资的有效性和精准性。</w:t>
      </w:r>
    </w:p>
    <w:p w14:paraId="6916FFC5">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1.5.8 开展电压质量与供电可靠性关联分析</w:t>
      </w:r>
    </w:p>
    <w:p w14:paraId="2E6B13E6">
      <w:pPr>
        <w:spacing w:line="360" w:lineRule="auto"/>
        <w:ind w:firstLine="480"/>
        <w:rPr>
          <w:rFonts w:hint="eastAsia" w:ascii="宋体" w:hAnsi="宋体" w:eastAsia="宋体"/>
          <w:b w:val="0"/>
          <w:sz w:val="24"/>
        </w:rPr>
      </w:pPr>
      <w:r>
        <w:rPr>
          <w:rFonts w:hint="eastAsia" w:ascii="宋体" w:hAnsi="宋体" w:eastAsia="宋体"/>
          <w:b w:val="0"/>
          <w:sz w:val="24"/>
        </w:rPr>
        <w:t>建议在项目实施过程中，开展电压质量与供电可靠性的关联分析。电压异常往往与配电网设备缺陷、线路老化等因素相关，这些因素同时也是影响供电可靠性的重要原因。通过关联分析，可以发现电压质量与供电可靠性之间的内在联系，识别同时影响电压质量和供电可靠性的共性问题，制定综合性的治理措施，实现电压质量和供电可靠性的协同提升。</w:t>
      </w:r>
    </w:p>
    <w:p w14:paraId="5A571713">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1.5.9 建立多专业协同治理机制</w:t>
      </w:r>
    </w:p>
    <w:p w14:paraId="0540DFB1">
      <w:pPr>
        <w:spacing w:line="360" w:lineRule="auto"/>
        <w:ind w:firstLine="480"/>
        <w:rPr>
          <w:rFonts w:ascii="宋体" w:hAnsi="宋体" w:eastAsia="宋体"/>
          <w:b w:val="0"/>
          <w:sz w:val="24"/>
        </w:rPr>
      </w:pPr>
      <w:r>
        <w:rPr>
          <w:rFonts w:hint="eastAsia" w:ascii="宋体" w:hAnsi="宋体" w:eastAsia="宋体"/>
          <w:b w:val="0"/>
          <w:sz w:val="24"/>
        </w:rPr>
        <w:t>建议建立电压质量多专业协同治理机制，打破运检、营销、调度等专业之间的信息壁垒，实现电压质量问题的跨专业协同分析和治理。具体包括：一是建立跨专业沟通协调机制，定期召开电压质量协同治理工作会；二是建立信息共享机制，实现PMS、用电信息采集、95598等系统数据的跨专业共享；三是建立联合治理机制，对涉及多个专业的电压质量问题，组织联合诊断和联合治理，形成治理合力</w:t>
      </w:r>
    </w:p>
    <w:p w14:paraId="4E85EDED">
      <w:pPr>
        <w:numPr>
          <w:ilvl w:val="1"/>
          <w:numId w:val="3"/>
        </w:numPr>
        <w:adjustRightInd w:val="0"/>
        <w:snapToGrid w:val="0"/>
        <w:spacing w:line="400" w:lineRule="exact"/>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7C56294F">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本项目的实施对于提升国网新疆乌鲁木齐供电公司电压质量管理水平、改善用户用电体验、支撑公司高质量发展具有重要的现实意义和长远价值。</w:t>
      </w:r>
    </w:p>
    <w:p w14:paraId="74AF737B">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1.6.1 项目意义</w:t>
      </w:r>
    </w:p>
    <w:p w14:paraId="218EDE50">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1）提升供电服务质量。通过系统化的电压质量数据分析和治理，有效降低电压越限台区数量，提高电压合格率，改善146.33万户低压用户的用电体验，减少因电压质量问题导致的客户投诉，提升供电服务满意度。</w:t>
      </w:r>
    </w:p>
    <w:p w14:paraId="1327F34A">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（2）保障电网安全运行。电压异常可能影响配电设备的安全运行，长期低电压或过电压会加速设备老化，增加故障风险。通过及时发现和治理电压异常，可以有效降低设备故障率，保障配电网安全稳定运行。</w:t>
      </w:r>
    </w:p>
    <w:p w14:paraId="1F059425">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3）支撑精准投资决策。通过深度数据分析，准确识别电压异常的根本原因，为配电网改造投资提供精准的数据支撑。避免盲目投资和重复建设，提高投资效率和效益，实现有限资源的优化配置。据我方以往项目经验，通过数据驱动的精准分析，可帮助供电公司节约约15%-20%的配网改造投资。</w:t>
      </w:r>
    </w:p>
    <w:p w14:paraId="51C186AA">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（4）推动管理转型升级。通过本项目的实施，推动电压质量管理从经验驱动向数据驱动转变，从被动响应向主动预防转变，从分散管理向系统管控转变，实现电压质量管理的信息化、规范化和科学化。</w:t>
      </w:r>
    </w:p>
    <w:p w14:paraId="0E0F1124">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5）服务经济社会发展。稳定的供电电压质量是保障居民生活和企业生产的重要基础。通过提升电压质量，可以保障乌鲁木齐地区经济社会发展的用电需求，支撑地方经济高质量发展。特别是对于乌鲁木齐市"煤改电"工程的深入推进，稳定的电压质量是保障电采暖用户温暖过冬的关键前提。</w:t>
      </w:r>
    </w:p>
    <w:p w14:paraId="47B3C6B7">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（4）推动管理转型升级。通过本项目的实施，推动电压质量管理从经验驱动向数据驱动转变，从被动响应向主动预防转变，从分散管理向系统管控转变，实现电压质量管理的信息化、规范化和科学化。</w:t>
      </w:r>
    </w:p>
    <w:p w14:paraId="0065FD2F">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（5）服务经济社会发展。稳定的供电电压质量是保障居民生活和企业生产的重要基础。通过提升电压质量，可以保障乌鲁木齐地区经济社会发展的用电需求，支撑地方经济高质量发展。</w:t>
      </w:r>
    </w:p>
    <w:p w14:paraId="2C8040AE">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1.6.2 项目展望</w:t>
      </w:r>
    </w:p>
    <w:p w14:paraId="3DB699C7">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（1）构建长效管控机制。以本项目为基础，建立常态化的电压质量数据分析和治理提升工作机制，将电压质量管理纳入日常运维管理流程，形成"监测-分析-治理-评估"的闭环管控模式，确保电压质量持续改善。</w:t>
      </w:r>
    </w:p>
    <w:p w14:paraId="5663C778">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（2）深化智能化应用。在数据分析基础上，逐步引入人工智能和机器学习技术，开发电压异常智能预警、根因智能诊断、治理方案智能推荐等应用，进一步提升分析效率和治理精准度。</w:t>
      </w:r>
    </w:p>
    <w:p w14:paraId="05E54ABA">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（3）扩展分析维度。在现有电压质量分析基础上，逐步扩展到供电可靠性分析、线损分析、设备健康状态分析等领域，构建配电网综合运营分析平台，为供电公司运营管理提供全方位的数据支撑。</w:t>
      </w:r>
    </w:p>
    <w:p w14:paraId="6BFBB8F5">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（4）推广成功经验。将本项目形成的分析方法、治理模式、管理机制在新疆其他地州供电公司推广应用，发挥示范引领作用，推动新疆电网电压质量整体提升。</w:t>
      </w:r>
    </w:p>
    <w:p w14:paraId="7EFA4E3C">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5）赋能基层班组。将项目形成的分析工具、诊断方法、治理模板等下沉到基层运维班组，赋能一线人员自主开展电压质量日常分析和小问题自主治理，减轻专业分析团队压力，提高问题响应速度，形成专业引领、全员参与的良好格局。</w:t>
      </w:r>
    </w:p>
    <w:p w14:paraId="17F4767A">
      <w:pPr>
        <w:spacing w:line="360" w:lineRule="auto"/>
        <w:ind w:firstLine="480"/>
        <w:rPr>
          <w:rFonts w:hint="eastAsia" w:ascii="宋体" w:hAnsi="宋体" w:eastAsia="宋体"/>
          <w:b w:val="0"/>
          <w:bCs/>
          <w:sz w:val="24"/>
          <w:lang w:val="en-US" w:eastAsia="zh-CN"/>
        </w:rPr>
      </w:pPr>
      <w:r>
        <w:rPr>
          <w:rFonts w:hint="eastAsia" w:ascii="宋体" w:hAnsi="宋体" w:eastAsia="宋体"/>
          <w:b w:val="0"/>
          <w:bCs/>
          <w:sz w:val="24"/>
          <w:lang w:val="en-US" w:eastAsia="zh-CN"/>
        </w:rPr>
        <w:t>（6）融入配网数字化转型。将电压质量数据分析能力融入乌鲁木齐供电公司配电网数字化转型总体架构，作为配电网数字化运营的重要组成部分，实现电压质量分析治理与配网规划、运维、调度等业务的深度融合和协同联动</w:t>
      </w:r>
    </w:p>
    <w:p w14:paraId="77652DC8">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14811"/>
      <w:bookmarkStart w:id="4" w:name="_Toc2484"/>
      <w:bookmarkStart w:id="5" w:name="_Toc3223"/>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7BDF8381">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2.2.1 项目实施规模</w:t>
      </w:r>
    </w:p>
    <w:p w14:paraId="60D1C5E9">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本项目实施规模覆盖国网新疆乌鲁木齐供电公司全口径低压用户，具体规模如下：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2127"/>
        <w:gridCol w:w="2136"/>
        <w:gridCol w:w="2132"/>
      </w:tblGrid>
      <w:tr w14:paraId="3B2F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6693A8">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60" w:type="dxa"/>
          </w:tcPr>
          <w:p w14:paraId="32662A3C">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规模指标</w:t>
            </w:r>
          </w:p>
        </w:tc>
        <w:tc>
          <w:tcPr>
            <w:tcW w:w="2160" w:type="dxa"/>
          </w:tcPr>
          <w:p w14:paraId="71BAA9B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数据</w:t>
            </w:r>
          </w:p>
        </w:tc>
        <w:tc>
          <w:tcPr>
            <w:tcW w:w="2160" w:type="dxa"/>
          </w:tcPr>
          <w:p w14:paraId="4595BB72">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说明</w:t>
            </w:r>
          </w:p>
        </w:tc>
      </w:tr>
      <w:tr w14:paraId="58F0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6FA4F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160" w:type="dxa"/>
          </w:tcPr>
          <w:p w14:paraId="1309DAF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低压用户数量</w:t>
            </w:r>
          </w:p>
        </w:tc>
        <w:tc>
          <w:tcPr>
            <w:tcW w:w="2160" w:type="dxa"/>
          </w:tcPr>
          <w:p w14:paraId="1F1A2E4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146.33万户</w:t>
            </w:r>
          </w:p>
        </w:tc>
        <w:tc>
          <w:tcPr>
            <w:tcW w:w="2160" w:type="dxa"/>
          </w:tcPr>
          <w:p w14:paraId="74B0466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覆盖乌鲁木齐供电公司全部低压用户</w:t>
            </w:r>
          </w:p>
        </w:tc>
      </w:tr>
      <w:tr w14:paraId="641A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AC666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160" w:type="dxa"/>
          </w:tcPr>
          <w:p w14:paraId="1D26856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配电变压器数量</w:t>
            </w:r>
          </w:p>
        </w:tc>
        <w:tc>
          <w:tcPr>
            <w:tcW w:w="2160" w:type="dxa"/>
          </w:tcPr>
          <w:p w14:paraId="7A8170D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8133台</w:t>
            </w:r>
          </w:p>
        </w:tc>
        <w:tc>
          <w:tcPr>
            <w:tcW w:w="2160" w:type="dxa"/>
          </w:tcPr>
          <w:p w14:paraId="02D00EC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覆盖所有公用配变</w:t>
            </w:r>
          </w:p>
        </w:tc>
      </w:tr>
      <w:tr w14:paraId="7B57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10FD2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160" w:type="dxa"/>
          </w:tcPr>
          <w:p w14:paraId="75CB500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电压越限台区</w:t>
            </w:r>
          </w:p>
        </w:tc>
        <w:tc>
          <w:tcPr>
            <w:tcW w:w="2160" w:type="dxa"/>
          </w:tcPr>
          <w:p w14:paraId="4AC1048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1073个</w:t>
            </w:r>
          </w:p>
        </w:tc>
        <w:tc>
          <w:tcPr>
            <w:tcW w:w="2160" w:type="dxa"/>
          </w:tcPr>
          <w:p w14:paraId="37B91B5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含低电压台区826个、过电压台区247个</w:t>
            </w:r>
          </w:p>
        </w:tc>
      </w:tr>
      <w:tr w14:paraId="2071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5224C5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160" w:type="dxa"/>
          </w:tcPr>
          <w:p w14:paraId="4DA10E8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供电区域</w:t>
            </w:r>
          </w:p>
        </w:tc>
        <w:tc>
          <w:tcPr>
            <w:tcW w:w="2160" w:type="dxa"/>
          </w:tcPr>
          <w:p w14:paraId="78EA906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8个</w:t>
            </w:r>
          </w:p>
        </w:tc>
        <w:tc>
          <w:tcPr>
            <w:tcW w:w="2160" w:type="dxa"/>
          </w:tcPr>
          <w:p w14:paraId="64ED99E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天山区、沙区、新市区、水磨沟区、</w:t>
            </w:r>
            <w:r>
              <w:rPr>
                <w:rFonts w:hint="eastAsia" w:ascii="宋体" w:hAnsi="宋体" w:eastAsia="宋体" w:cs="宋体"/>
                <w:sz w:val="24"/>
                <w:szCs w:val="24"/>
              </w:rPr>
              <w:br w:type="textWrapping"/>
            </w:r>
            <w:r>
              <w:rPr>
                <w:rFonts w:hint="eastAsia" w:ascii="宋体" w:hAnsi="宋体" w:eastAsia="宋体" w:cs="宋体"/>
                <w:sz w:val="24"/>
                <w:szCs w:val="24"/>
              </w:rPr>
              <w:t>头屯河区、达坂城区、米东区、乌鲁木齐县</w:t>
            </w:r>
          </w:p>
        </w:tc>
      </w:tr>
      <w:tr w14:paraId="2A85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CB2E0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160" w:type="dxa"/>
          </w:tcPr>
          <w:p w14:paraId="1DAD4C0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服务期限</w:t>
            </w:r>
          </w:p>
        </w:tc>
        <w:tc>
          <w:tcPr>
            <w:tcW w:w="2160" w:type="dxa"/>
          </w:tcPr>
          <w:p w14:paraId="0B812D7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合同签订日至</w:t>
            </w:r>
            <w:r>
              <w:rPr>
                <w:rFonts w:hint="eastAsia" w:ascii="宋体" w:hAnsi="宋体" w:eastAsia="宋体" w:cs="宋体"/>
                <w:sz w:val="24"/>
                <w:szCs w:val="24"/>
              </w:rPr>
              <w:br w:type="textWrapping"/>
            </w:r>
            <w:r>
              <w:rPr>
                <w:rFonts w:hint="eastAsia" w:ascii="宋体" w:hAnsi="宋体" w:eastAsia="宋体" w:cs="宋体"/>
                <w:sz w:val="24"/>
                <w:szCs w:val="24"/>
              </w:rPr>
              <w:t>2026年12月30日</w:t>
            </w:r>
          </w:p>
        </w:tc>
        <w:tc>
          <w:tcPr>
            <w:tcW w:w="2160" w:type="dxa"/>
          </w:tcPr>
          <w:p w14:paraId="1EE65A3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自合同签订之日起约12个月</w:t>
            </w:r>
          </w:p>
        </w:tc>
      </w:tr>
      <w:tr w14:paraId="4937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DE6F7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2160" w:type="dxa"/>
          </w:tcPr>
          <w:p w14:paraId="53CED8E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报告产出</w:t>
            </w:r>
          </w:p>
        </w:tc>
        <w:tc>
          <w:tcPr>
            <w:tcW w:w="2160" w:type="dxa"/>
          </w:tcPr>
          <w:p w14:paraId="2496F9D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多类</w:t>
            </w:r>
          </w:p>
        </w:tc>
        <w:tc>
          <w:tcPr>
            <w:tcW w:w="2160" w:type="dxa"/>
          </w:tcPr>
          <w:p w14:paraId="4BBE4CD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年度、迎峰度冬等诊断分析报告</w:t>
            </w:r>
          </w:p>
        </w:tc>
      </w:tr>
    </w:tbl>
    <w:p w14:paraId="26C4CCF1">
      <w:pPr>
        <w:rPr>
          <w:rFonts w:hint="eastAsia" w:ascii="宋体" w:hAnsi="宋体" w:eastAsia="宋体" w:cs="宋体"/>
          <w:sz w:val="24"/>
          <w:szCs w:val="24"/>
        </w:rPr>
      </w:pPr>
    </w:p>
    <w:p w14:paraId="30CBAC08">
      <w:pPr>
        <w:pStyle w:val="4"/>
        <w:numPr>
          <w:ilvl w:val="3"/>
          <w:numId w:val="0"/>
        </w:numPr>
        <w:bidi w:val="0"/>
        <w:spacing w:line="360" w:lineRule="auto"/>
        <w:ind w:left="864" w:leftChars="0" w:hanging="864" w:firstLineChars="0"/>
        <w:rPr>
          <w:rFonts w:hint="eastAsia" w:ascii="宋体" w:hAnsi="宋体" w:cs="宋体"/>
          <w:sz w:val="24"/>
          <w:szCs w:val="24"/>
          <w:lang w:val="en-US" w:eastAsia="zh-CN"/>
        </w:rPr>
      </w:pPr>
      <w:r>
        <w:rPr>
          <w:rFonts w:hint="eastAsia" w:ascii="宋体" w:hAnsi="宋体" w:cs="宋体"/>
          <w:sz w:val="24"/>
          <w:szCs w:val="24"/>
          <w:lang w:val="en-US" w:eastAsia="zh-CN"/>
        </w:rPr>
        <w:t>2.2.2 项目实施范围</w:t>
      </w:r>
    </w:p>
    <w:p w14:paraId="0BE55EAC">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本项目实施范围涵盖以下方面：</w:t>
      </w:r>
    </w:p>
    <w:p w14:paraId="5AB81523">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1）数据采集范围。包括但不限于：PMS系统配电网设备台账数据、用电信息采集系统用户电压电流功率数据（96点日数据、月冻结数据）、SCADA系统配变运行数据、D类电压监测点数据、95598客服系统用户投诉和工单数据、配变档位台账数据、无功补偿装置配置及运行数据等。</w:t>
      </w:r>
    </w:p>
    <w:p w14:paraId="4099040A">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2）分析诊断范围。包括但不限于：电压偏差分析、电压波动与闪变分析、三相不平衡分析、无功不足分析、配变档位状态分析、持续越限台区跟踪分析、疑难台区深度诊断分析、配网调压需求分析、95598工单关联分析、D类测点数据分析、迎峰度夏/迎峰度冬等特殊时段电压质量预测分析等。</w:t>
      </w:r>
    </w:p>
    <w:p w14:paraId="77B0BDEE">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（3）治理提升范围。包括但不限于：配变档位调整方案制定、无功补偿优化建议、线路改造建议、负荷调整建议、三相不平衡治理建议、疑难台区一台一案治理方案制定等。</w:t>
      </w:r>
    </w:p>
    <w:p w14:paraId="7AC784ED">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4）报告编制范围。包括但不限于：单向越限台区调档管控报告、配变档位台账管理报告、配变档位状态核查报告、电压异常分析报告、电压不平衡分析报告、无功不足校核报告、持续越限台区跟踪分析报告、疑难台区一台一案分析报告、配网调压需求分析报告、95598电压质量工单跟踪分析报告、D类测点分析报告、半年度诊断分析报告、年度诊断分析报告、迎峰度冬期间电压质量诊断分析报告等。</w:t>
      </w:r>
    </w:p>
    <w:p w14:paraId="555F35B0">
      <w:pPr>
        <w:spacing w:after="0" w:line="360" w:lineRule="auto"/>
        <w:ind w:firstLine="560"/>
      </w:pPr>
      <w:r>
        <w:rPr>
          <w:rFonts w:hint="eastAsia" w:ascii="宋体" w:hAnsi="宋体" w:eastAsia="宋体" w:cs="宋体"/>
          <w:sz w:val="24"/>
          <w:szCs w:val="24"/>
        </w:rPr>
        <w:t>本项目服务范围不包括：配变调档的现场实施操作、无功补偿装置的安装和调试、配电线路的改造施工、配变新增和更换的工程实施等。上述工作由乌鲁木齐供电公司相关部门和施工单位负责，本项目仅提供数据分析、方案制定和技术建议等技术服务。项目团队将积极配合供电公司相关工作人员，做好技术服务与现场实施的衔接配合工作。</w:t>
      </w:r>
    </w:p>
    <w:p w14:paraId="5624556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550FDA15">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本项目的实施依据以下国家、行业和企业的相关标准、规范和文件：</w:t>
      </w:r>
    </w:p>
    <w:p w14:paraId="5453F5EC">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上述标准体系为本项目数据采集、分析诊断、治理措施制定和效果评估等各环节工作提供了明确的规范依据。在数据采集环节，严格遵循DL/T 1198-2013对电压监测装置和数据采集的技术要求；在分析诊断环节，依据GB/T 12325等系列标准中规定的电压偏差、电压波动与闪变、三相不平衡等限值作为评判标准；在治理措施制定环节，参考DL/T 599-2005等技术导则确定治理方案的技术路线；在效果评估环节，按照DL/T 836-2016等标准中规定的评价方法进行量化评估。项目实施过程中，如遇国家标准或行业标准更新，以最新版本为准。</w:t>
      </w:r>
    </w:p>
    <w:p w14:paraId="08E9E929">
      <w:pPr>
        <w:pStyle w:val="4"/>
        <w:numPr>
          <w:ilvl w:val="3"/>
          <w:numId w:val="0"/>
        </w:numPr>
        <w:bidi w:val="0"/>
        <w:spacing w:line="360" w:lineRule="auto"/>
        <w:ind w:left="864" w:leftChars="0" w:hanging="864" w:firstLineChars="0"/>
        <w:rPr>
          <w:rFonts w:hint="eastAsia" w:ascii="宋体" w:hAnsi="宋体" w:eastAsia="宋体" w:cs="宋体"/>
          <w:b w:val="0"/>
          <w:bCs/>
          <w:sz w:val="24"/>
          <w:szCs w:val="24"/>
        </w:rPr>
      </w:pPr>
      <w:r>
        <w:rPr>
          <w:rFonts w:hint="eastAsia" w:ascii="宋体" w:hAnsi="宋体" w:cs="宋体"/>
          <w:b w:val="0"/>
          <w:bCs/>
          <w:sz w:val="24"/>
          <w:szCs w:val="24"/>
          <w:lang w:val="en-US" w:eastAsia="zh-CN"/>
        </w:rPr>
        <w:t xml:space="preserve">2.3.1 </w:t>
      </w:r>
      <w:r>
        <w:rPr>
          <w:rFonts w:hint="eastAsia" w:ascii="宋体" w:hAnsi="宋体" w:eastAsia="宋体" w:cs="宋体"/>
          <w:b w:val="0"/>
          <w:bCs/>
          <w:sz w:val="24"/>
          <w:szCs w:val="24"/>
        </w:rPr>
        <w:t>国家标准</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2145"/>
        <w:gridCol w:w="2126"/>
        <w:gridCol w:w="2126"/>
      </w:tblGrid>
      <w:tr w14:paraId="3877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F3565A">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60" w:type="dxa"/>
          </w:tcPr>
          <w:p w14:paraId="0B10C250">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标准编号</w:t>
            </w:r>
          </w:p>
        </w:tc>
        <w:tc>
          <w:tcPr>
            <w:tcW w:w="2160" w:type="dxa"/>
          </w:tcPr>
          <w:p w14:paraId="0423FE9E">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标准名称</w:t>
            </w:r>
          </w:p>
        </w:tc>
        <w:tc>
          <w:tcPr>
            <w:tcW w:w="2160" w:type="dxa"/>
          </w:tcPr>
          <w:p w14:paraId="227BFF8E">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相关内容</w:t>
            </w:r>
          </w:p>
        </w:tc>
      </w:tr>
      <w:tr w14:paraId="1CF7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E167A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160" w:type="dxa"/>
          </w:tcPr>
          <w:p w14:paraId="3ECE3C24">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GB/T 12325-2008</w:t>
            </w:r>
          </w:p>
        </w:tc>
        <w:tc>
          <w:tcPr>
            <w:tcW w:w="2160" w:type="dxa"/>
          </w:tcPr>
          <w:p w14:paraId="7E19F932">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 供电电压偏差</w:t>
            </w:r>
          </w:p>
        </w:tc>
        <w:tc>
          <w:tcPr>
            <w:tcW w:w="2160" w:type="dxa"/>
          </w:tcPr>
          <w:p w14:paraId="727E18E4">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规定供电电压偏差限值及测量方法</w:t>
            </w:r>
          </w:p>
        </w:tc>
      </w:tr>
      <w:tr w14:paraId="1B81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BBDB0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160" w:type="dxa"/>
          </w:tcPr>
          <w:p w14:paraId="70015F2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GB/T 15945-2008</w:t>
            </w:r>
          </w:p>
        </w:tc>
        <w:tc>
          <w:tcPr>
            <w:tcW w:w="2160" w:type="dxa"/>
          </w:tcPr>
          <w:p w14:paraId="0EF798E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 电力系统频率偏差</w:t>
            </w:r>
          </w:p>
        </w:tc>
        <w:tc>
          <w:tcPr>
            <w:tcW w:w="2160" w:type="dxa"/>
          </w:tcPr>
          <w:p w14:paraId="34EE6E4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规定频率偏差限值及测量方法</w:t>
            </w:r>
          </w:p>
        </w:tc>
      </w:tr>
      <w:tr w14:paraId="07B8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7C37A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160" w:type="dxa"/>
          </w:tcPr>
          <w:p w14:paraId="0E3AC843">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GB/T 12326-2008</w:t>
            </w:r>
          </w:p>
        </w:tc>
        <w:tc>
          <w:tcPr>
            <w:tcW w:w="2160" w:type="dxa"/>
          </w:tcPr>
          <w:p w14:paraId="400422A7">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 电压波动和闪变</w:t>
            </w:r>
          </w:p>
        </w:tc>
        <w:tc>
          <w:tcPr>
            <w:tcW w:w="2160" w:type="dxa"/>
          </w:tcPr>
          <w:p w14:paraId="244AFF7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规定电压波动和闪变限值及测量方法</w:t>
            </w:r>
          </w:p>
        </w:tc>
      </w:tr>
      <w:tr w14:paraId="7A26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F482C7">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160" w:type="dxa"/>
          </w:tcPr>
          <w:p w14:paraId="57C9244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GB/T 15543-2008</w:t>
            </w:r>
          </w:p>
        </w:tc>
        <w:tc>
          <w:tcPr>
            <w:tcW w:w="2160" w:type="dxa"/>
          </w:tcPr>
          <w:p w14:paraId="60FD7C99">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 三相电压不平衡</w:t>
            </w:r>
          </w:p>
        </w:tc>
        <w:tc>
          <w:tcPr>
            <w:tcW w:w="2160" w:type="dxa"/>
          </w:tcPr>
          <w:p w14:paraId="709C058F">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规定三相电压不平衡限值及测量方法</w:t>
            </w:r>
          </w:p>
        </w:tc>
      </w:tr>
      <w:tr w14:paraId="459F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84E27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160" w:type="dxa"/>
          </w:tcPr>
          <w:p w14:paraId="3369E5AE">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GB/T 14549-1993</w:t>
            </w:r>
          </w:p>
        </w:tc>
        <w:tc>
          <w:tcPr>
            <w:tcW w:w="2160" w:type="dxa"/>
          </w:tcPr>
          <w:p w14:paraId="32E80DFF">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 公用电网谐波</w:t>
            </w:r>
          </w:p>
        </w:tc>
        <w:tc>
          <w:tcPr>
            <w:tcW w:w="2160" w:type="dxa"/>
          </w:tcPr>
          <w:p w14:paraId="2F089AA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规定公用电网谐波限值及测量方法</w:t>
            </w:r>
          </w:p>
        </w:tc>
      </w:tr>
      <w:tr w14:paraId="27C7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6F935ED">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2160" w:type="dxa"/>
          </w:tcPr>
          <w:p w14:paraId="6A63270E">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GB/T 18481-2001</w:t>
            </w:r>
          </w:p>
        </w:tc>
        <w:tc>
          <w:tcPr>
            <w:tcW w:w="2160" w:type="dxa"/>
          </w:tcPr>
          <w:p w14:paraId="4874E1E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 暂时过电压和瞬态过电压</w:t>
            </w:r>
          </w:p>
        </w:tc>
        <w:tc>
          <w:tcPr>
            <w:tcW w:w="2160" w:type="dxa"/>
          </w:tcPr>
          <w:p w14:paraId="7116F215">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规定过电压限值及测量方法</w:t>
            </w:r>
          </w:p>
        </w:tc>
      </w:tr>
    </w:tbl>
    <w:p w14:paraId="57A92635">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2.3.2 行业标准</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43"/>
        <w:gridCol w:w="2126"/>
        <w:gridCol w:w="2127"/>
      </w:tblGrid>
      <w:tr w14:paraId="2154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2A91B9">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60" w:type="dxa"/>
          </w:tcPr>
          <w:p w14:paraId="120474A3">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标准编号</w:t>
            </w:r>
          </w:p>
        </w:tc>
        <w:tc>
          <w:tcPr>
            <w:tcW w:w="2160" w:type="dxa"/>
          </w:tcPr>
          <w:p w14:paraId="3781E8DB">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标准名称</w:t>
            </w:r>
          </w:p>
        </w:tc>
        <w:tc>
          <w:tcPr>
            <w:tcW w:w="2160" w:type="dxa"/>
          </w:tcPr>
          <w:p w14:paraId="430D8DD4">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相关内容</w:t>
            </w:r>
          </w:p>
        </w:tc>
      </w:tr>
      <w:tr w14:paraId="0ACF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EEEC66">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160" w:type="dxa"/>
          </w:tcPr>
          <w:p w14:paraId="2675A04E">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DL/T 1198-2013</w:t>
            </w:r>
          </w:p>
        </w:tc>
        <w:tc>
          <w:tcPr>
            <w:tcW w:w="2160" w:type="dxa"/>
          </w:tcPr>
          <w:p w14:paraId="0ACAA71B">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电力系统电压监测装置</w:t>
            </w:r>
            <w:r>
              <w:rPr>
                <w:rFonts w:hint="eastAsia" w:ascii="宋体" w:hAnsi="宋体" w:eastAsia="宋体" w:cs="宋体"/>
                <w:sz w:val="24"/>
                <w:szCs w:val="24"/>
              </w:rPr>
              <w:br w:type="textWrapping"/>
            </w:r>
            <w:r>
              <w:rPr>
                <w:rFonts w:hint="eastAsia" w:ascii="宋体" w:hAnsi="宋体" w:eastAsia="宋体" w:cs="宋体"/>
                <w:sz w:val="24"/>
                <w:szCs w:val="24"/>
              </w:rPr>
              <w:t>通用技术条件</w:t>
            </w:r>
          </w:p>
        </w:tc>
        <w:tc>
          <w:tcPr>
            <w:tcW w:w="2160" w:type="dxa"/>
          </w:tcPr>
          <w:p w14:paraId="577F2A53">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规定电压监测装置技术要求</w:t>
            </w:r>
          </w:p>
        </w:tc>
      </w:tr>
      <w:tr w14:paraId="2490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7A656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160" w:type="dxa"/>
          </w:tcPr>
          <w:p w14:paraId="0F5AC68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DL/T 1053-2017</w:t>
            </w:r>
          </w:p>
        </w:tc>
        <w:tc>
          <w:tcPr>
            <w:tcW w:w="2160" w:type="dxa"/>
          </w:tcPr>
          <w:p w14:paraId="3E49E66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电能质量技术监督规程</w:t>
            </w:r>
          </w:p>
        </w:tc>
        <w:tc>
          <w:tcPr>
            <w:tcW w:w="2160" w:type="dxa"/>
          </w:tcPr>
          <w:p w14:paraId="5DC4E83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规定电能质量技术监督要求</w:t>
            </w:r>
          </w:p>
        </w:tc>
      </w:tr>
      <w:tr w14:paraId="2EBD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DE737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160" w:type="dxa"/>
          </w:tcPr>
          <w:p w14:paraId="7FBD8F5F">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DL/T 1102-2009</w:t>
            </w:r>
          </w:p>
        </w:tc>
        <w:tc>
          <w:tcPr>
            <w:tcW w:w="2160" w:type="dxa"/>
          </w:tcPr>
          <w:p w14:paraId="1EAE4A13">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配电变压器运行规程</w:t>
            </w:r>
          </w:p>
        </w:tc>
        <w:tc>
          <w:tcPr>
            <w:tcW w:w="2160" w:type="dxa"/>
          </w:tcPr>
          <w:p w14:paraId="2D37489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规定配变运行管理要求</w:t>
            </w:r>
          </w:p>
        </w:tc>
      </w:tr>
      <w:tr w14:paraId="32B3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796762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160" w:type="dxa"/>
          </w:tcPr>
          <w:p w14:paraId="5ED3CCF5">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DL/T 599-2005</w:t>
            </w:r>
          </w:p>
        </w:tc>
        <w:tc>
          <w:tcPr>
            <w:tcW w:w="2160" w:type="dxa"/>
          </w:tcPr>
          <w:p w14:paraId="74B9161A">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城市中低压配电网改造技术导则</w:t>
            </w:r>
          </w:p>
        </w:tc>
        <w:tc>
          <w:tcPr>
            <w:tcW w:w="2160" w:type="dxa"/>
          </w:tcPr>
          <w:p w14:paraId="33A879DA">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规定配电网改造技术要求</w:t>
            </w:r>
          </w:p>
        </w:tc>
      </w:tr>
      <w:tr w14:paraId="2EA4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0C08DC1">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160" w:type="dxa"/>
          </w:tcPr>
          <w:p w14:paraId="5E50417D">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DL/T 836-2016</w:t>
            </w:r>
          </w:p>
        </w:tc>
        <w:tc>
          <w:tcPr>
            <w:tcW w:w="2160" w:type="dxa"/>
          </w:tcPr>
          <w:p w14:paraId="0DC33BA0">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供电系统供电可靠性评价规程</w:t>
            </w:r>
          </w:p>
        </w:tc>
        <w:tc>
          <w:tcPr>
            <w:tcW w:w="2160" w:type="dxa"/>
          </w:tcPr>
          <w:p w14:paraId="37E0015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规定供电可靠性评价方法</w:t>
            </w:r>
          </w:p>
        </w:tc>
      </w:tr>
    </w:tbl>
    <w:p w14:paraId="2741D4B0">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2.3.3 企业标准及文件</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A3B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9B1DB1">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880" w:type="dxa"/>
          </w:tcPr>
          <w:p w14:paraId="32A85DF4">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文件名称</w:t>
            </w:r>
          </w:p>
        </w:tc>
        <w:tc>
          <w:tcPr>
            <w:tcW w:w="2880" w:type="dxa"/>
          </w:tcPr>
          <w:p w14:paraId="18EE278E">
            <w:pPr>
              <w:spacing w:after="0" w:line="360" w:lineRule="auto"/>
              <w:jc w:val="center"/>
              <w:rPr>
                <w:rFonts w:hint="eastAsia" w:ascii="宋体" w:hAnsi="宋体" w:eastAsia="宋体" w:cs="宋体"/>
                <w:sz w:val="24"/>
                <w:szCs w:val="24"/>
              </w:rPr>
            </w:pPr>
            <w:r>
              <w:rPr>
                <w:rFonts w:hint="eastAsia" w:ascii="宋体" w:hAnsi="宋体" w:eastAsia="宋体" w:cs="宋体"/>
                <w:b/>
                <w:sz w:val="24"/>
                <w:szCs w:val="24"/>
              </w:rPr>
              <w:t>相关内容</w:t>
            </w:r>
          </w:p>
        </w:tc>
      </w:tr>
      <w:tr w14:paraId="1061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9EB9A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880" w:type="dxa"/>
          </w:tcPr>
          <w:p w14:paraId="1CE6F50F">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国家电网公司电能质量管理办法</w:t>
            </w:r>
          </w:p>
        </w:tc>
        <w:tc>
          <w:tcPr>
            <w:tcW w:w="2880" w:type="dxa"/>
          </w:tcPr>
          <w:p w14:paraId="4EAE94E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规定电能质量管理工作要求</w:t>
            </w:r>
          </w:p>
        </w:tc>
      </w:tr>
      <w:tr w14:paraId="0BEF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773E3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880" w:type="dxa"/>
          </w:tcPr>
          <w:p w14:paraId="7DB02237">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国家电网公司配电网运行规程</w:t>
            </w:r>
          </w:p>
        </w:tc>
        <w:tc>
          <w:tcPr>
            <w:tcW w:w="2880" w:type="dxa"/>
          </w:tcPr>
          <w:p w14:paraId="6C2BA386">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规定配电网运行管理规范</w:t>
            </w:r>
          </w:p>
        </w:tc>
      </w:tr>
      <w:tr w14:paraId="555D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F78D5E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880" w:type="dxa"/>
          </w:tcPr>
          <w:p w14:paraId="7B75A0F1">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国家电网公司供电服务规范</w:t>
            </w:r>
          </w:p>
        </w:tc>
        <w:tc>
          <w:tcPr>
            <w:tcW w:w="2880" w:type="dxa"/>
          </w:tcPr>
          <w:p w14:paraId="48602432">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规定供电服务标准和要求</w:t>
            </w:r>
          </w:p>
        </w:tc>
      </w:tr>
      <w:tr w14:paraId="4599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1F27DF">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880" w:type="dxa"/>
          </w:tcPr>
          <w:p w14:paraId="18783A3D">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国网新疆电力公司电压质量</w:t>
            </w:r>
            <w:r>
              <w:rPr>
                <w:rFonts w:hint="eastAsia" w:ascii="宋体" w:hAnsi="宋体" w:eastAsia="宋体" w:cs="宋体"/>
                <w:sz w:val="24"/>
                <w:szCs w:val="24"/>
              </w:rPr>
              <w:br w:type="textWrapping"/>
            </w:r>
            <w:r>
              <w:rPr>
                <w:rFonts w:hint="eastAsia" w:ascii="宋体" w:hAnsi="宋体" w:eastAsia="宋体" w:cs="宋体"/>
                <w:sz w:val="24"/>
                <w:szCs w:val="24"/>
              </w:rPr>
              <w:t>管理实施细则</w:t>
            </w:r>
          </w:p>
        </w:tc>
        <w:tc>
          <w:tcPr>
            <w:tcW w:w="2880" w:type="dxa"/>
          </w:tcPr>
          <w:p w14:paraId="3F588BE6">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规定新疆公司电压质量管理要求</w:t>
            </w:r>
          </w:p>
        </w:tc>
      </w:tr>
      <w:tr w14:paraId="5861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D7B338">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880" w:type="dxa"/>
          </w:tcPr>
          <w:p w14:paraId="3554F214">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国网新疆乌鲁木齐供电公司</w:t>
            </w:r>
            <w:r>
              <w:rPr>
                <w:rFonts w:hint="eastAsia" w:ascii="宋体" w:hAnsi="宋体" w:eastAsia="宋体" w:cs="宋体"/>
                <w:sz w:val="24"/>
                <w:szCs w:val="24"/>
              </w:rPr>
              <w:br w:type="textWrapping"/>
            </w:r>
            <w:r>
              <w:rPr>
                <w:rFonts w:hint="eastAsia" w:ascii="宋体" w:hAnsi="宋体" w:eastAsia="宋体" w:cs="宋体"/>
                <w:sz w:val="24"/>
                <w:szCs w:val="24"/>
              </w:rPr>
              <w:t>配电网运维管理规定</w:t>
            </w:r>
          </w:p>
        </w:tc>
        <w:tc>
          <w:tcPr>
            <w:tcW w:w="2880" w:type="dxa"/>
          </w:tcPr>
          <w:p w14:paraId="0F9C3062">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规定乌鲁木齐公司配网运维要求</w:t>
            </w:r>
          </w:p>
        </w:tc>
      </w:tr>
      <w:tr w14:paraId="0B5F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E3EC6C">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2880" w:type="dxa"/>
          </w:tcPr>
          <w:p w14:paraId="53D0FC27">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本项目技术规范书</w:t>
            </w:r>
          </w:p>
        </w:tc>
        <w:tc>
          <w:tcPr>
            <w:tcW w:w="2880" w:type="dxa"/>
          </w:tcPr>
          <w:p w14:paraId="2808AFFE">
            <w:pPr>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规定项目技术服务内容和要求</w:t>
            </w:r>
          </w:p>
        </w:tc>
      </w:tr>
    </w:tbl>
    <w:p w14:paraId="47A67792">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36C3C79A">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2.4.1 总体服务目标</w:t>
      </w:r>
    </w:p>
    <w:p w14:paraId="21465BB0">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以技术规范书为依据，以数据驱动为手段，全面开展全口径低压用户电压质量数据分析和治理提升技术服务，实现"四个提升"：提升电压合格率、提升治理精准度、提升分析智能化水平、提升管理规范化程度，切实改善乌鲁木齐供电公司供电区域内低压用户电压质量状况。</w:t>
      </w:r>
    </w:p>
    <w:p w14:paraId="4BDE117D">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总体服务目标的实现路径：通过"三个阶段"逐步推进——第一阶段（合同签订后1-2个月）以数据采集和基础分析为主，建立数据基础和台账体系；第二阶段（合同签订后3-5个月）以深度分析和治理提升为主，完成核心分析任务和重点治理工作；第三阶段（合同签订后第6个月至2026年12月30日）以效果评估和总结提升为主，全面评估治理效果并形成长效机制。通过三个阶段的递进推进，确保项目目标的全面达成。</w:t>
      </w:r>
    </w:p>
    <w:p w14:paraId="75FF71B0">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2.4.2 量化服务目标</w:t>
      </w:r>
    </w:p>
    <w:p w14:paraId="099F6E99">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（1）数据采集目标：实现全口径低压用户（146.33万户）电压质量数据的全面采集和整合，数据采集完整率不低于95%，数据清洗合格率不低于98%。</w:t>
      </w:r>
    </w:p>
    <w:p w14:paraId="15B109B9">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（2）分析诊断目标：对8133台配变电压质量数据进行全面分析，对1073个越限台区逐一进行原因分析，疑难台区一台一案分析覆盖率100%。</w:t>
      </w:r>
    </w:p>
    <w:p w14:paraId="6353FD78">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（3）治理提升目标：通过数据分析提出治理建议，配合供电公司实施治理措施，越限台区治理完成率不低于80%，治理后台区电压合格率不低于95%。</w:t>
      </w:r>
    </w:p>
    <w:p w14:paraId="6146EBB1">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（4）报告交付目标：按时保质完成9类诊断分析报告的编制和交付，报告及时率100%，报告准确率100%。</w:t>
      </w:r>
    </w:p>
    <w:p w14:paraId="3EB17C76">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（5）服务响应目标：建立7×24小时响应机制，一般问题4小时内响应，紧急问题2小时内响应，重大问题1小时内响应。</w:t>
      </w:r>
    </w:p>
    <w:p w14:paraId="41B76684">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2.4.3 服务目标分解表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9"/>
        <w:gridCol w:w="1704"/>
      </w:tblGrid>
      <w:tr w14:paraId="5B85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50D9F9B">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1728" w:type="dxa"/>
          </w:tcPr>
          <w:p w14:paraId="0B343C4F">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目标类别</w:t>
            </w:r>
          </w:p>
        </w:tc>
        <w:tc>
          <w:tcPr>
            <w:tcW w:w="1728" w:type="dxa"/>
          </w:tcPr>
          <w:p w14:paraId="0DA4E0FD">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目标指标</w:t>
            </w:r>
          </w:p>
        </w:tc>
        <w:tc>
          <w:tcPr>
            <w:tcW w:w="1728" w:type="dxa"/>
          </w:tcPr>
          <w:p w14:paraId="2A7C32D3">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目标值</w:t>
            </w:r>
          </w:p>
        </w:tc>
        <w:tc>
          <w:tcPr>
            <w:tcW w:w="1728" w:type="dxa"/>
          </w:tcPr>
          <w:p w14:paraId="216D5C7A">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考核周期</w:t>
            </w:r>
          </w:p>
        </w:tc>
      </w:tr>
      <w:tr w14:paraId="3080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36F6B2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1728" w:type="dxa"/>
          </w:tcPr>
          <w:p w14:paraId="0098EA5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数据采集</w:t>
            </w:r>
          </w:p>
        </w:tc>
        <w:tc>
          <w:tcPr>
            <w:tcW w:w="1728" w:type="dxa"/>
          </w:tcPr>
          <w:p w14:paraId="03A9B67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数据采集完整率</w:t>
            </w:r>
          </w:p>
        </w:tc>
        <w:tc>
          <w:tcPr>
            <w:tcW w:w="1728" w:type="dxa"/>
          </w:tcPr>
          <w:p w14:paraId="64C8025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≥95%</w:t>
            </w:r>
          </w:p>
        </w:tc>
        <w:tc>
          <w:tcPr>
            <w:tcW w:w="1728" w:type="dxa"/>
          </w:tcPr>
          <w:p w14:paraId="4D8B550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r>
      <w:tr w14:paraId="3D3B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8C93A3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1728" w:type="dxa"/>
          </w:tcPr>
          <w:p w14:paraId="0C0BE14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数据采集</w:t>
            </w:r>
          </w:p>
        </w:tc>
        <w:tc>
          <w:tcPr>
            <w:tcW w:w="1728" w:type="dxa"/>
          </w:tcPr>
          <w:p w14:paraId="36F5155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数据清洗合格率</w:t>
            </w:r>
          </w:p>
        </w:tc>
        <w:tc>
          <w:tcPr>
            <w:tcW w:w="1728" w:type="dxa"/>
          </w:tcPr>
          <w:p w14:paraId="3E5097B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≥98%</w:t>
            </w:r>
          </w:p>
        </w:tc>
        <w:tc>
          <w:tcPr>
            <w:tcW w:w="1728" w:type="dxa"/>
          </w:tcPr>
          <w:p w14:paraId="4642B55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r>
      <w:tr w14:paraId="06DB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2C7882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1728" w:type="dxa"/>
          </w:tcPr>
          <w:p w14:paraId="720573D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分析诊断</w:t>
            </w:r>
          </w:p>
        </w:tc>
        <w:tc>
          <w:tcPr>
            <w:tcW w:w="1728" w:type="dxa"/>
          </w:tcPr>
          <w:p w14:paraId="612B348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越限台区分析覆盖率</w:t>
            </w:r>
          </w:p>
        </w:tc>
        <w:tc>
          <w:tcPr>
            <w:tcW w:w="1728" w:type="dxa"/>
          </w:tcPr>
          <w:p w14:paraId="3A7B040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100%</w:t>
            </w:r>
          </w:p>
        </w:tc>
        <w:tc>
          <w:tcPr>
            <w:tcW w:w="1728" w:type="dxa"/>
          </w:tcPr>
          <w:p w14:paraId="6F9CE35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季度</w:t>
            </w:r>
          </w:p>
        </w:tc>
      </w:tr>
      <w:tr w14:paraId="71D8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2876AF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1728" w:type="dxa"/>
          </w:tcPr>
          <w:p w14:paraId="5F4DE32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分析诊断</w:t>
            </w:r>
          </w:p>
        </w:tc>
        <w:tc>
          <w:tcPr>
            <w:tcW w:w="1728" w:type="dxa"/>
          </w:tcPr>
          <w:p w14:paraId="6DA8FF7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疑难台区一台一案覆盖率</w:t>
            </w:r>
          </w:p>
        </w:tc>
        <w:tc>
          <w:tcPr>
            <w:tcW w:w="1728" w:type="dxa"/>
          </w:tcPr>
          <w:p w14:paraId="0BF9F73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100%</w:t>
            </w:r>
          </w:p>
        </w:tc>
        <w:tc>
          <w:tcPr>
            <w:tcW w:w="1728" w:type="dxa"/>
          </w:tcPr>
          <w:p w14:paraId="1765E56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半年度</w:t>
            </w:r>
          </w:p>
        </w:tc>
      </w:tr>
      <w:tr w14:paraId="6747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1DBF41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1728" w:type="dxa"/>
          </w:tcPr>
          <w:p w14:paraId="18BE857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治理提升</w:t>
            </w:r>
          </w:p>
        </w:tc>
        <w:tc>
          <w:tcPr>
            <w:tcW w:w="1728" w:type="dxa"/>
          </w:tcPr>
          <w:p w14:paraId="7BF6C8A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越限台区治理完成率</w:t>
            </w:r>
          </w:p>
        </w:tc>
        <w:tc>
          <w:tcPr>
            <w:tcW w:w="1728" w:type="dxa"/>
          </w:tcPr>
          <w:p w14:paraId="6610489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≥80%</w:t>
            </w:r>
          </w:p>
        </w:tc>
        <w:tc>
          <w:tcPr>
            <w:tcW w:w="1728" w:type="dxa"/>
          </w:tcPr>
          <w:p w14:paraId="73DA925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w:t>
            </w:r>
          </w:p>
        </w:tc>
      </w:tr>
      <w:tr w14:paraId="4BD2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4266C8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1728" w:type="dxa"/>
          </w:tcPr>
          <w:p w14:paraId="46AE37F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治理提升</w:t>
            </w:r>
          </w:p>
        </w:tc>
        <w:tc>
          <w:tcPr>
            <w:tcW w:w="1728" w:type="dxa"/>
          </w:tcPr>
          <w:p w14:paraId="17D5586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治理后台区电压合格率</w:t>
            </w:r>
          </w:p>
        </w:tc>
        <w:tc>
          <w:tcPr>
            <w:tcW w:w="1728" w:type="dxa"/>
          </w:tcPr>
          <w:p w14:paraId="47E1D7E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≥95%</w:t>
            </w:r>
          </w:p>
        </w:tc>
        <w:tc>
          <w:tcPr>
            <w:tcW w:w="1728" w:type="dxa"/>
          </w:tcPr>
          <w:p w14:paraId="3AB21E6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季度</w:t>
            </w:r>
          </w:p>
        </w:tc>
      </w:tr>
      <w:tr w14:paraId="1F1D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BF7C7F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7</w:t>
            </w:r>
          </w:p>
        </w:tc>
        <w:tc>
          <w:tcPr>
            <w:tcW w:w="1728" w:type="dxa"/>
          </w:tcPr>
          <w:p w14:paraId="339D075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报告交付</w:t>
            </w:r>
          </w:p>
        </w:tc>
        <w:tc>
          <w:tcPr>
            <w:tcW w:w="1728" w:type="dxa"/>
          </w:tcPr>
          <w:p w14:paraId="44984FE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报告及时率</w:t>
            </w:r>
          </w:p>
        </w:tc>
        <w:tc>
          <w:tcPr>
            <w:tcW w:w="1728" w:type="dxa"/>
          </w:tcPr>
          <w:p w14:paraId="00DCE3E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100%</w:t>
            </w:r>
          </w:p>
        </w:tc>
        <w:tc>
          <w:tcPr>
            <w:tcW w:w="1728" w:type="dxa"/>
          </w:tcPr>
          <w:p w14:paraId="40DA497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按期</w:t>
            </w:r>
          </w:p>
        </w:tc>
      </w:tr>
      <w:tr w14:paraId="719A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733864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8</w:t>
            </w:r>
          </w:p>
        </w:tc>
        <w:tc>
          <w:tcPr>
            <w:tcW w:w="1728" w:type="dxa"/>
          </w:tcPr>
          <w:p w14:paraId="1D3B792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报告交付</w:t>
            </w:r>
          </w:p>
        </w:tc>
        <w:tc>
          <w:tcPr>
            <w:tcW w:w="1728" w:type="dxa"/>
          </w:tcPr>
          <w:p w14:paraId="23E1790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报告准确率</w:t>
            </w:r>
          </w:p>
        </w:tc>
        <w:tc>
          <w:tcPr>
            <w:tcW w:w="1728" w:type="dxa"/>
          </w:tcPr>
          <w:p w14:paraId="4E7F457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100%</w:t>
            </w:r>
          </w:p>
        </w:tc>
        <w:tc>
          <w:tcPr>
            <w:tcW w:w="1728" w:type="dxa"/>
          </w:tcPr>
          <w:p w14:paraId="050CE68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按期</w:t>
            </w:r>
          </w:p>
        </w:tc>
      </w:tr>
      <w:tr w14:paraId="58F4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0F35B2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9</w:t>
            </w:r>
          </w:p>
        </w:tc>
        <w:tc>
          <w:tcPr>
            <w:tcW w:w="1728" w:type="dxa"/>
          </w:tcPr>
          <w:p w14:paraId="0E8317C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服务响应</w:t>
            </w:r>
          </w:p>
        </w:tc>
        <w:tc>
          <w:tcPr>
            <w:tcW w:w="1728" w:type="dxa"/>
          </w:tcPr>
          <w:p w14:paraId="5DDDACE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一般问题响应时间</w:t>
            </w:r>
          </w:p>
        </w:tc>
        <w:tc>
          <w:tcPr>
            <w:tcW w:w="1728" w:type="dxa"/>
          </w:tcPr>
          <w:p w14:paraId="7223568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≤4小时</w:t>
            </w:r>
          </w:p>
        </w:tc>
        <w:tc>
          <w:tcPr>
            <w:tcW w:w="1728" w:type="dxa"/>
          </w:tcPr>
          <w:p w14:paraId="38AEB6A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实时</w:t>
            </w:r>
          </w:p>
        </w:tc>
      </w:tr>
      <w:tr w14:paraId="103E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173F06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w:t>
            </w:r>
          </w:p>
        </w:tc>
        <w:tc>
          <w:tcPr>
            <w:tcW w:w="1728" w:type="dxa"/>
          </w:tcPr>
          <w:p w14:paraId="7D9C9A4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服务响应</w:t>
            </w:r>
          </w:p>
        </w:tc>
        <w:tc>
          <w:tcPr>
            <w:tcW w:w="1728" w:type="dxa"/>
          </w:tcPr>
          <w:p w14:paraId="380517B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紧急问题响应时间</w:t>
            </w:r>
          </w:p>
        </w:tc>
        <w:tc>
          <w:tcPr>
            <w:tcW w:w="1728" w:type="dxa"/>
          </w:tcPr>
          <w:p w14:paraId="3A82013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≤2小时</w:t>
            </w:r>
          </w:p>
        </w:tc>
        <w:tc>
          <w:tcPr>
            <w:tcW w:w="1728" w:type="dxa"/>
          </w:tcPr>
          <w:p w14:paraId="69EA086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实时</w:t>
            </w:r>
          </w:p>
        </w:tc>
      </w:tr>
    </w:tbl>
    <w:p w14:paraId="0F28DA82">
      <w:pPr>
        <w:spacing w:line="360" w:lineRule="auto"/>
        <w:ind w:firstLine="480"/>
        <w:rPr>
          <w:rFonts w:ascii="宋体" w:hAnsi="宋体" w:eastAsia="宋体"/>
          <w:b w:val="0"/>
          <w:sz w:val="24"/>
        </w:rPr>
      </w:pPr>
    </w:p>
    <w:p w14:paraId="1A7AF7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06386F75">
      <w:pPr>
        <w:spacing w:line="360" w:lineRule="auto"/>
        <w:ind w:firstLine="480"/>
        <w:rPr>
          <w:rFonts w:hint="eastAsia" w:ascii="宋体" w:hAnsi="宋体" w:eastAsia="宋体"/>
          <w:b w:val="0"/>
          <w:sz w:val="24"/>
        </w:rPr>
      </w:pPr>
      <w:r>
        <w:rPr>
          <w:rFonts w:hint="eastAsia" w:ascii="宋体" w:hAnsi="宋体" w:eastAsia="宋体"/>
          <w:b w:val="0"/>
          <w:sz w:val="24"/>
        </w:rPr>
        <w:t>本项目服务内容严格按照技术规范书要求，涵盖14项技术服务内容和9类报告编制，具体如下：</w:t>
      </w:r>
    </w:p>
    <w:p w14:paraId="00DDF4FA">
      <w:pPr>
        <w:spacing w:line="360" w:lineRule="auto"/>
        <w:ind w:firstLine="480"/>
        <w:rPr>
          <w:rFonts w:hint="eastAsia" w:ascii="宋体" w:hAnsi="宋体" w:eastAsia="宋体"/>
          <w:b w:val="0"/>
          <w:sz w:val="24"/>
        </w:rPr>
      </w:pPr>
      <w:r>
        <w:rPr>
          <w:rFonts w:hint="eastAsia" w:ascii="宋体" w:hAnsi="宋体" w:eastAsia="宋体"/>
          <w:b w:val="0"/>
          <w:sz w:val="24"/>
        </w:rPr>
        <w:t>各项服务内容之间具有内在的逻辑关系和层次结构：一是基础支撑类服务，包括配变档位台账管理、档位状态核查和D类测点分析，为后续分析提供可靠的数据基础和台账支撑；二是核心分析类服务，包括单向越限台区调档管控、电压异常分析、电压不平衡分析和无功不足校核，是本项目的核心工作内容；三是深化诊断类服务，包括持续越限台区跟踪分析、疑难台区一台一案分析和配网调压需求分析，针对疑难复杂问题进行深度诊断；四是客户服务类服务，包括95598工单跟踪分析，从客户视角审视和解决电压质量问题；五是综合报告类服务，包括半年度、年度和春节期间诊断分析报告，对阶段性工作进行全面总结和系统分析。五类服务相互支撑、层层递进，构成完整的服务体系。</w:t>
      </w:r>
    </w:p>
    <w:p w14:paraId="68C94CCD">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2.5.1 单向越限台区调档管控</w:t>
      </w:r>
    </w:p>
    <w:p w14:paraId="7D415167">
      <w:pPr>
        <w:spacing w:line="360" w:lineRule="auto"/>
        <w:ind w:firstLine="480"/>
        <w:rPr>
          <w:rFonts w:hint="eastAsia" w:ascii="宋体" w:hAnsi="宋体" w:eastAsia="宋体"/>
          <w:b w:val="0"/>
          <w:sz w:val="24"/>
        </w:rPr>
      </w:pPr>
      <w:r>
        <w:rPr>
          <w:rFonts w:hint="eastAsia" w:ascii="宋体" w:hAnsi="宋体" w:eastAsia="宋体"/>
          <w:b w:val="0"/>
          <w:sz w:val="24"/>
        </w:rPr>
        <w:t>对电压越限台区进行分类识别，区分单向越限和双向越限台区。针对单向越限台区，结合台区电压监测数据和负荷特性分析，判断配变当前档位是否合理，制定配变档位调整方案。调档方案需明确调整方向（升档或降档）、调整幅度、预期效果和风险评估。建立调档审核流程，对调档方案进行技术审核和安全评估，确保调档措施的安全性和有效性。对调档后的台区进行持续跟踪，评估调档效果，对效果不理想的台区进行二次分析和方案调整。</w:t>
      </w:r>
    </w:p>
    <w:p w14:paraId="6394F1CA">
      <w:pPr>
        <w:spacing w:line="360" w:lineRule="auto"/>
        <w:ind w:firstLine="480"/>
        <w:rPr>
          <w:rFonts w:hint="eastAsia" w:ascii="宋体" w:hAnsi="宋体" w:eastAsia="宋体"/>
          <w:b w:val="0"/>
          <w:sz w:val="24"/>
        </w:rPr>
      </w:pPr>
      <w:r>
        <w:rPr>
          <w:rFonts w:hint="eastAsia" w:ascii="宋体" w:hAnsi="宋体" w:eastAsia="宋体"/>
          <w:b w:val="0"/>
          <w:sz w:val="24"/>
        </w:rPr>
        <w:t>调档管控工作流程包括：越限台区识别→调档方案制定→方案审核确认→调档执行跟踪→效果评估反馈。每月编制调档管控月报，汇总调档方案执行情况和效果评估结果。</w:t>
      </w:r>
    </w:p>
    <w:p w14:paraId="62C8DEEC">
      <w:pPr>
        <w:spacing w:line="360" w:lineRule="auto"/>
        <w:ind w:firstLine="480"/>
        <w:rPr>
          <w:rFonts w:hint="eastAsia" w:ascii="宋体" w:hAnsi="宋体" w:eastAsia="宋体"/>
          <w:b w:val="0"/>
          <w:sz w:val="24"/>
        </w:rPr>
      </w:pPr>
      <w:r>
        <w:rPr>
          <w:rFonts w:hint="eastAsia" w:ascii="宋体" w:hAnsi="宋体" w:eastAsia="宋体"/>
          <w:b w:val="0"/>
          <w:sz w:val="24"/>
        </w:rPr>
        <w:t>单向越限台区调档管控的技术要点：一是越限类型准确判别，通过分析台区首端、中段、末端电压数据，结合负荷曲线特征，准确判断是高电压越限还是低电压越限；二是调档方向确定，低电压越限应升档运行（调至更高电压档位），高电压越限应降档运行（调至更低电压档位）；三是调档幅度选择，根据电压偏差程度和负荷波动范围，选择合适的调档幅度，避免调档过度导致反向越限；四是季节性因素考虑，对于季节性负荷变化大的台区，需要统筹考虑全年运行工况，制定兼顾不同季节的档位方案。</w:t>
      </w:r>
    </w:p>
    <w:p w14:paraId="5F213423">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2.5.2 配变档位台账管理</w:t>
      </w:r>
    </w:p>
    <w:p w14:paraId="7527CBBA">
      <w:pPr>
        <w:spacing w:line="360" w:lineRule="auto"/>
        <w:ind w:firstLine="480"/>
        <w:rPr>
          <w:rFonts w:hint="eastAsia" w:ascii="宋体" w:hAnsi="宋体" w:eastAsia="宋体"/>
          <w:b w:val="0"/>
          <w:sz w:val="24"/>
        </w:rPr>
      </w:pPr>
      <w:r>
        <w:rPr>
          <w:rFonts w:hint="eastAsia" w:ascii="宋体" w:hAnsi="宋体" w:eastAsia="宋体"/>
          <w:b w:val="0"/>
          <w:sz w:val="24"/>
        </w:rPr>
        <w:t>建立和完善配变档位台账信息，对辖区内8133台配变的档位信息进行全面梳理和核查。台账内容包括：配变编号、配变型号、额定电压、当前档位、档位调节范围、最近调档时间、调档原因等。建立档位信息动态更新机制，确保档位台账与实际运行状态一致。每月对档位台账进行核查和更新，及时记录档位变更信息。对档位信息缺失或存疑的台区，组织开展专项核查。</w:t>
      </w:r>
    </w:p>
    <w:p w14:paraId="0D7530F4">
      <w:pPr>
        <w:spacing w:line="360" w:lineRule="auto"/>
        <w:ind w:firstLine="480"/>
        <w:rPr>
          <w:rFonts w:hint="eastAsia" w:ascii="宋体" w:hAnsi="宋体" w:eastAsia="宋体"/>
          <w:b w:val="0"/>
          <w:sz w:val="24"/>
        </w:rPr>
      </w:pPr>
      <w:r>
        <w:rPr>
          <w:rFonts w:hint="eastAsia" w:ascii="宋体" w:hAnsi="宋体" w:eastAsia="宋体"/>
          <w:b w:val="0"/>
          <w:sz w:val="24"/>
        </w:rPr>
        <w:t>配变档位台账采用电子化管理系统，支持按区域、按变电站、按线路等维度进行查询和统计。台账数据与用电信息采集系统数据实现联动，当检测到配变运行电压与档位不匹配时，自动提示进行档位核查。</w:t>
      </w:r>
    </w:p>
    <w:p w14:paraId="676B95C6">
      <w:pPr>
        <w:spacing w:line="360" w:lineRule="auto"/>
        <w:ind w:firstLine="480"/>
        <w:rPr>
          <w:rFonts w:hint="eastAsia" w:ascii="宋体" w:hAnsi="宋体" w:eastAsia="宋体"/>
          <w:b w:val="0"/>
          <w:sz w:val="24"/>
        </w:rPr>
      </w:pPr>
      <w:r>
        <w:rPr>
          <w:rFonts w:hint="eastAsia" w:ascii="宋体" w:hAnsi="宋体" w:eastAsia="宋体"/>
          <w:b w:val="0"/>
          <w:sz w:val="24"/>
        </w:rPr>
        <w:t>配变档位台账管理的重点：一是台账完整性，确保8133台配变的档位信息全覆盖、无遗漏；二是台账准确性，通过数据比对和现场核查确保档位信息与实际一致；三是台账时效性，档位变更后24小时内完成台账更新；四是台账可追溯性，完整记录每次档位变更的时间、原因、执行人和审批人。</w:t>
      </w:r>
    </w:p>
    <w:p w14:paraId="0EDF68B6">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2.5.3 配变档位状态核查</w:t>
      </w:r>
    </w:p>
    <w:p w14:paraId="08BC442C">
      <w:pPr>
        <w:spacing w:line="360" w:lineRule="auto"/>
        <w:ind w:firstLine="480"/>
        <w:rPr>
          <w:rFonts w:hint="eastAsia" w:ascii="宋体" w:hAnsi="宋体" w:eastAsia="宋体"/>
          <w:b w:val="0"/>
          <w:sz w:val="24"/>
        </w:rPr>
      </w:pPr>
      <w:r>
        <w:rPr>
          <w:rFonts w:hint="eastAsia" w:ascii="宋体" w:hAnsi="宋体" w:eastAsia="宋体"/>
          <w:b w:val="0"/>
          <w:sz w:val="24"/>
        </w:rPr>
        <w:t>对配变档位状态进行定期核查，确保台账信息与实际档位一致。核查内容包括：配变当前运行档位是否与台账记录一致、配变档位是否处于合理位置、档位调整机构是否正常等。结合用电信息采集系统的电压数据分析，对档位异常的配变进行自动识别，生成核查任务清单。对核查发现的问题，及时进行台账更正和原因分析。每季度完成一次全覆盖的档位状态核查，形成档位状态核查报告。</w:t>
      </w:r>
    </w:p>
    <w:p w14:paraId="58F54A93">
      <w:pPr>
        <w:spacing w:line="360" w:lineRule="auto"/>
        <w:ind w:firstLine="480"/>
        <w:rPr>
          <w:rFonts w:hint="eastAsia" w:ascii="宋体" w:hAnsi="宋体" w:eastAsia="宋体"/>
          <w:b w:val="0"/>
          <w:sz w:val="24"/>
        </w:rPr>
      </w:pPr>
      <w:r>
        <w:rPr>
          <w:rFonts w:hint="eastAsia" w:ascii="宋体" w:hAnsi="宋体" w:eastAsia="宋体"/>
          <w:b w:val="0"/>
          <w:sz w:val="24"/>
        </w:rPr>
        <w:t>档位状态核查方法包括：一是数据比对法，将配变输出电压与理论电压进行比对，判断档位是否合理；二是趋势分析法，分析配变电压变化趋势，判断是否存在非正常档位变化；三是现场核查法，对数据异常的配变进行现场核查确认。综合运用三种方法，确保核查结果的准确性。</w:t>
      </w:r>
    </w:p>
    <w:p w14:paraId="2AFEB068">
      <w:pPr>
        <w:spacing w:line="360" w:lineRule="auto"/>
        <w:ind w:firstLine="480"/>
        <w:rPr>
          <w:rFonts w:hint="eastAsia" w:ascii="宋体" w:hAnsi="宋体" w:eastAsia="宋体"/>
          <w:b w:val="0"/>
          <w:sz w:val="24"/>
        </w:rPr>
      </w:pPr>
      <w:r>
        <w:rPr>
          <w:rFonts w:hint="eastAsia" w:ascii="宋体" w:hAnsi="宋体" w:eastAsia="宋体"/>
          <w:b w:val="0"/>
          <w:sz w:val="24"/>
        </w:rPr>
        <w:t>档位状态核查的技术标准：配变输出电压偏差在额定电压的±2.5%范围内，视为档位合理；偏差在±2.5%至±5%范围内，需关注并提出调档建议；偏差超过±5%，应列为重点调档对象。核查过程中发现的档位异常配变，应在3个工作日内完成原因分析，7个工作日内制定调档方案。</w:t>
      </w:r>
    </w:p>
    <w:p w14:paraId="6803BB22">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2.5.4 电压异常分析</w:t>
      </w:r>
    </w:p>
    <w:p w14:paraId="634ECEB3">
      <w:pPr>
        <w:spacing w:line="360" w:lineRule="auto"/>
        <w:ind w:firstLine="480"/>
        <w:rPr>
          <w:rFonts w:hint="eastAsia" w:ascii="宋体" w:hAnsi="宋体" w:eastAsia="宋体"/>
          <w:b w:val="0"/>
          <w:sz w:val="24"/>
        </w:rPr>
      </w:pPr>
      <w:r>
        <w:rPr>
          <w:rFonts w:hint="eastAsia" w:ascii="宋体" w:hAnsi="宋体" w:eastAsia="宋体"/>
          <w:b w:val="0"/>
          <w:sz w:val="24"/>
        </w:rPr>
        <w:t>对全口径低压用户电压异常情况进行系统分析，识别电压越限台区和异常用户。分析内容包括：电压偏差分析，计算各台区电压偏差率和合格率，统计越限台区数量和分布；电压波动分析，识别电压波动幅度和频次异常的台区；电压趋势分析，分析电压质量变化趋势，预测未来可能出现的越限情况。按月编制电压异常分析报告，提出治理建议。</w:t>
      </w:r>
    </w:p>
    <w:p w14:paraId="2AF19554">
      <w:pPr>
        <w:spacing w:line="360" w:lineRule="auto"/>
        <w:ind w:firstLine="480"/>
        <w:rPr>
          <w:rFonts w:hint="eastAsia" w:ascii="宋体" w:hAnsi="宋体" w:eastAsia="宋体"/>
          <w:b w:val="0"/>
          <w:sz w:val="24"/>
        </w:rPr>
      </w:pPr>
      <w:r>
        <w:rPr>
          <w:rFonts w:hint="eastAsia" w:ascii="宋体" w:hAnsi="宋体" w:eastAsia="宋体"/>
          <w:b w:val="0"/>
          <w:sz w:val="24"/>
        </w:rPr>
        <w:t>电压异常分析方法包括：统计分析法，对电压数据进行描述性统计，计算均值、极值、标准差、合格率等指标；对比分析法，将当前数据与历史数据、标准限值进行对比分析；关联分析法，将电压异常与负荷变化、季节因素、设备状态等进行关联分析；聚类分析法，对电压异常类型进行聚类，识别典型异常模式。</w:t>
      </w:r>
    </w:p>
    <w:p w14:paraId="60FF7EBF">
      <w:pPr>
        <w:spacing w:line="360" w:lineRule="auto"/>
        <w:ind w:firstLine="480"/>
        <w:rPr>
          <w:rFonts w:hint="eastAsia" w:ascii="宋体" w:hAnsi="宋体" w:eastAsia="宋体"/>
          <w:b w:val="0"/>
          <w:sz w:val="24"/>
        </w:rPr>
      </w:pPr>
      <w:r>
        <w:rPr>
          <w:rFonts w:hint="eastAsia" w:ascii="宋体" w:hAnsi="宋体" w:eastAsia="宋体"/>
          <w:b w:val="0"/>
          <w:sz w:val="24"/>
        </w:rPr>
        <w:t>电压异常分析的评判标准：依据GB/T 12325-2008《电能质量 供电电压偏差》的规定，220V单相供电电压偏差限值为标称电压的+7%、-10%，即电压合格范围为198V-235.4V。380V三相供电电压偏差限值为标称电压的±7%，即电压合格范围为353.4V-406.6V。电压合格率按照统计期内电压合格点数占总监测点数的百分比计算。</w:t>
      </w:r>
    </w:p>
    <w:p w14:paraId="05D4B590">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2.5.5 电压不平衡分析</w:t>
      </w:r>
    </w:p>
    <w:p w14:paraId="2C974CED">
      <w:pPr>
        <w:spacing w:line="360" w:lineRule="auto"/>
        <w:ind w:firstLine="480"/>
        <w:rPr>
          <w:rFonts w:hint="eastAsia" w:ascii="宋体" w:hAnsi="宋体" w:eastAsia="宋体"/>
          <w:b w:val="0"/>
          <w:sz w:val="24"/>
        </w:rPr>
      </w:pPr>
      <w:r>
        <w:rPr>
          <w:rFonts w:hint="eastAsia" w:ascii="宋体" w:hAnsi="宋体" w:eastAsia="宋体"/>
          <w:b w:val="0"/>
          <w:sz w:val="24"/>
        </w:rPr>
        <w:t>对配变三相电压和电流不平衡情况进行分析，识别三相不平衡严重的台区。分析内容包括：三相电流不平衡度计算和分析，识别单相负荷分配严重不均的台区；三相电压不平衡度计算和分析，识别因三相不平衡导致电压异常的台区；相序分析，检查各相负荷分配情况，提出相序调整建议。每月编制电压不平衡分析报告，对三相不平衡严重的台区提出治理建议。</w:t>
      </w:r>
    </w:p>
    <w:p w14:paraId="400C3B6E">
      <w:pPr>
        <w:spacing w:line="360" w:lineRule="auto"/>
        <w:ind w:firstLine="480"/>
        <w:rPr>
          <w:rFonts w:hint="eastAsia" w:ascii="宋体" w:hAnsi="宋体" w:eastAsia="宋体"/>
          <w:b w:val="0"/>
          <w:sz w:val="24"/>
        </w:rPr>
      </w:pPr>
      <w:r>
        <w:rPr>
          <w:rFonts w:hint="eastAsia" w:ascii="宋体" w:hAnsi="宋体" w:eastAsia="宋体"/>
          <w:b w:val="0"/>
          <w:sz w:val="24"/>
        </w:rPr>
        <w:t>三相不平衡治理措施主要包括：相序调整，将单相负荷从重载相转移到轻载相；负荷均衡化，优化单相用户的接入相序；新增单相用户审批管控，严格控制新增单相负荷的接入相序。三相不平衡度超过15%的台区应优先安排治理。</w:t>
      </w:r>
    </w:p>
    <w:p w14:paraId="2796CDE5">
      <w:pPr>
        <w:spacing w:line="360" w:lineRule="auto"/>
        <w:ind w:firstLine="480"/>
        <w:rPr>
          <w:rFonts w:hint="eastAsia" w:ascii="宋体" w:hAnsi="宋体" w:eastAsia="宋体"/>
          <w:b w:val="0"/>
          <w:sz w:val="24"/>
        </w:rPr>
      </w:pPr>
      <w:r>
        <w:rPr>
          <w:rFonts w:hint="eastAsia" w:ascii="宋体" w:hAnsi="宋体" w:eastAsia="宋体"/>
          <w:b w:val="0"/>
          <w:sz w:val="24"/>
        </w:rPr>
        <w:t>三相不平衡分析的技术方法：一是三相电流不平衡度计算，采用最大相电流与最小相电流之差除以最大相电流的方法计算；二是三相电压不平衡度计算，采用负序电压与正序电压之比的百分数表示；三是不平衡度随时间变化分析，分析三相不平衡度在日、周、月等不同时间尺度的变化规律；四是不平衡度与负荷的关联分析，分析三相不平衡与单相负荷分布的对应关系。依据GB/T 15543-2008，三相电压不平衡度不应超过2%，短时不应超过4%。</w:t>
      </w:r>
    </w:p>
    <w:p w14:paraId="74DD434C">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2.5.6 无功不足校核</w:t>
      </w:r>
    </w:p>
    <w:p w14:paraId="47A593E3">
      <w:pPr>
        <w:spacing w:line="360" w:lineRule="auto"/>
        <w:ind w:firstLine="480"/>
        <w:rPr>
          <w:rFonts w:hint="eastAsia" w:ascii="宋体" w:hAnsi="宋体" w:eastAsia="宋体"/>
          <w:b w:val="0"/>
          <w:sz w:val="24"/>
        </w:rPr>
      </w:pPr>
      <w:r>
        <w:rPr>
          <w:rFonts w:hint="eastAsia" w:ascii="宋体" w:hAnsi="宋体" w:eastAsia="宋体"/>
          <w:b w:val="0"/>
          <w:sz w:val="24"/>
        </w:rPr>
        <w:t>对配变无功补偿配置和运行情况进行校核分析，识别无功不足导致电压偏低的台区。分析内容包括：配变无功补偿装置配置情况核查，包括电容器容量、投切方式、运行状态等；配变无功功率供需平衡分析，计算无功缺额；配变功率因数分析，识别功率因数偏低的台区；无功补偿装置投切策略优化分析。每季度编制无功不足校核分析报告，提出无功补偿优化建议。</w:t>
      </w:r>
    </w:p>
    <w:p w14:paraId="40B400F7">
      <w:pPr>
        <w:spacing w:line="360" w:lineRule="auto"/>
        <w:ind w:firstLine="480"/>
        <w:rPr>
          <w:rFonts w:hint="eastAsia" w:ascii="宋体" w:hAnsi="宋体" w:eastAsia="宋体"/>
          <w:b w:val="0"/>
          <w:sz w:val="24"/>
        </w:rPr>
      </w:pPr>
      <w:r>
        <w:rPr>
          <w:rFonts w:hint="eastAsia" w:ascii="宋体" w:hAnsi="宋体" w:eastAsia="宋体"/>
          <w:b w:val="0"/>
          <w:sz w:val="24"/>
        </w:rPr>
        <w:t>无功不足校核方法包括：功率因数法，通过计算配变功率因数判断无功补偿是否充足；无功平衡法，通过计算台区无功功率供需差额判断无功是否充足；电压灵敏度法，通过分析无功功率变化对电压的影响程度判断无功补偿效果。综合运用多种方法，确保校核结果的可靠性。</w:t>
      </w:r>
    </w:p>
    <w:p w14:paraId="55056CDC">
      <w:pPr>
        <w:spacing w:line="360" w:lineRule="auto"/>
        <w:ind w:firstLine="480"/>
        <w:rPr>
          <w:rFonts w:hint="eastAsia" w:ascii="宋体" w:hAnsi="宋体" w:eastAsia="宋体"/>
          <w:b w:val="0"/>
          <w:sz w:val="24"/>
        </w:rPr>
      </w:pPr>
      <w:r>
        <w:rPr>
          <w:rFonts w:hint="eastAsia" w:ascii="宋体" w:hAnsi="宋体" w:eastAsia="宋体"/>
          <w:b w:val="0"/>
          <w:sz w:val="24"/>
        </w:rPr>
        <w:t>无功不足校核的关键参数：一是配变功率因数考核标准，100kVA及以上高压供电用户功率因数应不低于0.90，其他用户不低于0.85；二是无功补偿容量配置标准，配变无功补偿容量一般按配变额定容量的20%-30%配置；三是无功补偿装置投切策略，根据负荷变化自动投切，避免过补偿和欠补偿。校核中发现的功率因数不达标台区，应提出无功补偿增容或优化配置的具体建议。</w:t>
      </w:r>
    </w:p>
    <w:p w14:paraId="1ACA76BD">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2.5.7 持续越限台区跟踪分析</w:t>
      </w:r>
    </w:p>
    <w:p w14:paraId="2155E71E">
      <w:pPr>
        <w:spacing w:line="360" w:lineRule="auto"/>
        <w:ind w:firstLine="480"/>
        <w:rPr>
          <w:rFonts w:hint="eastAsia" w:ascii="宋体" w:hAnsi="宋体" w:eastAsia="宋体"/>
          <w:b w:val="0"/>
          <w:sz w:val="24"/>
        </w:rPr>
      </w:pPr>
      <w:r>
        <w:rPr>
          <w:rFonts w:hint="eastAsia" w:ascii="宋体" w:hAnsi="宋体" w:eastAsia="宋体"/>
          <w:b w:val="0"/>
          <w:sz w:val="24"/>
        </w:rPr>
        <w:t>对已识别的越限台区进行持续跟踪分析，掌握电压越限的变化趋势和治理效果。跟踪内容包括：越限台区电压变化趋势分析，判断越限是否缓解或加重；治理措施执行情况跟踪，评估各项治理措施的实施效果；新增越限台区识别，及时发现新出现的电压越限问题；越限台区回弹分析，对已治理但电压再次越限的台区进行回弹原因分析。每月编制持续越限台区跟踪分析报告。</w:t>
      </w:r>
    </w:p>
    <w:p w14:paraId="6959413F">
      <w:pPr>
        <w:spacing w:line="360" w:lineRule="auto"/>
        <w:ind w:firstLine="480"/>
        <w:rPr>
          <w:rFonts w:hint="eastAsia" w:ascii="宋体" w:hAnsi="宋体" w:eastAsia="宋体"/>
          <w:b w:val="0"/>
          <w:sz w:val="24"/>
        </w:rPr>
      </w:pPr>
      <w:r>
        <w:rPr>
          <w:rFonts w:hint="eastAsia" w:ascii="宋体" w:hAnsi="宋体" w:eastAsia="宋体"/>
          <w:b w:val="0"/>
          <w:sz w:val="24"/>
        </w:rPr>
        <w:t>持续跟踪分析重点关注以下场景：季节性越限台区，如冬季电采暖负荷增加导致的低电压；迎峰度夏越限台区，如夏季空调负荷突增导致的电压下降；检修期间越限台区，如线路检修期间负荷转移导致的电压异常；新增负荷越限台区，如新接入大功率用户导致的电压下降。针对不同场景制定差异化的跟踪策略。</w:t>
      </w:r>
    </w:p>
    <w:p w14:paraId="6E9C831B">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2.5.8 疑难台区一台一案分析</w:t>
      </w:r>
    </w:p>
    <w:p w14:paraId="744B21CF">
      <w:pPr>
        <w:spacing w:line="360" w:lineRule="auto"/>
        <w:ind w:firstLine="480"/>
        <w:rPr>
          <w:rFonts w:hint="eastAsia" w:ascii="宋体" w:hAnsi="宋体" w:eastAsia="宋体"/>
          <w:b w:val="0"/>
          <w:sz w:val="24"/>
        </w:rPr>
      </w:pPr>
      <w:r>
        <w:rPr>
          <w:rFonts w:hint="eastAsia" w:ascii="宋体" w:hAnsi="宋体" w:eastAsia="宋体"/>
          <w:b w:val="0"/>
          <w:sz w:val="24"/>
        </w:rPr>
        <w:t>对常规分析无法明确原因或常规措施难以治理的疑难越限台区，开展深度分析，制定"一台一案"专项治理方案。分析内容包括：台区供电拓扑分析，梳理台区供电线路、供电半径、线径等参数；负荷特性深度分析，分析台区负荷构成、负荷变化规律、最大负荷及发生时间；电压沿线分布分析，计算供电线路上各节点的电压分布；综合原因分析，综合以上分析结果，精准定位电压异常根因；治理方案制定，根据原因分析结果，制定针对性的治理方案。</w:t>
      </w:r>
    </w:p>
    <w:p w14:paraId="0E739356">
      <w:pPr>
        <w:spacing w:line="360" w:lineRule="auto"/>
        <w:ind w:firstLine="480"/>
        <w:rPr>
          <w:rFonts w:hint="eastAsia" w:ascii="宋体" w:hAnsi="宋体" w:eastAsia="宋体"/>
          <w:b w:val="0"/>
          <w:sz w:val="24"/>
        </w:rPr>
      </w:pPr>
      <w:r>
        <w:rPr>
          <w:rFonts w:hint="eastAsia" w:ascii="宋体" w:hAnsi="宋体" w:eastAsia="宋体"/>
          <w:b w:val="0"/>
          <w:sz w:val="24"/>
        </w:rPr>
        <w:t>一台一案报告内容包括：台区基本情况、电压异常问题描述、原因分析过程和结论、治理方案（含短期措施和长期措施）、治理效果预期、投资估算建议等。一台一案分析需要组织专业技术人员会审，确保分析结论的准确性和治理方案的可行性。</w:t>
      </w:r>
    </w:p>
    <w:p w14:paraId="33135ED8">
      <w:pPr>
        <w:spacing w:line="360" w:lineRule="auto"/>
        <w:ind w:firstLine="480"/>
        <w:rPr>
          <w:rFonts w:hint="eastAsia" w:ascii="宋体" w:hAnsi="宋体" w:eastAsia="宋体"/>
          <w:b w:val="0"/>
          <w:sz w:val="24"/>
        </w:rPr>
      </w:pPr>
      <w:r>
        <w:rPr>
          <w:rFonts w:hint="eastAsia" w:ascii="宋体" w:hAnsi="宋体" w:eastAsia="宋体"/>
          <w:b w:val="0"/>
          <w:sz w:val="24"/>
        </w:rPr>
        <w:t>一台一案分析的深度要求：一是供电拓扑分析应包含完整的线路参数，包括导线型号、线路长度、分段信息、分支情况等；二是负荷分析应包含各类负荷的占比、典型日负荷曲线、最大负荷及发生时间等；三是电压分析应包含首端、中段、末端各关键节点的电压分布和变化规律；四是原因分析应排除其他可能性，给出明确的原因判断和支撑数据；五是治理方案应包含至少两个备选方案，并进行技术和经济性比选。</w:t>
      </w:r>
    </w:p>
    <w:p w14:paraId="2DBF1320">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2.5.9 配网调压需求分析</w:t>
      </w:r>
    </w:p>
    <w:p w14:paraId="251835F9">
      <w:pPr>
        <w:spacing w:line="360" w:lineRule="auto"/>
        <w:ind w:firstLine="480"/>
        <w:rPr>
          <w:rFonts w:hint="eastAsia" w:ascii="宋体" w:hAnsi="宋体" w:eastAsia="宋体"/>
          <w:b w:val="0"/>
          <w:sz w:val="24"/>
        </w:rPr>
      </w:pPr>
      <w:r>
        <w:rPr>
          <w:rFonts w:hint="eastAsia" w:ascii="宋体" w:hAnsi="宋体" w:eastAsia="宋体"/>
          <w:b w:val="0"/>
          <w:sz w:val="24"/>
        </w:rPr>
        <w:t>对配电网调压需求进行分析，为配电网调压设备配置和运行优化提供决策依据。分析内容包括：配变调压能力评估，评估现有配变的调压能力和调压裕度；调压设备配置需求分析，分析配变调压能力不足的台区，提出新增调压设备的需求建议；调压策略优化分析，优化配变调压策略，提高调压效率和精准度；配网调压效果评估，评估现有调压设备的运行效果。每半年编制配网调压需求分析报告。</w:t>
      </w:r>
    </w:p>
    <w:p w14:paraId="54A77B4C">
      <w:pPr>
        <w:spacing w:line="360" w:lineRule="auto"/>
        <w:ind w:firstLine="480"/>
        <w:rPr>
          <w:rFonts w:hint="eastAsia" w:ascii="宋体" w:hAnsi="宋体" w:eastAsia="宋体"/>
          <w:b w:val="0"/>
          <w:sz w:val="24"/>
        </w:rPr>
      </w:pPr>
      <w:r>
        <w:rPr>
          <w:rFonts w:hint="eastAsia" w:ascii="宋体" w:hAnsi="宋体" w:eastAsia="宋体"/>
          <w:b w:val="0"/>
          <w:sz w:val="24"/>
        </w:rPr>
        <w:t>配网调压需求分析的技术方法：一是调压能力评估法，根据配变额定电压、当前档位和调压范围，计算配变尚可提供的调压裕度，判断调压能力是否充足；二是调压效果预测法，通过潮流计算模拟调档后各节点的电压变化，预测调档效果；三是调压经济性分析法，对比调档、无功补偿、线路改造等不同调压措施的投资成本和效果，推荐最优调压方案；四是调压时序优化法，针对季节性负荷变化，制定不同季节的最优调档方案，实现全年电压质量最优。</w:t>
      </w:r>
    </w:p>
    <w:p w14:paraId="6A186F90">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2.5.10 95598电压质量工单跟踪分析</w:t>
      </w:r>
    </w:p>
    <w:p w14:paraId="00C36D96">
      <w:pPr>
        <w:spacing w:line="360" w:lineRule="auto"/>
        <w:ind w:firstLine="480"/>
        <w:rPr>
          <w:rFonts w:hint="eastAsia" w:ascii="宋体" w:hAnsi="宋体" w:eastAsia="宋体"/>
          <w:b w:val="0"/>
          <w:sz w:val="24"/>
        </w:rPr>
      </w:pPr>
      <w:r>
        <w:rPr>
          <w:rFonts w:hint="eastAsia" w:ascii="宋体" w:hAnsi="宋体" w:eastAsia="宋体"/>
          <w:b w:val="0"/>
          <w:sz w:val="24"/>
        </w:rPr>
        <w:t>对95598客服系统中涉及电压质量问题的工单进行跟踪分析，建立工单与电压异常的关联关系。分析内容包括：工单分类统计，按区域、按类型、按时间段对工单进行分类统计；工单关联分析，将工单与电压监测数据进行关联，判断工单反映的问题与实际电压异常的对应关系；工单处理效果跟踪，跟踪工单处理进度和结果，评估处理效果；工单趋势分析，分析工单数量和类型的变化趋势，为预防和预警提供依据。每月编制95598电压质量工单跟踪分析报告。</w:t>
      </w:r>
    </w:p>
    <w:p w14:paraId="32178729">
      <w:pPr>
        <w:spacing w:line="360" w:lineRule="auto"/>
        <w:ind w:firstLine="480"/>
        <w:rPr>
          <w:rFonts w:hint="eastAsia" w:ascii="宋体" w:hAnsi="宋体" w:eastAsia="宋体"/>
          <w:b w:val="0"/>
          <w:sz w:val="24"/>
        </w:rPr>
      </w:pPr>
      <w:r>
        <w:rPr>
          <w:rFonts w:hint="eastAsia" w:ascii="宋体" w:hAnsi="宋体" w:eastAsia="宋体"/>
          <w:b w:val="0"/>
          <w:sz w:val="24"/>
        </w:rPr>
        <w:t>工单跟踪分析重点实现三个目标：一是快速响应，对涉及电压质量的工单进行优先分析和处理；二是精准治理，将工单反映的问题与台区电压数据关联，精准定位问题原因；三是闭环管理，对已处理的工单进行回访和效果评估，形成闭环管控。</w:t>
      </w:r>
    </w:p>
    <w:p w14:paraId="7B0A922C">
      <w:pPr>
        <w:spacing w:line="360" w:lineRule="auto"/>
        <w:ind w:firstLine="480"/>
        <w:rPr>
          <w:rFonts w:hint="eastAsia" w:ascii="宋体" w:hAnsi="宋体" w:eastAsia="宋体"/>
          <w:b w:val="0"/>
          <w:sz w:val="24"/>
        </w:rPr>
      </w:pPr>
      <w:r>
        <w:rPr>
          <w:rFonts w:hint="eastAsia" w:ascii="宋体" w:hAnsi="宋体" w:eastAsia="宋体"/>
          <w:b w:val="0"/>
          <w:sz w:val="24"/>
        </w:rPr>
        <w:t>95598工单分析的技术方法：一是文本挖掘，对工单内容进行自然语言处理，自动提取关键词和问题类型；二是时空关联，将工单的发生时间和地点与电压监测数据的时空分布进行关联，验证工单反映的问题；三是情感分析，分析工单中用户的情绪和满意度，识别需优先处理的高风险工单；四是根因追溯，通过工单关联分析，追溯问题的根本原因，从源头上减少投诉。</w:t>
      </w:r>
    </w:p>
    <w:p w14:paraId="67C47B3C">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2.5.11 D类测点分析</w:t>
      </w:r>
    </w:p>
    <w:p w14:paraId="07AFDAD0">
      <w:pPr>
        <w:spacing w:line="360" w:lineRule="auto"/>
        <w:ind w:firstLine="480"/>
        <w:rPr>
          <w:rFonts w:hint="eastAsia" w:ascii="宋体" w:hAnsi="宋体" w:eastAsia="宋体"/>
          <w:b w:val="0"/>
          <w:sz w:val="24"/>
        </w:rPr>
      </w:pPr>
      <w:r>
        <w:rPr>
          <w:rFonts w:hint="eastAsia" w:ascii="宋体" w:hAnsi="宋体" w:eastAsia="宋体"/>
          <w:b w:val="0"/>
          <w:sz w:val="24"/>
        </w:rPr>
        <w:t>对D类电压监测点数据进行分析，评估D类监测点的数据质量和覆盖效果。分析内容包括：D类监测点覆盖率分析，统计各区域、各线路的D类监测点覆盖率，识别覆盖率不足的区域；D类监测点数据质量分析，评估数据的完整性、准确性和时效性，识别数据异常的监测点；D类监测点电压质量分析，基于D类监测点数据，分析各区域电压质量状况；D类监测点优化建议，基于分析结果，提出增设或调整监测点的建议。每季度编制D类测点分析报告。</w:t>
      </w:r>
    </w:p>
    <w:p w14:paraId="6A254B52">
      <w:pPr>
        <w:spacing w:line="360" w:lineRule="auto"/>
        <w:ind w:firstLine="480"/>
        <w:rPr>
          <w:rFonts w:hint="eastAsia" w:ascii="宋体" w:hAnsi="宋体" w:eastAsia="宋体"/>
          <w:b w:val="0"/>
          <w:sz w:val="24"/>
        </w:rPr>
      </w:pPr>
      <w:r>
        <w:rPr>
          <w:rFonts w:hint="eastAsia" w:ascii="宋体" w:hAnsi="宋体" w:eastAsia="宋体"/>
          <w:b w:val="0"/>
          <w:sz w:val="24"/>
        </w:rPr>
        <w:t>D类测点分析的重点方向：一是覆盖率提升路径规划，根据台区电压越限严重程度和用户投诉热点，优先在问题突出的区域增设D类监测点，逐步实现重点区域全覆盖；二是数据质量治理，对数据缺失严重的监测点，排查终端故障或通信问题，提高数据完整率；三是监测点布局优化，对于位置不合理的监测点，提出调整建议，确保监测点能够真实反映台区电压质量状况。</w:t>
      </w:r>
    </w:p>
    <w:p w14:paraId="3E6BB1FE">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2.5.12 半年度诊断分析报告编制</w:t>
      </w:r>
    </w:p>
    <w:p w14:paraId="2F2EA2B9">
      <w:pPr>
        <w:spacing w:line="360" w:lineRule="auto"/>
        <w:ind w:firstLine="480"/>
        <w:rPr>
          <w:rFonts w:hint="eastAsia" w:ascii="宋体" w:hAnsi="宋体" w:eastAsia="宋体"/>
          <w:b w:val="0"/>
          <w:sz w:val="24"/>
        </w:rPr>
      </w:pPr>
      <w:r>
        <w:rPr>
          <w:rFonts w:hint="eastAsia" w:ascii="宋体" w:hAnsi="宋体" w:eastAsia="宋体"/>
          <w:b w:val="0"/>
          <w:sz w:val="24"/>
        </w:rPr>
        <w:t>分别于合同签订后第6个月底和第12个月底编制半年度诊断分析报告。报告内容包括：上半年/下半年电压质量总体情况分析、越限台区统计和分布分析、主要电压异常类型及原因分析、已采取治理措施及效果评估、存在的主要问题和困难、下半年/下一年度工作重点和建议。报告应数据翔实、分析深入、建议可行，为供电公司电压质量管理决策提供有力支撑。</w:t>
      </w:r>
    </w:p>
    <w:p w14:paraId="0DCC4B2D">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2.5.13 年度诊断分析报告编制</w:t>
      </w:r>
    </w:p>
    <w:p w14:paraId="7CCD04C7">
      <w:pPr>
        <w:spacing w:line="360" w:lineRule="auto"/>
        <w:ind w:firstLine="480"/>
        <w:rPr>
          <w:rFonts w:hint="eastAsia" w:ascii="宋体" w:hAnsi="宋体" w:eastAsia="宋体"/>
          <w:b w:val="0"/>
          <w:sz w:val="24"/>
        </w:rPr>
      </w:pPr>
      <w:r>
        <w:rPr>
          <w:rFonts w:hint="eastAsia" w:ascii="宋体" w:hAnsi="宋体" w:eastAsia="宋体"/>
          <w:b w:val="0"/>
          <w:sz w:val="24"/>
        </w:rPr>
        <w:t>于2026年12月30日前编制年度诊断分析报告。报告内容包括：全年电压质量总体情况回顾、全年越限台区变化趋势分析、全年治理措施执行情况及效果评估、各区域电压质量对比分析、重点台区治理案例总结、存在问题和不足、下一年度工作计划和建议。年度报告应对全年工作进行全面总结，提炼经验做法，分析存在问题，为下一年度工作提供方向指引。</w:t>
      </w:r>
    </w:p>
    <w:p w14:paraId="768CB4B1">
      <w:pPr>
        <w:spacing w:line="360" w:lineRule="auto"/>
        <w:ind w:firstLine="480"/>
        <w:rPr>
          <w:rFonts w:hint="eastAsia" w:ascii="宋体" w:hAnsi="宋体" w:eastAsia="宋体"/>
          <w:b w:val="0"/>
          <w:sz w:val="24"/>
        </w:rPr>
      </w:pPr>
      <w:r>
        <w:rPr>
          <w:rFonts w:hint="eastAsia" w:ascii="宋体" w:hAnsi="宋体" w:eastAsia="宋体"/>
          <w:b w:val="0"/>
          <w:sz w:val="24"/>
        </w:rPr>
        <w:t>半年度和年度报告的质量要求：一是数据准确性，报告中引用的所有数据应经过交叉验证，确保数据来源可靠、计算准确；二是分析深度，不仅要做描述性统计，还要做深入的归因分析和趋势分析，给出有见地的判断和建议；三是可读性，报告结构清晰、逻辑严谨、图表规范、语言精炼，便于管理层快速掌握核心信息；四是可操作性，提出的建议应具体明确、可落地执行，避免空泛和笼统。</w:t>
      </w:r>
    </w:p>
    <w:p w14:paraId="74AF4264">
      <w:pPr>
        <w:pStyle w:val="4"/>
        <w:numPr>
          <w:ilvl w:val="3"/>
          <w:numId w:val="0"/>
        </w:numPr>
        <w:bidi w:val="0"/>
        <w:spacing w:line="360" w:lineRule="auto"/>
        <w:ind w:left="864" w:leftChars="0" w:hanging="864" w:firstLineChars="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2.5.14 迎峰度冬期间电压质量诊断分析报告编制</w:t>
      </w:r>
    </w:p>
    <w:p w14:paraId="5B0B7316">
      <w:pPr>
        <w:spacing w:line="360" w:lineRule="auto"/>
        <w:ind w:firstLine="480"/>
        <w:rPr>
          <w:rFonts w:hint="eastAsia" w:ascii="宋体" w:hAnsi="宋体" w:eastAsia="宋体"/>
          <w:b w:val="0"/>
          <w:sz w:val="24"/>
        </w:rPr>
      </w:pPr>
      <w:r>
        <w:rPr>
          <w:rFonts w:hint="eastAsia" w:ascii="宋体" w:hAnsi="宋体" w:eastAsia="宋体"/>
          <w:b w:val="0"/>
          <w:sz w:val="24"/>
        </w:rPr>
        <w:t>于2026年迎峰度冬前编制电压质量预测分析报告，迎峰度冬结束后编制实际分析报告。预测分析报告内容包括：冬季负荷预测、重点保障台区识别、保障措施建议、应急预案建议。实际分析报告内容包括：迎峰度冬期间电压质量实际情况、与预测的偏差分析、保障措施执行效果评估、经验总结和改进建议。如服务期内跨越冬季，此报告为项目重点报告之一，需要高度重视、精心编制。</w:t>
      </w:r>
    </w:p>
    <w:p w14:paraId="710E7350">
      <w:pPr>
        <w:spacing w:line="360" w:lineRule="auto"/>
        <w:ind w:firstLine="480"/>
        <w:rPr>
          <w:rFonts w:hint="eastAsia" w:ascii="宋体" w:hAnsi="宋体" w:eastAsia="宋体"/>
          <w:b w:val="0"/>
          <w:sz w:val="24"/>
        </w:rPr>
      </w:pPr>
      <w:r>
        <w:rPr>
          <w:rFonts w:hint="eastAsia" w:ascii="宋体" w:hAnsi="宋体" w:eastAsia="宋体"/>
          <w:b w:val="0"/>
          <w:sz w:val="24"/>
        </w:rPr>
        <w:t>迎峰度冬电压质量保障的特殊性：乌鲁木齐地区冬季电采暖负荷持续高位运行，台区负荷可能达到平时2-3倍，电压质量保障压力极大。因此，迎峰度冬保障工作需要提前启动，包括：历史冬季负荷和电压数据分析、重点保障台区梳理、配变调档预安排、无功补偿装置检修等。保障期间安排专人值班，实时监测电压质量数据，发现问题及时处理。</w:t>
      </w:r>
    </w:p>
    <w:p w14:paraId="0EC5F4E8">
      <w:pPr>
        <w:spacing w:line="360" w:lineRule="auto"/>
        <w:ind w:firstLine="480"/>
        <w:rPr>
          <w:rFonts w:hint="eastAsia" w:ascii="宋体" w:hAnsi="宋体" w:eastAsia="宋体"/>
          <w:b w:val="0"/>
          <w:sz w:val="24"/>
          <w:lang w:eastAsia="zh-CN"/>
        </w:rPr>
      </w:pPr>
      <w:r>
        <w:rPr>
          <w:rFonts w:hint="eastAsia" w:ascii="宋体" w:hAnsi="宋体" w:eastAsia="宋体"/>
          <w:b w:val="0"/>
          <w:sz w:val="24"/>
        </w:rPr>
        <w:t>半年度报告和年度报告的编制流程：一是数据准备阶段，收集整理报告期内的全部数据和分析成果，确保数据完整准确；二是分析总结阶段，对报告期内的电压质量状况、治理措施效果、存在问题等进行系统梳理和深入分析；三是报告编写阶段，按照规范的报告模板进行编写，确保结构清晰、逻辑严谨、数据翔实；四是内部审核阶段，报告初稿完成后，经编制人自审、技术负责人复审、项目经理终审三道审核；五是征求意见阶段，将审核后的报告提交供电公司征求意见，根据反馈意见进行修改完善；六是正式交付阶段，最终定稿后正式提交供电公司</w:t>
      </w:r>
      <w:r>
        <w:rPr>
          <w:rFonts w:hint="eastAsia" w:ascii="宋体" w:hAnsi="宋体" w:eastAsia="宋体"/>
          <w:b w:val="0"/>
          <w:sz w:val="24"/>
          <w:lang w:eastAsia="zh-CN"/>
        </w:rPr>
        <w:t>。</w:t>
      </w:r>
    </w:p>
    <w:p w14:paraId="37E73E14">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本项目服务内容总览如下表所示：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34"/>
        <w:gridCol w:w="2128"/>
        <w:gridCol w:w="2132"/>
      </w:tblGrid>
      <w:tr w14:paraId="2EFE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F2D3FB2">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60" w:type="dxa"/>
          </w:tcPr>
          <w:p w14:paraId="28351C49">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服务内容</w:t>
            </w:r>
          </w:p>
        </w:tc>
        <w:tc>
          <w:tcPr>
            <w:tcW w:w="2160" w:type="dxa"/>
          </w:tcPr>
          <w:p w14:paraId="04C3139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工作频次</w:t>
            </w:r>
          </w:p>
        </w:tc>
        <w:tc>
          <w:tcPr>
            <w:tcW w:w="2160" w:type="dxa"/>
          </w:tcPr>
          <w:p w14:paraId="6F73D1FC">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交付物</w:t>
            </w:r>
          </w:p>
        </w:tc>
      </w:tr>
      <w:tr w14:paraId="71BF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D82D4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160" w:type="dxa"/>
          </w:tcPr>
          <w:p w14:paraId="3163575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单向越限台区调档管控</w:t>
            </w:r>
          </w:p>
        </w:tc>
        <w:tc>
          <w:tcPr>
            <w:tcW w:w="2160" w:type="dxa"/>
          </w:tcPr>
          <w:p w14:paraId="4DCF077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c>
          <w:tcPr>
            <w:tcW w:w="2160" w:type="dxa"/>
          </w:tcPr>
          <w:p w14:paraId="217835B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调档管控月报</w:t>
            </w:r>
          </w:p>
        </w:tc>
      </w:tr>
      <w:tr w14:paraId="40BA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A1D93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160" w:type="dxa"/>
          </w:tcPr>
          <w:p w14:paraId="00C4CDE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配变档位台账管理</w:t>
            </w:r>
          </w:p>
        </w:tc>
        <w:tc>
          <w:tcPr>
            <w:tcW w:w="2160" w:type="dxa"/>
          </w:tcPr>
          <w:p w14:paraId="1E78A71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持续更新</w:t>
            </w:r>
          </w:p>
        </w:tc>
        <w:tc>
          <w:tcPr>
            <w:tcW w:w="2160" w:type="dxa"/>
          </w:tcPr>
          <w:p w14:paraId="61DFA1D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档位台账及更新记录</w:t>
            </w:r>
          </w:p>
        </w:tc>
      </w:tr>
      <w:tr w14:paraId="4B14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33168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160" w:type="dxa"/>
          </w:tcPr>
          <w:p w14:paraId="150A9E0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配变档位状态核查</w:t>
            </w:r>
          </w:p>
        </w:tc>
        <w:tc>
          <w:tcPr>
            <w:tcW w:w="2160" w:type="dxa"/>
          </w:tcPr>
          <w:p w14:paraId="1BA5D1A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季度</w:t>
            </w:r>
          </w:p>
        </w:tc>
        <w:tc>
          <w:tcPr>
            <w:tcW w:w="2160" w:type="dxa"/>
          </w:tcPr>
          <w:p w14:paraId="4C5A2A1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档位状态核查报告</w:t>
            </w:r>
          </w:p>
        </w:tc>
      </w:tr>
      <w:tr w14:paraId="4501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54E07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160" w:type="dxa"/>
          </w:tcPr>
          <w:p w14:paraId="6B40C7C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电压异常分析</w:t>
            </w:r>
          </w:p>
        </w:tc>
        <w:tc>
          <w:tcPr>
            <w:tcW w:w="2160" w:type="dxa"/>
          </w:tcPr>
          <w:p w14:paraId="2AFBA5D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c>
          <w:tcPr>
            <w:tcW w:w="2160" w:type="dxa"/>
          </w:tcPr>
          <w:p w14:paraId="644E941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电压异常分析月报</w:t>
            </w:r>
          </w:p>
        </w:tc>
      </w:tr>
      <w:tr w14:paraId="5E6B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C27F0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160" w:type="dxa"/>
          </w:tcPr>
          <w:p w14:paraId="6E03CD7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电压不平衡分析</w:t>
            </w:r>
          </w:p>
        </w:tc>
        <w:tc>
          <w:tcPr>
            <w:tcW w:w="2160" w:type="dxa"/>
          </w:tcPr>
          <w:p w14:paraId="732D54E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c>
          <w:tcPr>
            <w:tcW w:w="2160" w:type="dxa"/>
          </w:tcPr>
          <w:p w14:paraId="0DC2B56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电压不平衡分析月报</w:t>
            </w:r>
          </w:p>
        </w:tc>
      </w:tr>
      <w:tr w14:paraId="5FB5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0F9697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2160" w:type="dxa"/>
          </w:tcPr>
          <w:p w14:paraId="56E35FB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无功不足校核</w:t>
            </w:r>
          </w:p>
        </w:tc>
        <w:tc>
          <w:tcPr>
            <w:tcW w:w="2160" w:type="dxa"/>
          </w:tcPr>
          <w:p w14:paraId="19E0717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季度</w:t>
            </w:r>
          </w:p>
        </w:tc>
        <w:tc>
          <w:tcPr>
            <w:tcW w:w="2160" w:type="dxa"/>
          </w:tcPr>
          <w:p w14:paraId="02BA97D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无功不足校核报告</w:t>
            </w:r>
          </w:p>
        </w:tc>
      </w:tr>
      <w:tr w14:paraId="25F8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A63F5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7</w:t>
            </w:r>
          </w:p>
        </w:tc>
        <w:tc>
          <w:tcPr>
            <w:tcW w:w="2160" w:type="dxa"/>
          </w:tcPr>
          <w:p w14:paraId="61B1AB7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持续越限台区跟踪分析</w:t>
            </w:r>
          </w:p>
        </w:tc>
        <w:tc>
          <w:tcPr>
            <w:tcW w:w="2160" w:type="dxa"/>
          </w:tcPr>
          <w:p w14:paraId="3F1644E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c>
          <w:tcPr>
            <w:tcW w:w="2160" w:type="dxa"/>
          </w:tcPr>
          <w:p w14:paraId="329A2BC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持续越限跟踪月报</w:t>
            </w:r>
          </w:p>
        </w:tc>
      </w:tr>
      <w:tr w14:paraId="2D10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DD1F7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8</w:t>
            </w:r>
          </w:p>
        </w:tc>
        <w:tc>
          <w:tcPr>
            <w:tcW w:w="2160" w:type="dxa"/>
          </w:tcPr>
          <w:p w14:paraId="022F830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疑难台区一台一案分析</w:t>
            </w:r>
          </w:p>
        </w:tc>
        <w:tc>
          <w:tcPr>
            <w:tcW w:w="2160" w:type="dxa"/>
          </w:tcPr>
          <w:p w14:paraId="6F50DA0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按需</w:t>
            </w:r>
          </w:p>
        </w:tc>
        <w:tc>
          <w:tcPr>
            <w:tcW w:w="2160" w:type="dxa"/>
          </w:tcPr>
          <w:p w14:paraId="5356CD6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一台一案分析报告</w:t>
            </w:r>
          </w:p>
        </w:tc>
      </w:tr>
      <w:tr w14:paraId="373A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8BE3B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9</w:t>
            </w:r>
          </w:p>
        </w:tc>
        <w:tc>
          <w:tcPr>
            <w:tcW w:w="2160" w:type="dxa"/>
          </w:tcPr>
          <w:p w14:paraId="572D4AC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配网调压需求分析</w:t>
            </w:r>
          </w:p>
        </w:tc>
        <w:tc>
          <w:tcPr>
            <w:tcW w:w="2160" w:type="dxa"/>
          </w:tcPr>
          <w:p w14:paraId="1031745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半年度</w:t>
            </w:r>
          </w:p>
        </w:tc>
        <w:tc>
          <w:tcPr>
            <w:tcW w:w="2160" w:type="dxa"/>
          </w:tcPr>
          <w:p w14:paraId="3E35041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调压需求分析报告</w:t>
            </w:r>
          </w:p>
        </w:tc>
      </w:tr>
      <w:tr w14:paraId="6064A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330BF1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10</w:t>
            </w:r>
          </w:p>
        </w:tc>
        <w:tc>
          <w:tcPr>
            <w:tcW w:w="2160" w:type="dxa"/>
          </w:tcPr>
          <w:p w14:paraId="79A5CCF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95598工单跟踪分析</w:t>
            </w:r>
          </w:p>
        </w:tc>
        <w:tc>
          <w:tcPr>
            <w:tcW w:w="2160" w:type="dxa"/>
          </w:tcPr>
          <w:p w14:paraId="1298EA4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月度</w:t>
            </w:r>
          </w:p>
        </w:tc>
        <w:tc>
          <w:tcPr>
            <w:tcW w:w="2160" w:type="dxa"/>
          </w:tcPr>
          <w:p w14:paraId="6C75ECC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工单跟踪分析月报</w:t>
            </w:r>
          </w:p>
        </w:tc>
      </w:tr>
      <w:tr w14:paraId="395C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53E22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11</w:t>
            </w:r>
          </w:p>
        </w:tc>
        <w:tc>
          <w:tcPr>
            <w:tcW w:w="2160" w:type="dxa"/>
          </w:tcPr>
          <w:p w14:paraId="16B5BD8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D类测点分析</w:t>
            </w:r>
          </w:p>
        </w:tc>
        <w:tc>
          <w:tcPr>
            <w:tcW w:w="2160" w:type="dxa"/>
          </w:tcPr>
          <w:p w14:paraId="0A26D6E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季度</w:t>
            </w:r>
          </w:p>
        </w:tc>
        <w:tc>
          <w:tcPr>
            <w:tcW w:w="2160" w:type="dxa"/>
          </w:tcPr>
          <w:p w14:paraId="0DA3A0A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D类测点分析报告</w:t>
            </w:r>
          </w:p>
        </w:tc>
      </w:tr>
      <w:tr w14:paraId="3518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7C47B9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12</w:t>
            </w:r>
          </w:p>
        </w:tc>
        <w:tc>
          <w:tcPr>
            <w:tcW w:w="2160" w:type="dxa"/>
          </w:tcPr>
          <w:p w14:paraId="5DC6060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半年度诊断分析报告</w:t>
            </w:r>
          </w:p>
        </w:tc>
        <w:tc>
          <w:tcPr>
            <w:tcW w:w="2160" w:type="dxa"/>
          </w:tcPr>
          <w:p w14:paraId="3110743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半年度</w:t>
            </w:r>
          </w:p>
        </w:tc>
        <w:tc>
          <w:tcPr>
            <w:tcW w:w="2160" w:type="dxa"/>
          </w:tcPr>
          <w:p w14:paraId="4EC4B38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半年度诊断分析报告</w:t>
            </w:r>
          </w:p>
        </w:tc>
      </w:tr>
      <w:tr w14:paraId="0E11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F94B61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13</w:t>
            </w:r>
          </w:p>
        </w:tc>
        <w:tc>
          <w:tcPr>
            <w:tcW w:w="2160" w:type="dxa"/>
          </w:tcPr>
          <w:p w14:paraId="78F65E8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年度诊断分析报告</w:t>
            </w:r>
          </w:p>
        </w:tc>
        <w:tc>
          <w:tcPr>
            <w:tcW w:w="2160" w:type="dxa"/>
          </w:tcPr>
          <w:p w14:paraId="5BF3339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w:t>
            </w:r>
          </w:p>
        </w:tc>
        <w:tc>
          <w:tcPr>
            <w:tcW w:w="2160" w:type="dxa"/>
          </w:tcPr>
          <w:p w14:paraId="1B5892C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年度诊断分析报告</w:t>
            </w:r>
          </w:p>
        </w:tc>
      </w:tr>
      <w:tr w14:paraId="535C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C3B135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14</w:t>
            </w:r>
          </w:p>
        </w:tc>
        <w:tc>
          <w:tcPr>
            <w:tcW w:w="2160" w:type="dxa"/>
          </w:tcPr>
          <w:p w14:paraId="0BCB9FA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迎峰度冬期间诊断分析报告</w:t>
            </w:r>
          </w:p>
        </w:tc>
        <w:tc>
          <w:tcPr>
            <w:tcW w:w="2160" w:type="dxa"/>
          </w:tcPr>
          <w:p w14:paraId="187BB4E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按需</w:t>
            </w:r>
          </w:p>
        </w:tc>
        <w:tc>
          <w:tcPr>
            <w:tcW w:w="2160" w:type="dxa"/>
          </w:tcPr>
          <w:p w14:paraId="137C80F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迎峰度冬诊断分析报告</w:t>
            </w:r>
            <w:r>
              <w:rPr>
                <w:rFonts w:hint="eastAsia" w:ascii="宋体" w:hAnsi="宋体" w:eastAsia="宋体" w:cs="宋体"/>
                <w:sz w:val="24"/>
                <w:szCs w:val="24"/>
              </w:rPr>
              <w:br w:type="textWrapping"/>
            </w:r>
            <w:r>
              <w:rPr>
                <w:rFonts w:hint="eastAsia" w:ascii="宋体" w:hAnsi="宋体" w:eastAsia="宋体" w:cs="宋体"/>
                <w:sz w:val="24"/>
                <w:szCs w:val="24"/>
              </w:rPr>
              <w:t>（如服务期内跨越冬季）</w:t>
            </w:r>
          </w:p>
        </w:tc>
      </w:tr>
    </w:tbl>
    <w:p w14:paraId="0A381899">
      <w:pPr>
        <w:spacing w:line="360" w:lineRule="auto"/>
        <w:ind w:firstLine="480"/>
        <w:rPr>
          <w:rFonts w:ascii="宋体" w:hAnsi="宋体" w:eastAsia="宋体"/>
          <w:b w:val="0"/>
          <w:sz w:val="24"/>
        </w:rPr>
      </w:pPr>
    </w:p>
    <w:p w14:paraId="251B76F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24957790">
      <w:pPr>
        <w:pStyle w:val="4"/>
        <w:numPr>
          <w:ilvl w:val="3"/>
          <w:numId w:val="0"/>
        </w:numPr>
        <w:bidi w:val="0"/>
        <w:spacing w:line="360" w:lineRule="auto"/>
        <w:ind w:left="864" w:leftChars="0" w:hanging="864" w:firstLineChars="0"/>
        <w:rPr>
          <w:rFonts w:hint="eastAsia" w:ascii="宋体" w:hAnsi="宋体" w:eastAsia="宋体" w:cs="宋体"/>
          <w:b w:val="0"/>
          <w:bCs/>
          <w:sz w:val="24"/>
          <w:szCs w:val="24"/>
          <w:lang w:val="en-US" w:eastAsia="zh-CN"/>
        </w:rPr>
      </w:pPr>
      <w:bookmarkStart w:id="8" w:name="_Toc3501"/>
      <w:bookmarkStart w:id="9" w:name="_Toc31769"/>
      <w:bookmarkStart w:id="10" w:name="_Toc27283"/>
      <w:r>
        <w:rPr>
          <w:rFonts w:hint="eastAsia" w:ascii="宋体" w:hAnsi="宋体" w:eastAsia="宋体" w:cs="宋体"/>
          <w:b w:val="0"/>
          <w:bCs/>
          <w:sz w:val="24"/>
          <w:szCs w:val="24"/>
          <w:lang w:val="en-US" w:eastAsia="zh-CN"/>
        </w:rPr>
        <w:t>2.6.1 项目组织架构</w:t>
      </w:r>
    </w:p>
    <w:p w14:paraId="18A071C7">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为确保项目顺利实施，我方将组建专业项目团队，设置项目经理1名、技术负责人1名、数据分析工程师3名、配电网分析工程师2名、报告编制工程师1名，共计8人。项目经理全面负责项目的组织管理和协调沟通；技术负责人负责技术方案制定和技术质量把控；数据分析工程师负责数据采集、清洗和分析工作；配电网分析工程师负责电压异常分析、治理方案制定等专业工作；报告编制工程师负责各类报告的编制和交付。</w:t>
      </w:r>
    </w:p>
    <w:p w14:paraId="2F187E96">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项目团队管理制度：一是每周例会制度，每周一上午召开项目例会，通报上周工作完成情况、安排本周工作计划、讨论解决存在的问题；二是月度汇报制度，每月最后一个工作日向供电公司项目主管部门汇报当月工作完成情况和下月工作计划；三是季度评审制度，每季度组织项目评审会，全面评估项目进展、质量和效果，及时调整工作方案；四是文档管理制度，项目全过程文档分类管理、版本控制、权限管理，确保项目资料的完整性和可追溯性；五是培训制度，每月组织一次技术培训，持续提升团队专业能力。</w:t>
      </w:r>
    </w:p>
    <w:p w14:paraId="2D3347CC">
      <w:pPr>
        <w:pStyle w:val="4"/>
        <w:numPr>
          <w:ilvl w:val="3"/>
          <w:numId w:val="0"/>
        </w:numPr>
        <w:bidi w:val="0"/>
        <w:spacing w:line="360" w:lineRule="auto"/>
        <w:ind w:left="864" w:leftChars="0" w:hanging="864"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2.6.2 项目实施进度计划</w:t>
      </w:r>
    </w:p>
    <w:p w14:paraId="1322DD8C">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本项目服务期限为合同签订日起至2026年12月30日，实施周期自合同签订之日起约7个月，分为四个阶段推进。由于服务期内时间较为紧凑，我方将采取"前置准备、并行推进、重点突破"的策略，确保在有限时间内高质量完成全部服务内容。</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30"/>
        <w:gridCol w:w="2138"/>
        <w:gridCol w:w="2128"/>
      </w:tblGrid>
      <w:tr w14:paraId="5369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7C4055">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阶段</w:t>
            </w:r>
          </w:p>
        </w:tc>
        <w:tc>
          <w:tcPr>
            <w:tcW w:w="2160" w:type="dxa"/>
          </w:tcPr>
          <w:p w14:paraId="473A3660">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时间</w:t>
            </w:r>
          </w:p>
        </w:tc>
        <w:tc>
          <w:tcPr>
            <w:tcW w:w="2160" w:type="dxa"/>
          </w:tcPr>
          <w:p w14:paraId="7035FDD1">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主要工作内容</w:t>
            </w:r>
          </w:p>
        </w:tc>
        <w:tc>
          <w:tcPr>
            <w:tcW w:w="2160" w:type="dxa"/>
          </w:tcPr>
          <w:p w14:paraId="665CFCE7">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阶段成果</w:t>
            </w:r>
          </w:p>
        </w:tc>
      </w:tr>
      <w:tr w14:paraId="0224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3B340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第一阶段</w:t>
            </w:r>
            <w:r>
              <w:rPr>
                <w:rFonts w:hint="eastAsia" w:ascii="宋体" w:hAnsi="宋体" w:eastAsia="宋体" w:cs="宋体"/>
                <w:sz w:val="24"/>
                <w:szCs w:val="24"/>
              </w:rPr>
              <w:br w:type="textWrapping"/>
            </w:r>
            <w:r>
              <w:rPr>
                <w:rFonts w:hint="eastAsia" w:ascii="宋体" w:hAnsi="宋体" w:eastAsia="宋体" w:cs="宋体"/>
                <w:sz w:val="24"/>
                <w:szCs w:val="24"/>
              </w:rPr>
              <w:t>启动准备</w:t>
            </w:r>
          </w:p>
        </w:tc>
        <w:tc>
          <w:tcPr>
            <w:tcW w:w="2160" w:type="dxa"/>
          </w:tcPr>
          <w:p w14:paraId="0DE7EF8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合同签订日-</w:t>
            </w:r>
            <w:r>
              <w:rPr>
                <w:rFonts w:hint="eastAsia" w:ascii="宋体" w:hAnsi="宋体" w:eastAsia="宋体" w:cs="宋体"/>
                <w:sz w:val="24"/>
                <w:szCs w:val="24"/>
              </w:rPr>
              <w:br w:type="textWrapping"/>
            </w:r>
            <w:r>
              <w:rPr>
                <w:rFonts w:hint="eastAsia" w:ascii="宋体" w:hAnsi="宋体" w:eastAsia="宋体" w:cs="宋体"/>
                <w:sz w:val="24"/>
                <w:szCs w:val="24"/>
              </w:rPr>
              <w:t>第1个月</w:t>
            </w:r>
          </w:p>
        </w:tc>
        <w:tc>
          <w:tcPr>
            <w:tcW w:w="2160" w:type="dxa"/>
          </w:tcPr>
          <w:p w14:paraId="0B1144D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1.项目启动会、工作对接</w:t>
            </w:r>
            <w:r>
              <w:rPr>
                <w:rFonts w:hint="eastAsia" w:ascii="宋体" w:hAnsi="宋体" w:eastAsia="宋体" w:cs="宋体"/>
                <w:sz w:val="24"/>
                <w:szCs w:val="24"/>
              </w:rPr>
              <w:br w:type="textWrapping"/>
            </w:r>
            <w:r>
              <w:rPr>
                <w:rFonts w:hint="eastAsia" w:ascii="宋体" w:hAnsi="宋体" w:eastAsia="宋体" w:cs="宋体"/>
                <w:sz w:val="24"/>
                <w:szCs w:val="24"/>
              </w:rPr>
              <w:t>2.数据源梳理与接入</w:t>
            </w:r>
            <w:r>
              <w:rPr>
                <w:rFonts w:hint="eastAsia" w:ascii="宋体" w:hAnsi="宋体" w:eastAsia="宋体" w:cs="宋体"/>
                <w:sz w:val="24"/>
                <w:szCs w:val="24"/>
              </w:rPr>
              <w:br w:type="textWrapping"/>
            </w:r>
            <w:r>
              <w:rPr>
                <w:rFonts w:hint="eastAsia" w:ascii="宋体" w:hAnsi="宋体" w:eastAsia="宋体" w:cs="宋体"/>
                <w:sz w:val="24"/>
                <w:szCs w:val="24"/>
              </w:rPr>
              <w:t>3.数据质量评估与清洗</w:t>
            </w:r>
            <w:r>
              <w:rPr>
                <w:rFonts w:hint="eastAsia" w:ascii="宋体" w:hAnsi="宋体" w:eastAsia="宋体" w:cs="宋体"/>
                <w:sz w:val="24"/>
                <w:szCs w:val="24"/>
              </w:rPr>
              <w:br w:type="textWrapping"/>
            </w:r>
            <w:r>
              <w:rPr>
                <w:rFonts w:hint="eastAsia" w:ascii="宋体" w:hAnsi="宋体" w:eastAsia="宋体" w:cs="宋体"/>
                <w:sz w:val="24"/>
                <w:szCs w:val="24"/>
              </w:rPr>
              <w:t>4.配变档位台账梳理</w:t>
            </w:r>
          </w:p>
        </w:tc>
        <w:tc>
          <w:tcPr>
            <w:tcW w:w="2160" w:type="dxa"/>
          </w:tcPr>
          <w:p w14:paraId="2006A99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1.项目实施方案</w:t>
            </w:r>
            <w:r>
              <w:rPr>
                <w:rFonts w:hint="eastAsia" w:ascii="宋体" w:hAnsi="宋体" w:eastAsia="宋体" w:cs="宋体"/>
                <w:sz w:val="24"/>
                <w:szCs w:val="24"/>
              </w:rPr>
              <w:br w:type="textWrapping"/>
            </w:r>
            <w:r>
              <w:rPr>
                <w:rFonts w:hint="eastAsia" w:ascii="宋体" w:hAnsi="宋体" w:eastAsia="宋体" w:cs="宋体"/>
                <w:sz w:val="24"/>
                <w:szCs w:val="24"/>
              </w:rPr>
              <w:t>2.数据接入规范</w:t>
            </w:r>
            <w:r>
              <w:rPr>
                <w:rFonts w:hint="eastAsia" w:ascii="宋体" w:hAnsi="宋体" w:eastAsia="宋体" w:cs="宋体"/>
                <w:sz w:val="24"/>
                <w:szCs w:val="24"/>
              </w:rPr>
              <w:br w:type="textWrapping"/>
            </w:r>
            <w:r>
              <w:rPr>
                <w:rFonts w:hint="eastAsia" w:ascii="宋体" w:hAnsi="宋体" w:eastAsia="宋体" w:cs="宋体"/>
                <w:sz w:val="24"/>
                <w:szCs w:val="24"/>
              </w:rPr>
              <w:t>3.档位台账初版</w:t>
            </w:r>
          </w:p>
        </w:tc>
      </w:tr>
      <w:tr w14:paraId="48F5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3A1C6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第二阶段</w:t>
            </w:r>
            <w:r>
              <w:rPr>
                <w:rFonts w:hint="eastAsia" w:ascii="宋体" w:hAnsi="宋体" w:eastAsia="宋体" w:cs="宋体"/>
                <w:sz w:val="24"/>
                <w:szCs w:val="24"/>
              </w:rPr>
              <w:br w:type="textWrapping"/>
            </w:r>
            <w:r>
              <w:rPr>
                <w:rFonts w:hint="eastAsia" w:ascii="宋体" w:hAnsi="宋体" w:eastAsia="宋体" w:cs="宋体"/>
                <w:sz w:val="24"/>
                <w:szCs w:val="24"/>
              </w:rPr>
              <w:t>全面分析</w:t>
            </w:r>
          </w:p>
        </w:tc>
        <w:tc>
          <w:tcPr>
            <w:tcW w:w="2160" w:type="dxa"/>
          </w:tcPr>
          <w:p w14:paraId="512A68F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第2个月-</w:t>
            </w:r>
            <w:r>
              <w:rPr>
                <w:rFonts w:hint="eastAsia" w:ascii="宋体" w:hAnsi="宋体" w:eastAsia="宋体" w:cs="宋体"/>
                <w:sz w:val="24"/>
                <w:szCs w:val="24"/>
              </w:rPr>
              <w:br w:type="textWrapping"/>
            </w:r>
            <w:r>
              <w:rPr>
                <w:rFonts w:hint="eastAsia" w:ascii="宋体" w:hAnsi="宋体" w:eastAsia="宋体" w:cs="宋体"/>
                <w:sz w:val="24"/>
                <w:szCs w:val="24"/>
              </w:rPr>
              <w:t>第3个月</w:t>
            </w:r>
          </w:p>
        </w:tc>
        <w:tc>
          <w:tcPr>
            <w:tcW w:w="2160" w:type="dxa"/>
          </w:tcPr>
          <w:p w14:paraId="37F28E2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1.全面电压质量数据分析</w:t>
            </w:r>
            <w:r>
              <w:rPr>
                <w:rFonts w:hint="eastAsia" w:ascii="宋体" w:hAnsi="宋体" w:eastAsia="宋体" w:cs="宋体"/>
                <w:sz w:val="24"/>
                <w:szCs w:val="24"/>
              </w:rPr>
              <w:br w:type="textWrapping"/>
            </w:r>
            <w:r>
              <w:rPr>
                <w:rFonts w:hint="eastAsia" w:ascii="宋体" w:hAnsi="宋体" w:eastAsia="宋体" w:cs="宋体"/>
                <w:sz w:val="24"/>
                <w:szCs w:val="24"/>
              </w:rPr>
              <w:t>2.越限台区原因诊断</w:t>
            </w:r>
            <w:r>
              <w:rPr>
                <w:rFonts w:hint="eastAsia" w:ascii="宋体" w:hAnsi="宋体" w:eastAsia="宋体" w:cs="宋体"/>
                <w:sz w:val="24"/>
                <w:szCs w:val="24"/>
              </w:rPr>
              <w:br w:type="textWrapping"/>
            </w:r>
            <w:r>
              <w:rPr>
                <w:rFonts w:hint="eastAsia" w:ascii="宋体" w:hAnsi="宋体" w:eastAsia="宋体" w:cs="宋体"/>
                <w:sz w:val="24"/>
                <w:szCs w:val="24"/>
              </w:rPr>
              <w:t>3.配变档位核查与调档管控</w:t>
            </w:r>
            <w:r>
              <w:rPr>
                <w:rFonts w:hint="eastAsia" w:ascii="宋体" w:hAnsi="宋体" w:eastAsia="宋体" w:cs="宋体"/>
                <w:sz w:val="24"/>
                <w:szCs w:val="24"/>
              </w:rPr>
              <w:br w:type="textWrapping"/>
            </w:r>
            <w:r>
              <w:rPr>
                <w:rFonts w:hint="eastAsia" w:ascii="宋体" w:hAnsi="宋体" w:eastAsia="宋体" w:cs="宋体"/>
                <w:sz w:val="24"/>
                <w:szCs w:val="24"/>
              </w:rPr>
              <w:t>4.电压不平衡分析</w:t>
            </w:r>
            <w:r>
              <w:rPr>
                <w:rFonts w:hint="eastAsia" w:ascii="宋体" w:hAnsi="宋体" w:eastAsia="宋体" w:cs="宋体"/>
                <w:sz w:val="24"/>
                <w:szCs w:val="24"/>
              </w:rPr>
              <w:br w:type="textWrapping"/>
            </w:r>
            <w:r>
              <w:rPr>
                <w:rFonts w:hint="eastAsia" w:ascii="宋体" w:hAnsi="宋体" w:eastAsia="宋体" w:cs="宋体"/>
                <w:sz w:val="24"/>
                <w:szCs w:val="24"/>
              </w:rPr>
              <w:t>5.95598工单关联分析</w:t>
            </w:r>
          </w:p>
        </w:tc>
        <w:tc>
          <w:tcPr>
            <w:tcW w:w="2160" w:type="dxa"/>
          </w:tcPr>
          <w:p w14:paraId="4A2279B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1.电压异常分析月报</w:t>
            </w:r>
            <w:r>
              <w:rPr>
                <w:rFonts w:hint="eastAsia" w:ascii="宋体" w:hAnsi="宋体" w:eastAsia="宋体" w:cs="宋体"/>
                <w:sz w:val="24"/>
                <w:szCs w:val="24"/>
              </w:rPr>
              <w:br w:type="textWrapping"/>
            </w:r>
            <w:r>
              <w:rPr>
                <w:rFonts w:hint="eastAsia" w:ascii="宋体" w:hAnsi="宋体" w:eastAsia="宋体" w:cs="宋体"/>
                <w:sz w:val="24"/>
                <w:szCs w:val="24"/>
              </w:rPr>
              <w:t>2.调档管控月报</w:t>
            </w:r>
            <w:r>
              <w:rPr>
                <w:rFonts w:hint="eastAsia" w:ascii="宋体" w:hAnsi="宋体" w:eastAsia="宋体" w:cs="宋体"/>
                <w:sz w:val="24"/>
                <w:szCs w:val="24"/>
              </w:rPr>
              <w:br w:type="textWrapping"/>
            </w:r>
            <w:r>
              <w:rPr>
                <w:rFonts w:hint="eastAsia" w:ascii="宋体" w:hAnsi="宋体" w:eastAsia="宋体" w:cs="宋体"/>
                <w:sz w:val="24"/>
                <w:szCs w:val="24"/>
              </w:rPr>
              <w:t>3.档位状态核查报告</w:t>
            </w:r>
            <w:r>
              <w:rPr>
                <w:rFonts w:hint="eastAsia" w:ascii="宋体" w:hAnsi="宋体" w:eastAsia="宋体" w:cs="宋体"/>
                <w:sz w:val="24"/>
                <w:szCs w:val="24"/>
              </w:rPr>
              <w:br w:type="textWrapping"/>
            </w:r>
            <w:r>
              <w:rPr>
                <w:rFonts w:hint="eastAsia" w:ascii="宋体" w:hAnsi="宋体" w:eastAsia="宋体" w:cs="宋体"/>
                <w:sz w:val="24"/>
                <w:szCs w:val="24"/>
              </w:rPr>
              <w:t>4.电压不平衡分析月报</w:t>
            </w:r>
          </w:p>
        </w:tc>
      </w:tr>
      <w:tr w14:paraId="1B34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41A610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第三阶段</w:t>
            </w:r>
            <w:r>
              <w:rPr>
                <w:rFonts w:hint="eastAsia" w:ascii="宋体" w:hAnsi="宋体" w:eastAsia="宋体" w:cs="宋体"/>
                <w:sz w:val="24"/>
                <w:szCs w:val="24"/>
              </w:rPr>
              <w:br w:type="textWrapping"/>
            </w:r>
            <w:r>
              <w:rPr>
                <w:rFonts w:hint="eastAsia" w:ascii="宋体" w:hAnsi="宋体" w:eastAsia="宋体" w:cs="宋体"/>
                <w:sz w:val="24"/>
                <w:szCs w:val="24"/>
              </w:rPr>
              <w:t>深化治理</w:t>
            </w:r>
          </w:p>
        </w:tc>
        <w:tc>
          <w:tcPr>
            <w:tcW w:w="2160" w:type="dxa"/>
          </w:tcPr>
          <w:p w14:paraId="5106FCC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第4个月-</w:t>
            </w:r>
            <w:r>
              <w:rPr>
                <w:rFonts w:hint="eastAsia" w:ascii="宋体" w:hAnsi="宋体" w:eastAsia="宋体" w:cs="宋体"/>
                <w:sz w:val="24"/>
                <w:szCs w:val="24"/>
              </w:rPr>
              <w:br w:type="textWrapping"/>
            </w:r>
            <w:r>
              <w:rPr>
                <w:rFonts w:hint="eastAsia" w:ascii="宋体" w:hAnsi="宋体" w:eastAsia="宋体" w:cs="宋体"/>
                <w:sz w:val="24"/>
                <w:szCs w:val="24"/>
              </w:rPr>
              <w:t>第5个月</w:t>
            </w:r>
          </w:p>
        </w:tc>
        <w:tc>
          <w:tcPr>
            <w:tcW w:w="2160" w:type="dxa"/>
          </w:tcPr>
          <w:p w14:paraId="4631FD2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1.疑难台区一台一案分析</w:t>
            </w:r>
            <w:r>
              <w:rPr>
                <w:rFonts w:hint="eastAsia" w:ascii="宋体" w:hAnsi="宋体" w:eastAsia="宋体" w:cs="宋体"/>
                <w:sz w:val="24"/>
                <w:szCs w:val="24"/>
              </w:rPr>
              <w:br w:type="textWrapping"/>
            </w:r>
            <w:r>
              <w:rPr>
                <w:rFonts w:hint="eastAsia" w:ascii="宋体" w:hAnsi="宋体" w:eastAsia="宋体" w:cs="宋体"/>
                <w:sz w:val="24"/>
                <w:szCs w:val="24"/>
              </w:rPr>
              <w:t>2.无功不足校核分析</w:t>
            </w:r>
            <w:r>
              <w:rPr>
                <w:rFonts w:hint="eastAsia" w:ascii="宋体" w:hAnsi="宋体" w:eastAsia="宋体" w:cs="宋体"/>
                <w:sz w:val="24"/>
                <w:szCs w:val="24"/>
              </w:rPr>
              <w:br w:type="textWrapping"/>
            </w:r>
            <w:r>
              <w:rPr>
                <w:rFonts w:hint="eastAsia" w:ascii="宋体" w:hAnsi="宋体" w:eastAsia="宋体" w:cs="宋体"/>
                <w:sz w:val="24"/>
                <w:szCs w:val="24"/>
              </w:rPr>
              <w:t>3.配网调压需求分析</w:t>
            </w:r>
            <w:r>
              <w:rPr>
                <w:rFonts w:hint="eastAsia" w:ascii="宋体" w:hAnsi="宋体" w:eastAsia="宋体" w:cs="宋体"/>
                <w:sz w:val="24"/>
                <w:szCs w:val="24"/>
              </w:rPr>
              <w:br w:type="textWrapping"/>
            </w:r>
            <w:r>
              <w:rPr>
                <w:rFonts w:hint="eastAsia" w:ascii="宋体" w:hAnsi="宋体" w:eastAsia="宋体" w:cs="宋体"/>
                <w:sz w:val="24"/>
                <w:szCs w:val="24"/>
              </w:rPr>
              <w:t>4.治理效果跟踪评估</w:t>
            </w:r>
            <w:r>
              <w:rPr>
                <w:rFonts w:hint="eastAsia" w:ascii="宋体" w:hAnsi="宋体" w:eastAsia="宋体" w:cs="宋体"/>
                <w:sz w:val="24"/>
                <w:szCs w:val="24"/>
              </w:rPr>
              <w:br w:type="textWrapping"/>
            </w:r>
            <w:r>
              <w:rPr>
                <w:rFonts w:hint="eastAsia" w:ascii="宋体" w:hAnsi="宋体" w:eastAsia="宋体" w:cs="宋体"/>
                <w:sz w:val="24"/>
                <w:szCs w:val="24"/>
              </w:rPr>
              <w:t>5.D类测点分析</w:t>
            </w:r>
            <w:r>
              <w:rPr>
                <w:rFonts w:hint="eastAsia" w:ascii="宋体" w:hAnsi="宋体" w:eastAsia="宋体" w:cs="宋体"/>
                <w:sz w:val="24"/>
                <w:szCs w:val="24"/>
              </w:rPr>
              <w:br w:type="textWrapping"/>
            </w:r>
            <w:r>
              <w:rPr>
                <w:rFonts w:hint="eastAsia" w:ascii="宋体" w:hAnsi="宋体" w:eastAsia="宋体" w:cs="宋体"/>
                <w:sz w:val="24"/>
                <w:szCs w:val="24"/>
              </w:rPr>
              <w:t>6.持续越限台区跟踪</w:t>
            </w:r>
          </w:p>
        </w:tc>
        <w:tc>
          <w:tcPr>
            <w:tcW w:w="2160" w:type="dxa"/>
          </w:tcPr>
          <w:p w14:paraId="6376814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1.一台一案分析报告</w:t>
            </w:r>
            <w:r>
              <w:rPr>
                <w:rFonts w:hint="eastAsia" w:ascii="宋体" w:hAnsi="宋体" w:eastAsia="宋体" w:cs="宋体"/>
                <w:sz w:val="24"/>
                <w:szCs w:val="24"/>
              </w:rPr>
              <w:br w:type="textWrapping"/>
            </w:r>
            <w:r>
              <w:rPr>
                <w:rFonts w:hint="eastAsia" w:ascii="宋体" w:hAnsi="宋体" w:eastAsia="宋体" w:cs="宋体"/>
                <w:sz w:val="24"/>
                <w:szCs w:val="24"/>
              </w:rPr>
              <w:t>2.无功校核报告</w:t>
            </w:r>
            <w:r>
              <w:rPr>
                <w:rFonts w:hint="eastAsia" w:ascii="宋体" w:hAnsi="宋体" w:eastAsia="宋体" w:cs="宋体"/>
                <w:sz w:val="24"/>
                <w:szCs w:val="24"/>
              </w:rPr>
              <w:br w:type="textWrapping"/>
            </w:r>
            <w:r>
              <w:rPr>
                <w:rFonts w:hint="eastAsia" w:ascii="宋体" w:hAnsi="宋体" w:eastAsia="宋体" w:cs="宋体"/>
                <w:sz w:val="24"/>
                <w:szCs w:val="24"/>
              </w:rPr>
              <w:t>3.调压需求分析报告</w:t>
            </w:r>
            <w:r>
              <w:rPr>
                <w:rFonts w:hint="eastAsia" w:ascii="宋体" w:hAnsi="宋体" w:eastAsia="宋体" w:cs="宋体"/>
                <w:sz w:val="24"/>
                <w:szCs w:val="24"/>
              </w:rPr>
              <w:br w:type="textWrapping"/>
            </w:r>
            <w:r>
              <w:rPr>
                <w:rFonts w:hint="eastAsia" w:ascii="宋体" w:hAnsi="宋体" w:eastAsia="宋体" w:cs="宋体"/>
                <w:sz w:val="24"/>
                <w:szCs w:val="24"/>
              </w:rPr>
              <w:t>4.D类测点分析报告</w:t>
            </w:r>
          </w:p>
        </w:tc>
      </w:tr>
      <w:tr w14:paraId="0AED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C5DDA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第四阶段</w:t>
            </w:r>
            <w:r>
              <w:rPr>
                <w:rFonts w:hint="eastAsia" w:ascii="宋体" w:hAnsi="宋体" w:eastAsia="宋体" w:cs="宋体"/>
                <w:sz w:val="24"/>
                <w:szCs w:val="24"/>
              </w:rPr>
              <w:br w:type="textWrapping"/>
            </w:r>
            <w:r>
              <w:rPr>
                <w:rFonts w:hint="eastAsia" w:ascii="宋体" w:hAnsi="宋体" w:eastAsia="宋体" w:cs="宋体"/>
                <w:sz w:val="24"/>
                <w:szCs w:val="24"/>
              </w:rPr>
              <w:t>总结提升</w:t>
            </w:r>
          </w:p>
        </w:tc>
        <w:tc>
          <w:tcPr>
            <w:tcW w:w="2160" w:type="dxa"/>
          </w:tcPr>
          <w:p w14:paraId="4137611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第6个月-</w:t>
            </w:r>
            <w:r>
              <w:rPr>
                <w:rFonts w:hint="eastAsia" w:ascii="宋体" w:hAnsi="宋体" w:eastAsia="宋体" w:cs="宋体"/>
                <w:sz w:val="24"/>
                <w:szCs w:val="24"/>
              </w:rPr>
              <w:br w:type="textWrapping"/>
            </w:r>
            <w:r>
              <w:rPr>
                <w:rFonts w:hint="eastAsia" w:ascii="宋体" w:hAnsi="宋体" w:eastAsia="宋体" w:cs="宋体"/>
                <w:sz w:val="24"/>
                <w:szCs w:val="24"/>
              </w:rPr>
              <w:t>2026年12月30日</w:t>
            </w:r>
          </w:p>
        </w:tc>
        <w:tc>
          <w:tcPr>
            <w:tcW w:w="2160" w:type="dxa"/>
          </w:tcPr>
          <w:p w14:paraId="7D61B1DE">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1.治理效果综合评估</w:t>
            </w:r>
            <w:r>
              <w:rPr>
                <w:rFonts w:hint="eastAsia" w:ascii="宋体" w:hAnsi="宋体" w:eastAsia="宋体" w:cs="宋体"/>
                <w:sz w:val="24"/>
                <w:szCs w:val="24"/>
              </w:rPr>
              <w:br w:type="textWrapping"/>
            </w:r>
            <w:r>
              <w:rPr>
                <w:rFonts w:hint="eastAsia" w:ascii="宋体" w:hAnsi="宋体" w:eastAsia="宋体" w:cs="宋体"/>
                <w:sz w:val="24"/>
                <w:szCs w:val="24"/>
              </w:rPr>
              <w:t>2.持续越限台区跟踪</w:t>
            </w:r>
            <w:r>
              <w:rPr>
                <w:rFonts w:hint="eastAsia" w:ascii="宋体" w:hAnsi="宋体" w:eastAsia="宋体" w:cs="宋体"/>
                <w:sz w:val="24"/>
                <w:szCs w:val="24"/>
              </w:rPr>
              <w:br w:type="textWrapping"/>
            </w:r>
            <w:r>
              <w:rPr>
                <w:rFonts w:hint="eastAsia" w:ascii="宋体" w:hAnsi="宋体" w:eastAsia="宋体" w:cs="宋体"/>
                <w:sz w:val="24"/>
                <w:szCs w:val="24"/>
              </w:rPr>
              <w:t>3.年度诊断分析报告编制</w:t>
            </w:r>
            <w:r>
              <w:rPr>
                <w:rFonts w:hint="eastAsia" w:ascii="宋体" w:hAnsi="宋体" w:eastAsia="宋体" w:cs="宋体"/>
                <w:sz w:val="24"/>
                <w:szCs w:val="24"/>
              </w:rPr>
              <w:br w:type="textWrapping"/>
            </w:r>
            <w:r>
              <w:rPr>
                <w:rFonts w:hint="eastAsia" w:ascii="宋体" w:hAnsi="宋体" w:eastAsia="宋体" w:cs="宋体"/>
                <w:sz w:val="24"/>
                <w:szCs w:val="24"/>
              </w:rPr>
              <w:t>4.项目总结与资料移交</w:t>
            </w:r>
          </w:p>
        </w:tc>
        <w:tc>
          <w:tcPr>
            <w:tcW w:w="2160" w:type="dxa"/>
          </w:tcPr>
          <w:p w14:paraId="6362A85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1.年度诊断分析报告</w:t>
            </w:r>
            <w:r>
              <w:rPr>
                <w:rFonts w:hint="eastAsia" w:ascii="宋体" w:hAnsi="宋体" w:eastAsia="宋体" w:cs="宋体"/>
                <w:sz w:val="24"/>
                <w:szCs w:val="24"/>
              </w:rPr>
              <w:br w:type="textWrapping"/>
            </w:r>
            <w:r>
              <w:rPr>
                <w:rFonts w:hint="eastAsia" w:ascii="宋体" w:hAnsi="宋体" w:eastAsia="宋体" w:cs="宋体"/>
                <w:sz w:val="24"/>
                <w:szCs w:val="24"/>
              </w:rPr>
              <w:t>2.项目总结报告</w:t>
            </w:r>
            <w:r>
              <w:rPr>
                <w:rFonts w:hint="eastAsia" w:ascii="宋体" w:hAnsi="宋体" w:eastAsia="宋体" w:cs="宋体"/>
                <w:sz w:val="24"/>
                <w:szCs w:val="24"/>
              </w:rPr>
              <w:br w:type="textWrapping"/>
            </w:r>
            <w:r>
              <w:rPr>
                <w:rFonts w:hint="eastAsia" w:ascii="宋体" w:hAnsi="宋体" w:eastAsia="宋体" w:cs="宋体"/>
                <w:sz w:val="24"/>
                <w:szCs w:val="24"/>
              </w:rPr>
              <w:t>3.全套资料移交</w:t>
            </w:r>
          </w:p>
        </w:tc>
      </w:tr>
    </w:tbl>
    <w:p w14:paraId="33326CF7">
      <w:pPr>
        <w:rPr>
          <w:rFonts w:hint="eastAsia" w:ascii="宋体" w:hAnsi="宋体" w:eastAsia="宋体" w:cs="宋体"/>
          <w:sz w:val="24"/>
          <w:szCs w:val="24"/>
        </w:rPr>
      </w:pPr>
    </w:p>
    <w:p w14:paraId="3E9F31DB">
      <w:pPr>
        <w:pStyle w:val="4"/>
        <w:numPr>
          <w:ilvl w:val="3"/>
          <w:numId w:val="0"/>
        </w:numPr>
        <w:bidi w:val="0"/>
        <w:spacing w:line="360" w:lineRule="auto"/>
        <w:ind w:left="864" w:leftChars="0" w:hanging="864"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2.6.3 月度工作计划</w:t>
      </w:r>
    </w:p>
    <w:p w14:paraId="2827D3DC">
      <w:pPr>
        <w:spacing w:after="0" w:line="360" w:lineRule="auto"/>
        <w:ind w:firstLine="560"/>
        <w:rPr>
          <w:rFonts w:hint="eastAsia" w:ascii="宋体" w:hAnsi="宋体" w:eastAsia="宋体" w:cs="宋体"/>
          <w:sz w:val="24"/>
          <w:szCs w:val="24"/>
        </w:rPr>
      </w:pPr>
      <w:r>
        <w:rPr>
          <w:rFonts w:hint="eastAsia" w:ascii="宋体" w:hAnsi="宋体" w:eastAsia="宋体" w:cs="宋体"/>
          <w:sz w:val="24"/>
          <w:szCs w:val="24"/>
        </w:rPr>
        <w:t>各月度工作计划安排如下：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2"/>
        <w:gridCol w:w="2840"/>
      </w:tblGrid>
      <w:tr w14:paraId="22AA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2BAC3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月份</w:t>
            </w:r>
          </w:p>
        </w:tc>
        <w:tc>
          <w:tcPr>
            <w:tcW w:w="2880" w:type="dxa"/>
          </w:tcPr>
          <w:p w14:paraId="5ADA88BB">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主要工作</w:t>
            </w:r>
          </w:p>
        </w:tc>
        <w:tc>
          <w:tcPr>
            <w:tcW w:w="2880" w:type="dxa"/>
          </w:tcPr>
          <w:p w14:paraId="0D43F7EA">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交付物</w:t>
            </w:r>
          </w:p>
        </w:tc>
      </w:tr>
      <w:tr w14:paraId="35A6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3A223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合同签订后</w:t>
            </w:r>
            <w:r>
              <w:rPr>
                <w:rFonts w:hint="eastAsia" w:ascii="宋体" w:hAnsi="宋体" w:eastAsia="宋体" w:cs="宋体"/>
                <w:sz w:val="24"/>
                <w:szCs w:val="24"/>
              </w:rPr>
              <w:br w:type="textWrapping"/>
            </w:r>
            <w:r>
              <w:rPr>
                <w:rFonts w:hint="eastAsia" w:ascii="宋体" w:hAnsi="宋体" w:eastAsia="宋体" w:cs="宋体"/>
                <w:sz w:val="24"/>
                <w:szCs w:val="24"/>
              </w:rPr>
              <w:t>第1个月</w:t>
            </w:r>
          </w:p>
        </w:tc>
        <w:tc>
          <w:tcPr>
            <w:tcW w:w="2880" w:type="dxa"/>
          </w:tcPr>
          <w:p w14:paraId="29FD7C9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项目启动、数据源梳理与接入、</w:t>
            </w:r>
            <w:r>
              <w:rPr>
                <w:rFonts w:hint="eastAsia" w:ascii="宋体" w:hAnsi="宋体" w:eastAsia="宋体" w:cs="宋体"/>
                <w:sz w:val="24"/>
                <w:szCs w:val="24"/>
              </w:rPr>
              <w:br w:type="textWrapping"/>
            </w:r>
            <w:r>
              <w:rPr>
                <w:rFonts w:hint="eastAsia" w:ascii="宋体" w:hAnsi="宋体" w:eastAsia="宋体" w:cs="宋体"/>
                <w:sz w:val="24"/>
                <w:szCs w:val="24"/>
              </w:rPr>
              <w:t>数据质量评估与清洗、档位台账梳理</w:t>
            </w:r>
          </w:p>
        </w:tc>
        <w:tc>
          <w:tcPr>
            <w:tcW w:w="2880" w:type="dxa"/>
          </w:tcPr>
          <w:p w14:paraId="30E7629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项目实施方案、数据接入规范、</w:t>
            </w:r>
            <w:r>
              <w:rPr>
                <w:rFonts w:hint="eastAsia" w:ascii="宋体" w:hAnsi="宋体" w:eastAsia="宋体" w:cs="宋体"/>
                <w:sz w:val="24"/>
                <w:szCs w:val="24"/>
              </w:rPr>
              <w:br w:type="textWrapping"/>
            </w:r>
            <w:r>
              <w:rPr>
                <w:rFonts w:hint="eastAsia" w:ascii="宋体" w:hAnsi="宋体" w:eastAsia="宋体" w:cs="宋体"/>
                <w:sz w:val="24"/>
                <w:szCs w:val="24"/>
              </w:rPr>
              <w:t>档位台账初版</w:t>
            </w:r>
          </w:p>
        </w:tc>
      </w:tr>
      <w:tr w14:paraId="691C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B66B5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第2个月</w:t>
            </w:r>
          </w:p>
        </w:tc>
        <w:tc>
          <w:tcPr>
            <w:tcW w:w="2880" w:type="dxa"/>
          </w:tcPr>
          <w:p w14:paraId="3932306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全面电压质量分析、越限台区原因诊断、</w:t>
            </w:r>
            <w:r>
              <w:rPr>
                <w:rFonts w:hint="eastAsia" w:ascii="宋体" w:hAnsi="宋体" w:eastAsia="宋体" w:cs="宋体"/>
                <w:sz w:val="24"/>
                <w:szCs w:val="24"/>
              </w:rPr>
              <w:br w:type="textWrapping"/>
            </w:r>
            <w:r>
              <w:rPr>
                <w:rFonts w:hint="eastAsia" w:ascii="宋体" w:hAnsi="宋体" w:eastAsia="宋体" w:cs="宋体"/>
                <w:sz w:val="24"/>
                <w:szCs w:val="24"/>
              </w:rPr>
              <w:t>配变档位核查与调档管控</w:t>
            </w:r>
          </w:p>
        </w:tc>
        <w:tc>
          <w:tcPr>
            <w:tcW w:w="2880" w:type="dxa"/>
          </w:tcPr>
          <w:p w14:paraId="529465F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电压异常分析月报、</w:t>
            </w:r>
            <w:r>
              <w:rPr>
                <w:rFonts w:hint="eastAsia" w:ascii="宋体" w:hAnsi="宋体" w:eastAsia="宋体" w:cs="宋体"/>
                <w:sz w:val="24"/>
                <w:szCs w:val="24"/>
              </w:rPr>
              <w:br w:type="textWrapping"/>
            </w:r>
            <w:r>
              <w:rPr>
                <w:rFonts w:hint="eastAsia" w:ascii="宋体" w:hAnsi="宋体" w:eastAsia="宋体" w:cs="宋体"/>
                <w:sz w:val="24"/>
                <w:szCs w:val="24"/>
              </w:rPr>
              <w:t>调档管控月报、工单跟踪月报</w:t>
            </w:r>
          </w:p>
        </w:tc>
      </w:tr>
      <w:tr w14:paraId="51D8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8529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第3个月</w:t>
            </w:r>
          </w:p>
        </w:tc>
        <w:tc>
          <w:tcPr>
            <w:tcW w:w="2880" w:type="dxa"/>
          </w:tcPr>
          <w:p w14:paraId="4CEF49B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电压不平衡分析、95598工单关联、</w:t>
            </w:r>
            <w:r>
              <w:rPr>
                <w:rFonts w:hint="eastAsia" w:ascii="宋体" w:hAnsi="宋体" w:eastAsia="宋体" w:cs="宋体"/>
                <w:sz w:val="24"/>
                <w:szCs w:val="24"/>
              </w:rPr>
              <w:br w:type="textWrapping"/>
            </w:r>
            <w:r>
              <w:rPr>
                <w:rFonts w:hint="eastAsia" w:ascii="宋体" w:hAnsi="宋体" w:eastAsia="宋体" w:cs="宋体"/>
                <w:sz w:val="24"/>
                <w:szCs w:val="24"/>
              </w:rPr>
              <w:t>持续越限台区跟踪、档位状态核查</w:t>
            </w:r>
          </w:p>
        </w:tc>
        <w:tc>
          <w:tcPr>
            <w:tcW w:w="2880" w:type="dxa"/>
          </w:tcPr>
          <w:p w14:paraId="51ED28A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电压不平衡分析月报、</w:t>
            </w:r>
            <w:r>
              <w:rPr>
                <w:rFonts w:hint="eastAsia" w:ascii="宋体" w:hAnsi="宋体" w:eastAsia="宋体" w:cs="宋体"/>
                <w:sz w:val="24"/>
                <w:szCs w:val="24"/>
              </w:rPr>
              <w:br w:type="textWrapping"/>
            </w:r>
            <w:r>
              <w:rPr>
                <w:rFonts w:hint="eastAsia" w:ascii="宋体" w:hAnsi="宋体" w:eastAsia="宋体" w:cs="宋体"/>
                <w:sz w:val="24"/>
                <w:szCs w:val="24"/>
              </w:rPr>
              <w:t>持续越限跟踪月报、</w:t>
            </w:r>
            <w:r>
              <w:rPr>
                <w:rFonts w:hint="eastAsia" w:ascii="宋体" w:hAnsi="宋体" w:eastAsia="宋体" w:cs="宋体"/>
                <w:sz w:val="24"/>
                <w:szCs w:val="24"/>
              </w:rPr>
              <w:br w:type="textWrapping"/>
            </w:r>
            <w:r>
              <w:rPr>
                <w:rFonts w:hint="eastAsia" w:ascii="宋体" w:hAnsi="宋体" w:eastAsia="宋体" w:cs="宋体"/>
                <w:sz w:val="24"/>
                <w:szCs w:val="24"/>
              </w:rPr>
              <w:t>档位状态核查报告</w:t>
            </w:r>
          </w:p>
        </w:tc>
      </w:tr>
      <w:tr w14:paraId="5E70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B27E7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第4个月</w:t>
            </w:r>
          </w:p>
        </w:tc>
        <w:tc>
          <w:tcPr>
            <w:tcW w:w="2880" w:type="dxa"/>
          </w:tcPr>
          <w:p w14:paraId="6222C98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疑难台区一台一案分析、</w:t>
            </w:r>
            <w:r>
              <w:rPr>
                <w:rFonts w:hint="eastAsia" w:ascii="宋体" w:hAnsi="宋体" w:eastAsia="宋体" w:cs="宋体"/>
                <w:sz w:val="24"/>
                <w:szCs w:val="24"/>
              </w:rPr>
              <w:br w:type="textWrapping"/>
            </w:r>
            <w:r>
              <w:rPr>
                <w:rFonts w:hint="eastAsia" w:ascii="宋体" w:hAnsi="宋体" w:eastAsia="宋体" w:cs="宋体"/>
                <w:sz w:val="24"/>
                <w:szCs w:val="24"/>
              </w:rPr>
              <w:t>无功不足校核、D类测点分析</w:t>
            </w:r>
          </w:p>
        </w:tc>
        <w:tc>
          <w:tcPr>
            <w:tcW w:w="2880" w:type="dxa"/>
          </w:tcPr>
          <w:p w14:paraId="167BF88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一台一案报告、无功校核报告、</w:t>
            </w:r>
            <w:r>
              <w:rPr>
                <w:rFonts w:hint="eastAsia" w:ascii="宋体" w:hAnsi="宋体" w:eastAsia="宋体" w:cs="宋体"/>
                <w:sz w:val="24"/>
                <w:szCs w:val="24"/>
              </w:rPr>
              <w:br w:type="textWrapping"/>
            </w:r>
            <w:r>
              <w:rPr>
                <w:rFonts w:hint="eastAsia" w:ascii="宋体" w:hAnsi="宋体" w:eastAsia="宋体" w:cs="宋体"/>
                <w:sz w:val="24"/>
                <w:szCs w:val="24"/>
              </w:rPr>
              <w:t>D类测点分析报告</w:t>
            </w:r>
          </w:p>
        </w:tc>
      </w:tr>
      <w:tr w14:paraId="659F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FB848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第5个月</w:t>
            </w:r>
          </w:p>
        </w:tc>
        <w:tc>
          <w:tcPr>
            <w:tcW w:w="2880" w:type="dxa"/>
          </w:tcPr>
          <w:p w14:paraId="41C7292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配网调压需求分析、治理效果跟踪评估、</w:t>
            </w:r>
            <w:r>
              <w:rPr>
                <w:rFonts w:hint="eastAsia" w:ascii="宋体" w:hAnsi="宋体" w:eastAsia="宋体" w:cs="宋体"/>
                <w:sz w:val="24"/>
                <w:szCs w:val="24"/>
              </w:rPr>
              <w:br w:type="textWrapping"/>
            </w:r>
            <w:r>
              <w:rPr>
                <w:rFonts w:hint="eastAsia" w:ascii="宋体" w:hAnsi="宋体" w:eastAsia="宋体" w:cs="宋体"/>
                <w:sz w:val="24"/>
                <w:szCs w:val="24"/>
              </w:rPr>
              <w:t>持续越限跟踪、95598工单分析</w:t>
            </w:r>
          </w:p>
        </w:tc>
        <w:tc>
          <w:tcPr>
            <w:tcW w:w="2880" w:type="dxa"/>
          </w:tcPr>
          <w:p w14:paraId="0EB01F57">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调压需求分析报告、</w:t>
            </w:r>
            <w:r>
              <w:rPr>
                <w:rFonts w:hint="eastAsia" w:ascii="宋体" w:hAnsi="宋体" w:eastAsia="宋体" w:cs="宋体"/>
                <w:sz w:val="24"/>
                <w:szCs w:val="24"/>
              </w:rPr>
              <w:br w:type="textWrapping"/>
            </w:r>
            <w:r>
              <w:rPr>
                <w:rFonts w:hint="eastAsia" w:ascii="宋体" w:hAnsi="宋体" w:eastAsia="宋体" w:cs="宋体"/>
                <w:sz w:val="24"/>
                <w:szCs w:val="24"/>
              </w:rPr>
              <w:t>持续越限跟踪月报、</w:t>
            </w:r>
            <w:r>
              <w:rPr>
                <w:rFonts w:hint="eastAsia" w:ascii="宋体" w:hAnsi="宋体" w:eastAsia="宋体" w:cs="宋体"/>
                <w:sz w:val="24"/>
                <w:szCs w:val="24"/>
              </w:rPr>
              <w:br w:type="textWrapping"/>
            </w:r>
            <w:r>
              <w:rPr>
                <w:rFonts w:hint="eastAsia" w:ascii="宋体" w:hAnsi="宋体" w:eastAsia="宋体" w:cs="宋体"/>
                <w:sz w:val="24"/>
                <w:szCs w:val="24"/>
              </w:rPr>
              <w:t>工单跟踪月报</w:t>
            </w:r>
          </w:p>
        </w:tc>
      </w:tr>
      <w:tr w14:paraId="69E7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FB6CC1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第6个月</w:t>
            </w:r>
          </w:p>
        </w:tc>
        <w:tc>
          <w:tcPr>
            <w:tcW w:w="2880" w:type="dxa"/>
          </w:tcPr>
          <w:p w14:paraId="28871B7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治理效果综合评估、持续越限跟踪、</w:t>
            </w:r>
            <w:r>
              <w:rPr>
                <w:rFonts w:hint="eastAsia" w:ascii="宋体" w:hAnsi="宋体" w:eastAsia="宋体" w:cs="宋体"/>
                <w:sz w:val="24"/>
                <w:szCs w:val="24"/>
              </w:rPr>
              <w:br w:type="textWrapping"/>
            </w:r>
            <w:r>
              <w:rPr>
                <w:rFonts w:hint="eastAsia" w:ascii="宋体" w:hAnsi="宋体" w:eastAsia="宋体" w:cs="宋体"/>
                <w:sz w:val="24"/>
                <w:szCs w:val="24"/>
              </w:rPr>
              <w:t>年度报告初稿编制</w:t>
            </w:r>
          </w:p>
        </w:tc>
        <w:tc>
          <w:tcPr>
            <w:tcW w:w="2880" w:type="dxa"/>
          </w:tcPr>
          <w:p w14:paraId="28E1FD7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持续越限跟踪月报、</w:t>
            </w:r>
            <w:r>
              <w:rPr>
                <w:rFonts w:hint="eastAsia" w:ascii="宋体" w:hAnsi="宋体" w:eastAsia="宋体" w:cs="宋体"/>
                <w:sz w:val="24"/>
                <w:szCs w:val="24"/>
              </w:rPr>
              <w:br w:type="textWrapping"/>
            </w:r>
            <w:r>
              <w:rPr>
                <w:rFonts w:hint="eastAsia" w:ascii="宋体" w:hAnsi="宋体" w:eastAsia="宋体" w:cs="宋体"/>
                <w:sz w:val="24"/>
                <w:szCs w:val="24"/>
              </w:rPr>
              <w:t>年度报告初稿</w:t>
            </w:r>
          </w:p>
        </w:tc>
      </w:tr>
      <w:tr w14:paraId="02E1A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ACF70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2026年12月30日前</w:t>
            </w:r>
          </w:p>
        </w:tc>
        <w:tc>
          <w:tcPr>
            <w:tcW w:w="2880" w:type="dxa"/>
          </w:tcPr>
          <w:p w14:paraId="748D9826">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年度报告定稿、项目总结、资料移交</w:t>
            </w:r>
          </w:p>
        </w:tc>
        <w:tc>
          <w:tcPr>
            <w:tcW w:w="2880" w:type="dxa"/>
          </w:tcPr>
          <w:p w14:paraId="634AB46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年度诊断分析报告、</w:t>
            </w:r>
            <w:r>
              <w:rPr>
                <w:rFonts w:hint="eastAsia" w:ascii="宋体" w:hAnsi="宋体" w:eastAsia="宋体" w:cs="宋体"/>
                <w:sz w:val="24"/>
                <w:szCs w:val="24"/>
              </w:rPr>
              <w:br w:type="textWrapping"/>
            </w:r>
            <w:r>
              <w:rPr>
                <w:rFonts w:hint="eastAsia" w:ascii="宋体" w:hAnsi="宋体" w:eastAsia="宋体" w:cs="宋体"/>
                <w:sz w:val="24"/>
                <w:szCs w:val="24"/>
              </w:rPr>
              <w:t>项目总结报告</w:t>
            </w:r>
          </w:p>
        </w:tc>
      </w:tr>
    </w:tbl>
    <w:p w14:paraId="127C1309">
      <w:pPr>
        <w:rPr>
          <w:rFonts w:hint="eastAsia" w:ascii="宋体" w:hAnsi="宋体" w:eastAsia="宋体" w:cs="宋体"/>
          <w:sz w:val="24"/>
          <w:szCs w:val="24"/>
        </w:rPr>
      </w:pPr>
    </w:p>
    <w:p w14:paraId="34510383">
      <w:pPr>
        <w:pStyle w:val="4"/>
        <w:numPr>
          <w:ilvl w:val="3"/>
          <w:numId w:val="0"/>
        </w:numPr>
        <w:bidi w:val="0"/>
        <w:spacing w:line="360" w:lineRule="auto"/>
        <w:ind w:left="864" w:leftChars="0" w:hanging="864"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2.6.4 关键里程碑</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33"/>
        <w:gridCol w:w="2133"/>
      </w:tblGrid>
      <w:tr w14:paraId="7DA2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7E0E64">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序号</w:t>
            </w:r>
          </w:p>
        </w:tc>
        <w:tc>
          <w:tcPr>
            <w:tcW w:w="2160" w:type="dxa"/>
          </w:tcPr>
          <w:p w14:paraId="043FA7ED">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里程碑节点</w:t>
            </w:r>
          </w:p>
        </w:tc>
        <w:tc>
          <w:tcPr>
            <w:tcW w:w="2160" w:type="dxa"/>
          </w:tcPr>
          <w:p w14:paraId="45E9D09E">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完成时间</w:t>
            </w:r>
          </w:p>
        </w:tc>
        <w:tc>
          <w:tcPr>
            <w:tcW w:w="2160" w:type="dxa"/>
          </w:tcPr>
          <w:p w14:paraId="120561FB">
            <w:pPr>
              <w:spacing w:after="0" w:line="240" w:lineRule="auto"/>
              <w:jc w:val="center"/>
              <w:rPr>
                <w:rFonts w:hint="eastAsia" w:ascii="宋体" w:hAnsi="宋体" w:eastAsia="宋体" w:cs="宋体"/>
                <w:sz w:val="24"/>
                <w:szCs w:val="24"/>
              </w:rPr>
            </w:pPr>
            <w:r>
              <w:rPr>
                <w:rFonts w:hint="eastAsia" w:ascii="宋体" w:hAnsi="宋体" w:eastAsia="宋体" w:cs="宋体"/>
                <w:b/>
                <w:sz w:val="24"/>
                <w:szCs w:val="24"/>
              </w:rPr>
              <w:t>里程碑成果</w:t>
            </w:r>
          </w:p>
        </w:tc>
      </w:tr>
      <w:tr w14:paraId="3485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75FF0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2160" w:type="dxa"/>
          </w:tcPr>
          <w:p w14:paraId="4ED986C4">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项目启动</w:t>
            </w:r>
          </w:p>
        </w:tc>
        <w:tc>
          <w:tcPr>
            <w:tcW w:w="2160" w:type="dxa"/>
          </w:tcPr>
          <w:p w14:paraId="313C8BF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合同签订后15日内</w:t>
            </w:r>
          </w:p>
        </w:tc>
        <w:tc>
          <w:tcPr>
            <w:tcW w:w="2160" w:type="dxa"/>
          </w:tcPr>
          <w:p w14:paraId="7D7D4CE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项目启动会召开、实施方案确认</w:t>
            </w:r>
          </w:p>
        </w:tc>
      </w:tr>
      <w:tr w14:paraId="6FC8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47F41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2160" w:type="dxa"/>
          </w:tcPr>
          <w:p w14:paraId="15947FC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数据平台搭建完成</w:t>
            </w:r>
          </w:p>
        </w:tc>
        <w:tc>
          <w:tcPr>
            <w:tcW w:w="2160" w:type="dxa"/>
          </w:tcPr>
          <w:p w14:paraId="1599F6E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合同签订后第1个月底</w:t>
            </w:r>
          </w:p>
        </w:tc>
        <w:tc>
          <w:tcPr>
            <w:tcW w:w="2160" w:type="dxa"/>
          </w:tcPr>
          <w:p w14:paraId="0AC2D262">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数据接入完成、数据仓库建成</w:t>
            </w:r>
          </w:p>
        </w:tc>
      </w:tr>
      <w:tr w14:paraId="4D6E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9AC183">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2160" w:type="dxa"/>
          </w:tcPr>
          <w:p w14:paraId="010C072A">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全面分析完成</w:t>
            </w:r>
          </w:p>
        </w:tc>
        <w:tc>
          <w:tcPr>
            <w:tcW w:w="2160" w:type="dxa"/>
          </w:tcPr>
          <w:p w14:paraId="20831395">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合同签订后第3个月底</w:t>
            </w:r>
          </w:p>
        </w:tc>
        <w:tc>
          <w:tcPr>
            <w:tcW w:w="2160" w:type="dxa"/>
          </w:tcPr>
          <w:p w14:paraId="352A4E0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电压异常分析、调档管控等报告交付</w:t>
            </w:r>
          </w:p>
        </w:tc>
      </w:tr>
      <w:tr w14:paraId="037C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BC3C5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2160" w:type="dxa"/>
          </w:tcPr>
          <w:p w14:paraId="12E8013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疑难台区诊断完成</w:t>
            </w:r>
          </w:p>
        </w:tc>
        <w:tc>
          <w:tcPr>
            <w:tcW w:w="2160" w:type="dxa"/>
          </w:tcPr>
          <w:p w14:paraId="6389A6D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合同签订后第5个月底</w:t>
            </w:r>
          </w:p>
        </w:tc>
        <w:tc>
          <w:tcPr>
            <w:tcW w:w="2160" w:type="dxa"/>
          </w:tcPr>
          <w:p w14:paraId="4AB8368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一台一案分析报告交付</w:t>
            </w:r>
          </w:p>
        </w:tc>
      </w:tr>
      <w:tr w14:paraId="05AF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E68B1FB">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5</w:t>
            </w:r>
          </w:p>
        </w:tc>
        <w:tc>
          <w:tcPr>
            <w:tcW w:w="2160" w:type="dxa"/>
          </w:tcPr>
          <w:p w14:paraId="7C04780F">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年度分析完成</w:t>
            </w:r>
          </w:p>
        </w:tc>
        <w:tc>
          <w:tcPr>
            <w:tcW w:w="2160" w:type="dxa"/>
          </w:tcPr>
          <w:p w14:paraId="5A1DFD39">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2026年12月30日前</w:t>
            </w:r>
          </w:p>
        </w:tc>
        <w:tc>
          <w:tcPr>
            <w:tcW w:w="2160" w:type="dxa"/>
          </w:tcPr>
          <w:p w14:paraId="63CF587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年度诊断分析报告交付</w:t>
            </w:r>
          </w:p>
        </w:tc>
      </w:tr>
      <w:tr w14:paraId="3E8B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22D4E1">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6</w:t>
            </w:r>
          </w:p>
        </w:tc>
        <w:tc>
          <w:tcPr>
            <w:tcW w:w="2160" w:type="dxa"/>
          </w:tcPr>
          <w:p w14:paraId="7A4A4B4D">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项目验收</w:t>
            </w:r>
          </w:p>
        </w:tc>
        <w:tc>
          <w:tcPr>
            <w:tcW w:w="2160" w:type="dxa"/>
          </w:tcPr>
          <w:p w14:paraId="6056F3D0">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2026年12月30日前</w:t>
            </w:r>
          </w:p>
        </w:tc>
        <w:tc>
          <w:tcPr>
            <w:tcW w:w="2160" w:type="dxa"/>
          </w:tcPr>
          <w:p w14:paraId="3EE9E51C">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项目总结报告、全套资料移交</w:t>
            </w:r>
          </w:p>
        </w:tc>
      </w:tr>
    </w:tbl>
    <w:p w14:paraId="18048612">
      <w:pPr>
        <w:pStyle w:val="4"/>
        <w:numPr>
          <w:ilvl w:val="3"/>
          <w:numId w:val="0"/>
        </w:numPr>
        <w:bidi w:val="0"/>
        <w:spacing w:line="360" w:lineRule="auto"/>
        <w:ind w:left="864" w:leftChars="0" w:hanging="864" w:firstLineChars="0"/>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2.6.5</w:t>
      </w:r>
      <w:r>
        <w:rPr>
          <w:rFonts w:hint="eastAsia" w:ascii="宋体" w:hAnsi="宋体" w:eastAsia="宋体" w:cs="宋体"/>
          <w:b w:val="0"/>
          <w:bCs/>
          <w:sz w:val="24"/>
          <w:szCs w:val="24"/>
          <w:lang w:val="en-US" w:eastAsia="zh-CN"/>
        </w:rPr>
        <w:t>项目管理与质量保障</w:t>
      </w:r>
      <w:bookmarkEnd w:id="8"/>
      <w:bookmarkEnd w:id="9"/>
      <w:bookmarkEnd w:id="10"/>
    </w:p>
    <w:p w14:paraId="0098155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管理：采用敏捷项目管理方法，建立项目管理团队，负责项目的整体规划、进度控制、风险管理等工作。通过定期的项目评审会议和报告，确保项目按计划顺利推进。同时，建立有效的沟通与协调机制，确保项目团队内部及与客户之间的信息畅通。</w:t>
      </w:r>
    </w:p>
    <w:p w14:paraId="65786CC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质量保障：建立全面的质量管理体系，包括需求分析、设计评审、代码审查、测试验收等环节。通过严格的质量控制措施，确保项目交付成果的质量符合客户要求。同时，建立质量反馈机制，及时收集和处理客户反馈的问题和建议，持续改进项目质量。</w:t>
      </w:r>
    </w:p>
    <w:p w14:paraId="7E5FC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hint="eastAsia" w:ascii="宋体" w:hAnsi="宋体" w:eastAsia="宋体" w:cs="宋体"/>
          <w:sz w:val="24"/>
          <w:szCs w:val="24"/>
        </w:rPr>
        <w:t>风险管理：识别项目过程中可能面临的风险，包括技术风险、安全风险、进度风险等。针对每个风险制定相应的风险应对策略和预案，确保在风险发生时能够及时有效地应对和处置</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11" w:name="_GoBack"/>
      <w:bookmarkEnd w:id="1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42891"/>
    <w:multiLevelType w:val="singleLevel"/>
    <w:tmpl w:val="12742891"/>
    <w:lvl w:ilvl="0" w:tentative="0">
      <w:start w:val="1"/>
      <w:numFmt w:val="bullet"/>
      <w:pStyle w:val="8"/>
      <w:lvlText w:val=""/>
      <w:lvlJc w:val="left"/>
      <w:pPr>
        <w:tabs>
          <w:tab w:val="left" w:pos="360"/>
        </w:tabs>
        <w:ind w:left="360" w:hanging="360"/>
      </w:pPr>
      <w:rPr>
        <w:rFonts w:hint="default" w:ascii="Wingdings" w:hAnsi="Wingdings"/>
      </w:rPr>
    </w:lvl>
  </w:abstractNum>
  <w:abstractNum w:abstractNumId="1">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3"/>
      <w:isLgl/>
      <w:lvlText w:val="%1.%2.%3."/>
      <w:lvlJc w:val="left"/>
      <w:pPr>
        <w:ind w:left="720" w:hanging="720"/>
      </w:pPr>
      <w:rPr>
        <w:rFonts w:hint="eastAsia"/>
      </w:rPr>
    </w:lvl>
    <w:lvl w:ilvl="3" w:tentative="0">
      <w:start w:val="1"/>
      <w:numFmt w:val="decimal"/>
      <w:pStyle w:val="4"/>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pStyle w:val="6"/>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6567772"/>
    <w:rsid w:val="0DC022DF"/>
    <w:rsid w:val="109F5990"/>
    <w:rsid w:val="12C37CE5"/>
    <w:rsid w:val="29363ABF"/>
    <w:rsid w:val="4468252C"/>
    <w:rsid w:val="484A78D8"/>
    <w:rsid w:val="4D102D7B"/>
    <w:rsid w:val="5F0A527B"/>
    <w:rsid w:val="6735670F"/>
    <w:rsid w:val="716316E4"/>
    <w:rsid w:val="735344A6"/>
    <w:rsid w:val="774C1AC8"/>
    <w:rsid w:val="7AA42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3">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4">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5">
    <w:name w:val="heading 5"/>
    <w:basedOn w:val="1"/>
    <w:next w:val="1"/>
    <w:unhideWhenUsed/>
    <w:qFormat/>
    <w:uiPriority w:val="0"/>
    <w:pPr>
      <w:numPr>
        <w:ilvl w:val="4"/>
        <w:numId w:val="1"/>
      </w:numPr>
      <w:tabs>
        <w:tab w:val="left" w:pos="420"/>
      </w:tabs>
      <w:ind w:hanging="1008" w:firstLineChars="0"/>
      <w:outlineLvl w:val="4"/>
    </w:pPr>
  </w:style>
  <w:style w:type="paragraph" w:styleId="6">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rPr>
      <w:rFonts w:ascii="Times New Roman" w:hAnsi="Times New Roman"/>
      <w:szCs w:val="24"/>
    </w:rPr>
  </w:style>
  <w:style w:type="paragraph" w:styleId="8">
    <w:name w:val="List Bullet"/>
    <w:basedOn w:val="1"/>
    <w:qFormat/>
    <w:uiPriority w:val="0"/>
    <w:pPr>
      <w:numPr>
        <w:ilvl w:val="0"/>
        <w:numId w:val="2"/>
      </w:numPr>
    </w:pPr>
  </w:style>
  <w:style w:type="paragraph" w:styleId="9">
    <w:name w:val="Body Text"/>
    <w:basedOn w:val="1"/>
    <w:semiHidden/>
    <w:qFormat/>
    <w:uiPriority w:val="0"/>
    <w:rPr>
      <w:rFonts w:ascii="微软雅黑" w:hAnsi="微软雅黑" w:eastAsia="微软雅黑" w:cs="微软雅黑"/>
      <w:sz w:val="19"/>
      <w:szCs w:val="19"/>
      <w:lang w:val="en-US" w:eastAsia="en-US" w:bidi="ar-SA"/>
    </w:rPr>
  </w:style>
  <w:style w:type="paragraph" w:styleId="10">
    <w:name w:val="Body Text Indent"/>
    <w:basedOn w:val="1"/>
    <w:unhideWhenUsed/>
    <w:qFormat/>
    <w:uiPriority w:val="0"/>
    <w:pPr>
      <w:spacing w:after="120"/>
      <w:ind w:left="420" w:leftChars="200"/>
    </w:pPr>
  </w:style>
  <w:style w:type="paragraph" w:styleId="11">
    <w:name w:val="envelope return"/>
    <w:basedOn w:val="1"/>
    <w:qFormat/>
    <w:uiPriority w:val="0"/>
    <w:rPr>
      <w:rFonts w:ascii="Arial" w:hAnsi="Arial"/>
    </w:rPr>
  </w:style>
  <w:style w:type="paragraph" w:styleId="12">
    <w:name w:val="List"/>
    <w:basedOn w:val="1"/>
    <w:qFormat/>
    <w:uiPriority w:val="0"/>
    <w:pPr>
      <w:ind w:left="200" w:hanging="200" w:hangingChars="200"/>
      <w:contextualSpacing/>
    </w:pPr>
  </w:style>
  <w:style w:type="paragraph" w:styleId="13">
    <w:name w:val="Body Text First Indent 2"/>
    <w:basedOn w:val="10"/>
    <w:next w:val="14"/>
    <w:qFormat/>
    <w:uiPriority w:val="0"/>
    <w:pPr>
      <w:ind w:left="0" w:leftChars="0" w:firstLine="420"/>
    </w:pPr>
  </w:style>
  <w:style w:type="paragraph" w:customStyle="1" w:styleId="14">
    <w:name w:val="表格文字"/>
    <w:basedOn w:val="12"/>
    <w:next w:val="1"/>
    <w:qFormat/>
    <w:uiPriority w:val="0"/>
    <w:pPr>
      <w:ind w:firstLine="0" w:firstLineChars="0"/>
      <w:jc w:val="center"/>
    </w:pPr>
    <w:rPr>
      <w:szCs w:val="20"/>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List Paragraph"/>
    <w:basedOn w:val="1"/>
    <w:unhideWhenUsed/>
    <w:qFormat/>
    <w:uiPriority w:val="99"/>
    <w:pPr>
      <w:ind w:firstLine="420"/>
    </w:pPr>
  </w:style>
  <w:style w:type="paragraph" w:customStyle="1" w:styleId="19">
    <w:name w:val="正文字缩1字"/>
    <w:basedOn w:val="1"/>
    <w:qFormat/>
    <w:uiPriority w:val="0"/>
    <w:pPr>
      <w:spacing w:before="60" w:after="60"/>
      <w:ind w:left="100" w:leftChars="100"/>
    </w:pPr>
    <w:rPr>
      <w:rFonts w:ascii="Times New Roman" w:hAnsi="Times New Roman" w:eastAsia="宋体"/>
      <w:szCs w:val="24"/>
    </w:rPr>
  </w:style>
  <w:style w:type="paragraph" w:customStyle="1" w:styleId="20">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12415</Words>
  <Characters>12871</Characters>
  <Lines>0</Lines>
  <Paragraphs>0</Paragraphs>
  <TotalTime>1</TotalTime>
  <ScaleCrop>false</ScaleCrop>
  <LinksUpToDate>false</LinksUpToDate>
  <CharactersWithSpaces>12914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82D285795CA8433EB33279D8CEFD16F5_13</vt:lpwstr>
  </property>
  <property fmtid="{D5CDD505-2E9C-101B-9397-08002B2CF9AE}" pid="4" name="KSOTemplateDocerSaveRecord">
    <vt:lpwstr>eyJoZGlkIjoiNjA2ZDk3ZTc3MzQxM2RlNDMwOGQ0ZWJkOGMzYTI2ZjgiLCJ1c2VySWQiOiIzNzc1MzAxMDgifQ==</vt:lpwstr>
  </property>
</Properties>
</file>