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52B0C4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eastAsia="zh-CN"/>
        </w:rPr>
      </w:pPr>
      <w:r>
        <w:rPr>
          <w:rFonts w:hint="eastAsia" w:ascii="宋体" w:hAnsi="宋体" w:eastAsia="宋体"/>
          <w:sz w:val="24"/>
        </w:rPr>
        <w:t>针对本次国网新疆阿勒泰供电公司的招标项目，我司在仔细研读《国网新疆阿勒泰供电公司 2026 年 PMS3.0 巡视应用与变电智能巡视业务融合技术规范书》后，对本项目的背景、目标、难点及后续实施路径进行了深度的剖析与理解。本项目是实现变电站运维数字化转型、提高巡视效率与质量的关键一环。通过将新一代设备资产精益管理系统（PMS3.0）与阿勒泰远程智能巡视系统深度融合，旨在打破以往系统间的数据孤岛，构建从任务下发、设备巡视、异常上报到缺陷消除的全流程闭环管理体系</w:t>
      </w:r>
      <w:r>
        <w:rPr>
          <w:rFonts w:hint="eastAsia" w:ascii="宋体" w:hAnsi="宋体"/>
          <w:sz w:val="24"/>
          <w:lang w:eastAsia="zh-CN"/>
        </w:rPr>
        <w:t>。</w:t>
      </w:r>
    </w:p>
    <w:p w14:paraId="494BBF8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49C65A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随着智能电网建设的不断深入，变电站设备规模日益庞大，传统的依靠人工现场巡视的运维模式已经难以满足现代电网对安全性、可靠性和高效性的要求。国网新疆阿勒泰供电公司辖区内地形复杂、气候多变，尤其在冬季暴雪或极端恶劣天气下，人工巡视不仅效率低下，且存在极大的安全隐患。因此，大力推进变电站远程智能巡视建设，利用高清摄像头、机器人等智能终端代替人工执行巡视任务，已成为必然趋势。</w:t>
      </w:r>
    </w:p>
    <w:p w14:paraId="5946D9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eastAsia="宋体"/>
          <w:sz w:val="24"/>
        </w:rPr>
        <w:t>与此同时，国家电网公司正在全面推广应用新一代设备资产精益管理系统（PMS3.0），其作为电网设备管理的核心枢纽，承载着基础台账管理、巡视计划制定、缺陷隐患闭环等关键业务。然而，在当前的实际业务开展中，PMS3.0 巡视管理模块与前端的阿勒泰远程智能巡视系统之间尚未实现深度的数据交互与业务协同。具体表现为：智能巡视系统获取的巡视点位信息与 PMS3.0 中的设备部位编码存在脱节，导致巡视结果无法精准落位到设备台账；PMS3.0 下发的巡视计划无法直接驱动智能设备执行，仍需人工在多系统间切换操作；智能巡视发现的异常数据和缺陷不能自动推送到 PMS3.0 进行闭环处理，形成了数据壁垒和业务断层。基于此背景，开展 PMS3.0 巡视应用与变电智能巡视业务的数据融合贯通，已成为提升阿勒泰供电公司运检业务数智化水平的迫切需求。</w:t>
      </w:r>
    </w:p>
    <w:p w14:paraId="60AE8AC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50821E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3"/>
        <w:rPr>
          <w:rFonts w:hint="eastAsia" w:ascii="宋体" w:hAnsi="宋体" w:eastAsia="宋体"/>
          <w:sz w:val="24"/>
        </w:rPr>
      </w:pPr>
      <w:r>
        <w:rPr>
          <w:rFonts w:hint="eastAsia" w:ascii="宋体" w:hAnsi="宋体" w:eastAsia="宋体"/>
          <w:sz w:val="24"/>
          <w:lang w:val="en-US" w:eastAsia="zh-CN"/>
        </w:rPr>
        <w:t>1.2.1</w:t>
      </w:r>
      <w:r>
        <w:rPr>
          <w:rFonts w:hint="eastAsia" w:ascii="宋体" w:hAnsi="宋体" w:eastAsia="宋体"/>
          <w:sz w:val="24"/>
        </w:rPr>
        <w:t>总体目标</w:t>
      </w:r>
    </w:p>
    <w:p w14:paraId="034C9B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rPr>
      </w:pPr>
      <w:r>
        <w:rPr>
          <w:rFonts w:hint="eastAsia" w:ascii="宋体" w:hAnsi="宋体" w:eastAsia="宋体"/>
          <w:sz w:val="24"/>
        </w:rPr>
        <w:t>本项目的核心目标是彻底打通 PMS3.0 与阿勒泰远程智能巡视系统之间的数据链路，实现巡视任务、巡视点位、执行状态、点位结果及附件、缺陷管理等核心业务数据的全面贯通与融合，构建 “一键下达、智能执行、自动回传、闭环管理” 的新型机巡作业模式。具体而言，项目目标涵盖以下几个维度：</w:t>
      </w:r>
    </w:p>
    <w:p w14:paraId="13B98A6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eastAsia="宋体"/>
          <w:sz w:val="24"/>
        </w:rPr>
      </w:pPr>
      <w:r>
        <w:rPr>
          <w:rFonts w:hint="eastAsia" w:ascii="宋体" w:hAnsi="宋体" w:eastAsia="宋体"/>
          <w:sz w:val="24"/>
        </w:rPr>
        <w:t>台账与编码体系统一：实现 PMS3.0 基础设备部位编码与智能巡视系统点位标准的双向统一，确保底层数据同源、同构，为后续业务联动奠定坚实基础。</w:t>
      </w:r>
    </w:p>
    <w:p w14:paraId="04F9B6F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eastAsia="宋体"/>
          <w:sz w:val="24"/>
        </w:rPr>
      </w:pPr>
      <w:r>
        <w:rPr>
          <w:rFonts w:hint="eastAsia" w:ascii="宋体" w:hAnsi="宋体" w:eastAsia="宋体"/>
          <w:sz w:val="24"/>
        </w:rPr>
        <w:t>巡视任务全链路贯通：实现从 PMS3.0 发起特殊巡视计划或周期计划，自动生成机巡任务并实时推送至智巡系统，彻底消除人工跨系统派发的繁琐环节。</w:t>
      </w:r>
    </w:p>
    <w:p w14:paraId="7A4C2CD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eastAsia="宋体"/>
          <w:sz w:val="24"/>
        </w:rPr>
      </w:pPr>
      <w:r>
        <w:rPr>
          <w:rFonts w:hint="eastAsia" w:ascii="宋体" w:hAnsi="宋体" w:eastAsia="宋体"/>
          <w:sz w:val="24"/>
        </w:rPr>
        <w:t>状态与结果实时可视：智巡系统在执行任务过程中的各项状态（开始、暂停、终止等）能够实时同步至 PMS3.0；巡视完成后，高清图片、视频及识别结果等丰富附件资源能在 PMS3.0 的 PC 端和移动端无缝查阅，提升现场作业的透明度。</w:t>
      </w:r>
    </w:p>
    <w:p w14:paraId="63A4F34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eastAsia="宋体"/>
          <w:sz w:val="24"/>
          <w:lang w:val="en-US" w:eastAsia="zh-CN"/>
        </w:rPr>
      </w:pPr>
      <w:r>
        <w:rPr>
          <w:rFonts w:hint="eastAsia" w:ascii="宋体" w:hAnsi="宋体" w:eastAsia="宋体"/>
          <w:sz w:val="24"/>
        </w:rPr>
        <w:t>缺陷与异常闭环管理：针对智巡系统发现的异常数据，能够自动触发并调用电网资源业务中台新增缺陷服务，将缺陷详情及来源与原巡视任务精准绑定推送到 PMS3.0，配合人工复核与特巡机制，确保每一个隐患都能得到 100% 的跟踪与消除</w:t>
      </w:r>
      <w:r>
        <w:rPr>
          <w:rFonts w:hint="eastAsia" w:ascii="宋体" w:hAnsi="宋体" w:eastAsia="宋体"/>
          <w:sz w:val="24"/>
          <w:lang w:eastAsia="zh-CN"/>
        </w:rPr>
        <w:t>。</w:t>
      </w:r>
    </w:p>
    <w:p w14:paraId="5745D997">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427D1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hint="eastAsia" w:ascii="宋体" w:hAnsi="宋体" w:eastAsia="宋体"/>
          <w:sz w:val="24"/>
          <w:lang w:val="en-US" w:eastAsia="zh-CN"/>
        </w:rPr>
        <w:t>要实现如此深度的系统融合与业务贯通，技术实现和业务协同上面临着诸多挑战。我司经过深入的技术论证，梳理出本项目实施过程中的七大重难点，并提出了相应的应对思路：</w:t>
      </w:r>
    </w:p>
    <w:tbl>
      <w:tblPr>
        <w:tblStyle w:val="15"/>
        <w:tblW w:w="8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65"/>
        <w:gridCol w:w="5974"/>
      </w:tblGrid>
      <w:tr w14:paraId="436A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Header/>
        </w:trPr>
        <w:tc>
          <w:tcPr>
            <w:tcW w:w="2365" w:type="dxa"/>
            <w:shd w:val="clear" w:color="auto" w:fill="F2F3F5"/>
            <w:tcMar>
              <w:top w:w="80" w:type="dxa"/>
              <w:left w:w="80" w:type="dxa"/>
              <w:bottom w:w="80" w:type="dxa"/>
              <w:right w:w="80" w:type="dxa"/>
            </w:tcMar>
            <w:vAlign w:val="top"/>
          </w:tcPr>
          <w:p w14:paraId="712769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1"/>
                <w:szCs w:val="21"/>
              </w:rPr>
            </w:pPr>
            <w:r>
              <w:rPr>
                <w:rFonts w:ascii="宋体" w:hAnsi="宋体" w:eastAsia="宋体" w:cs="宋体"/>
                <w:b/>
                <w:bCs/>
                <w:kern w:val="0"/>
                <w:sz w:val="21"/>
                <w:szCs w:val="21"/>
                <w:lang w:val="en-US" w:eastAsia="zh-CN" w:bidi="ar"/>
              </w:rPr>
              <w:t>重难点方向</w:t>
            </w:r>
          </w:p>
        </w:tc>
        <w:tc>
          <w:tcPr>
            <w:tcW w:w="5974" w:type="dxa"/>
            <w:shd w:val="clear" w:color="auto" w:fill="F2F3F5"/>
            <w:tcMar>
              <w:top w:w="80" w:type="dxa"/>
              <w:left w:w="80" w:type="dxa"/>
              <w:bottom w:w="80" w:type="dxa"/>
              <w:right w:w="80" w:type="dxa"/>
            </w:tcMar>
            <w:vAlign w:val="top"/>
          </w:tcPr>
          <w:p w14:paraId="2A4C00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1"/>
                <w:szCs w:val="21"/>
              </w:rPr>
            </w:pPr>
            <w:r>
              <w:rPr>
                <w:rFonts w:ascii="宋体" w:hAnsi="宋体" w:eastAsia="宋体" w:cs="宋体"/>
                <w:b/>
                <w:bCs/>
                <w:kern w:val="0"/>
                <w:sz w:val="21"/>
                <w:szCs w:val="21"/>
                <w:lang w:val="en-US" w:eastAsia="zh-CN" w:bidi="ar"/>
              </w:rPr>
              <w:t>难点描述与技术挑战</w:t>
            </w:r>
          </w:p>
        </w:tc>
      </w:tr>
      <w:tr w14:paraId="4434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368" w:hRule="atLeast"/>
        </w:trPr>
        <w:tc>
          <w:tcPr>
            <w:tcW w:w="2365" w:type="dxa"/>
            <w:shd w:val="clear" w:color="auto" w:fill="auto"/>
            <w:tcMar>
              <w:top w:w="80" w:type="dxa"/>
              <w:left w:w="80" w:type="dxa"/>
              <w:bottom w:w="80" w:type="dxa"/>
              <w:right w:w="80" w:type="dxa"/>
            </w:tcMar>
            <w:vAlign w:val="top"/>
          </w:tcPr>
          <w:p w14:paraId="47AD2D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基础台账与设备部位编码一致性</w:t>
            </w:r>
          </w:p>
        </w:tc>
        <w:tc>
          <w:tcPr>
            <w:tcW w:w="5974" w:type="dxa"/>
            <w:shd w:val="clear" w:color="auto" w:fill="auto"/>
            <w:tcMar>
              <w:top w:w="80" w:type="dxa"/>
              <w:left w:w="80" w:type="dxa"/>
              <w:bottom w:w="80" w:type="dxa"/>
              <w:right w:w="80" w:type="dxa"/>
            </w:tcMar>
            <w:vAlign w:val="top"/>
          </w:tcPr>
          <w:p w14:paraId="788F5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PMS3.0 与智巡系统历史数据结构不同，存量设备部位编码不一。难点在于如何在不影响现有业务的情况下，完成海量台账数据的清洗、匹配与标准化映射。</w:t>
            </w:r>
          </w:p>
        </w:tc>
      </w:tr>
      <w:tr w14:paraId="5C8E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8" w:hRule="atLeast"/>
        </w:trPr>
        <w:tc>
          <w:tcPr>
            <w:tcW w:w="2365" w:type="dxa"/>
            <w:shd w:val="clear" w:color="auto" w:fill="auto"/>
            <w:tcMar>
              <w:top w:w="80" w:type="dxa"/>
              <w:left w:w="80" w:type="dxa"/>
              <w:bottom w:w="80" w:type="dxa"/>
              <w:right w:w="80" w:type="dxa"/>
            </w:tcMar>
            <w:vAlign w:val="top"/>
          </w:tcPr>
          <w:p w14:paraId="73535C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点位标准与同步机制</w:t>
            </w:r>
          </w:p>
        </w:tc>
        <w:tc>
          <w:tcPr>
            <w:tcW w:w="5974" w:type="dxa"/>
            <w:shd w:val="clear" w:color="auto" w:fill="auto"/>
            <w:tcMar>
              <w:top w:w="80" w:type="dxa"/>
              <w:left w:w="80" w:type="dxa"/>
              <w:bottom w:w="80" w:type="dxa"/>
              <w:right w:w="80" w:type="dxa"/>
            </w:tcMar>
            <w:vAlign w:val="top"/>
          </w:tcPr>
          <w:p w14:paraId="640530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智巡系统点位属性繁多（含阈值、采集类型、仪表类型等 10 余项字段），且动态增删改频繁。如何确保 PMS3.0 能实时接收变更且不错漏，是数据一致性的考验。</w:t>
            </w:r>
          </w:p>
        </w:tc>
      </w:tr>
      <w:tr w14:paraId="29DC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368" w:hRule="atLeast"/>
        </w:trPr>
        <w:tc>
          <w:tcPr>
            <w:tcW w:w="2365" w:type="dxa"/>
            <w:shd w:val="clear" w:color="auto" w:fill="auto"/>
            <w:tcMar>
              <w:top w:w="80" w:type="dxa"/>
              <w:left w:w="80" w:type="dxa"/>
              <w:bottom w:w="80" w:type="dxa"/>
              <w:right w:w="80" w:type="dxa"/>
            </w:tcMar>
            <w:vAlign w:val="top"/>
          </w:tcPr>
          <w:p w14:paraId="296EC9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批量配置与标准化应用</w:t>
            </w:r>
          </w:p>
        </w:tc>
        <w:tc>
          <w:tcPr>
            <w:tcW w:w="5974" w:type="dxa"/>
            <w:shd w:val="clear" w:color="auto" w:fill="auto"/>
            <w:tcMar>
              <w:top w:w="80" w:type="dxa"/>
              <w:left w:w="80" w:type="dxa"/>
              <w:bottom w:w="80" w:type="dxa"/>
              <w:right w:w="80" w:type="dxa"/>
            </w:tcMar>
            <w:vAlign w:val="top"/>
          </w:tcPr>
          <w:p w14:paraId="61402C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面对阿勒泰众多变电站及同类型设备，如何设计高效的批量应用策略，避免人工逐一点位配置的低效，同时兼顾特殊设备的个性化参数。</w:t>
            </w:r>
          </w:p>
        </w:tc>
      </w:tr>
      <w:tr w14:paraId="539F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66" w:hRule="atLeast"/>
        </w:trPr>
        <w:tc>
          <w:tcPr>
            <w:tcW w:w="2365" w:type="dxa"/>
            <w:shd w:val="clear" w:color="auto" w:fill="auto"/>
            <w:tcMar>
              <w:top w:w="80" w:type="dxa"/>
              <w:left w:w="80" w:type="dxa"/>
              <w:bottom w:w="80" w:type="dxa"/>
              <w:right w:w="80" w:type="dxa"/>
            </w:tcMar>
            <w:vAlign w:val="top"/>
          </w:tcPr>
          <w:p w14:paraId="6BFE84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计划/任务消息实时推送</w:t>
            </w:r>
          </w:p>
        </w:tc>
        <w:tc>
          <w:tcPr>
            <w:tcW w:w="5974" w:type="dxa"/>
            <w:shd w:val="clear" w:color="auto" w:fill="auto"/>
            <w:tcMar>
              <w:top w:w="80" w:type="dxa"/>
              <w:left w:w="80" w:type="dxa"/>
              <w:bottom w:w="80" w:type="dxa"/>
              <w:right w:w="80" w:type="dxa"/>
            </w:tcMar>
            <w:vAlign w:val="top"/>
          </w:tcPr>
          <w:p w14:paraId="571CA4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采用消息中间件进行任务下发时，需应对网络波动导致的丢包问题；任务生成、派发、回写状态的流转必须保证事务的完整性与一致性。</w:t>
            </w:r>
          </w:p>
        </w:tc>
      </w:tr>
      <w:tr w14:paraId="5A02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8" w:hRule="atLeast"/>
        </w:trPr>
        <w:tc>
          <w:tcPr>
            <w:tcW w:w="2365" w:type="dxa"/>
            <w:shd w:val="clear" w:color="auto" w:fill="auto"/>
            <w:tcMar>
              <w:top w:w="80" w:type="dxa"/>
              <w:left w:w="80" w:type="dxa"/>
              <w:bottom w:w="80" w:type="dxa"/>
              <w:right w:w="80" w:type="dxa"/>
            </w:tcMar>
            <w:vAlign w:val="top"/>
          </w:tcPr>
          <w:p w14:paraId="7C0199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图片视频附件承载与展示</w:t>
            </w:r>
          </w:p>
        </w:tc>
        <w:tc>
          <w:tcPr>
            <w:tcW w:w="5974" w:type="dxa"/>
            <w:shd w:val="clear" w:color="auto" w:fill="auto"/>
            <w:tcMar>
              <w:top w:w="80" w:type="dxa"/>
              <w:left w:w="80" w:type="dxa"/>
              <w:bottom w:w="80" w:type="dxa"/>
              <w:right w:w="80" w:type="dxa"/>
            </w:tcMar>
            <w:vAlign w:val="top"/>
          </w:tcPr>
          <w:p w14:paraId="758968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巡视产生的高清图片和视频数据量极大。PMS3.0 在 PC/移动端加载时，需解决大文件传输、带宽占用过高及播放兼容性等问题，保证响应速度。</w:t>
            </w:r>
          </w:p>
        </w:tc>
      </w:tr>
      <w:tr w14:paraId="605F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67" w:hRule="atLeast"/>
        </w:trPr>
        <w:tc>
          <w:tcPr>
            <w:tcW w:w="2365" w:type="dxa"/>
            <w:shd w:val="clear" w:color="auto" w:fill="auto"/>
            <w:tcMar>
              <w:top w:w="80" w:type="dxa"/>
              <w:left w:w="80" w:type="dxa"/>
              <w:bottom w:w="80" w:type="dxa"/>
              <w:right w:w="80" w:type="dxa"/>
            </w:tcMar>
            <w:vAlign w:val="top"/>
          </w:tcPr>
          <w:p w14:paraId="761579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接口幂等与一致性</w:t>
            </w:r>
          </w:p>
        </w:tc>
        <w:tc>
          <w:tcPr>
            <w:tcW w:w="5974" w:type="dxa"/>
            <w:shd w:val="clear" w:color="auto" w:fill="auto"/>
            <w:tcMar>
              <w:top w:w="80" w:type="dxa"/>
              <w:left w:w="80" w:type="dxa"/>
              <w:bottom w:w="80" w:type="dxa"/>
              <w:right w:w="80" w:type="dxa"/>
            </w:tcMar>
            <w:vAlign w:val="top"/>
          </w:tcPr>
          <w:p w14:paraId="24AEAF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缺陷推送、状态上报等接口在系统重试机制下，极易产生脏数据。所有核心接口必须实现严格的幂等性设计，防止数据重复入库。</w:t>
            </w:r>
          </w:p>
        </w:tc>
      </w:tr>
      <w:tr w14:paraId="62D9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77" w:hRule="atLeast"/>
        </w:trPr>
        <w:tc>
          <w:tcPr>
            <w:tcW w:w="2365" w:type="dxa"/>
            <w:shd w:val="clear" w:color="auto" w:fill="auto"/>
            <w:tcMar>
              <w:top w:w="80" w:type="dxa"/>
              <w:left w:w="80" w:type="dxa"/>
              <w:bottom w:w="80" w:type="dxa"/>
              <w:right w:w="80" w:type="dxa"/>
            </w:tcMar>
            <w:vAlign w:val="top"/>
          </w:tcPr>
          <w:p w14:paraId="70A2AC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8"/>
                <w:rFonts w:ascii="宋体" w:hAnsi="宋体" w:eastAsia="宋体" w:cs="宋体"/>
                <w:kern w:val="0"/>
                <w:sz w:val="20"/>
                <w:szCs w:val="20"/>
                <w:lang w:val="en-US" w:eastAsia="zh-CN" w:bidi="ar"/>
              </w:rPr>
              <w:t>可靠性与并发性能</w:t>
            </w:r>
          </w:p>
        </w:tc>
        <w:tc>
          <w:tcPr>
            <w:tcW w:w="5974" w:type="dxa"/>
            <w:shd w:val="clear" w:color="auto" w:fill="auto"/>
            <w:tcMar>
              <w:top w:w="80" w:type="dxa"/>
              <w:left w:w="80" w:type="dxa"/>
              <w:bottom w:w="80" w:type="dxa"/>
              <w:right w:w="80" w:type="dxa"/>
            </w:tcMar>
            <w:vAlign w:val="top"/>
          </w:tcPr>
          <w:p w14:paraId="1CDB92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在极端天气下可能触发大规模特巡任务，此时系统并发量激增。系统架构需具备高可用性和削峰填谷能力，避免接口网关宕机。</w:t>
            </w:r>
          </w:p>
        </w:tc>
      </w:tr>
    </w:tbl>
    <w:p w14:paraId="0FAF005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1270F3C3">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针对上述目标和难点，我司制定了科学严谨、分阶段推进的实施路径。整个项目将遵循 “先夯实基础、再贯通流程、后优化体验” 的原则，稳扎稳打推进。</w:t>
      </w:r>
    </w:p>
    <w:p w14:paraId="1CDD15D0">
      <w:pPr>
        <w:spacing w:line="360" w:lineRule="auto"/>
        <w:ind w:firstLine="48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062480" cy="8288655"/>
            <wp:effectExtent l="0" t="0" r="7620" b="4445"/>
            <wp:docPr id="42" name="图片 42" descr="anygen-whiteboar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nygen-whiteboard-image"/>
                    <pic:cNvPicPr>
                      <a:picLocks noChangeAspect="1"/>
                    </pic:cNvPicPr>
                  </pic:nvPicPr>
                  <pic:blipFill>
                    <a:blip r:embed="rId5"/>
                    <a:stretch>
                      <a:fillRect/>
                    </a:stretch>
                  </pic:blipFill>
                  <pic:spPr>
                    <a:xfrm>
                      <a:off x="0" y="0"/>
                      <a:ext cx="2062480" cy="8288655"/>
                    </a:xfrm>
                    <a:prstGeom prst="rect">
                      <a:avLst/>
                    </a:prstGeom>
                  </pic:spPr>
                </pic:pic>
              </a:graphicData>
            </a:graphic>
          </wp:inline>
        </w:drawing>
      </w:r>
    </w:p>
    <w:tbl>
      <w:tblPr>
        <w:tblStyle w:val="15"/>
        <w:tblW w:w="84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74"/>
        <w:gridCol w:w="5513"/>
        <w:gridCol w:w="2272"/>
      </w:tblGrid>
      <w:tr w14:paraId="5900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9" w:hRule="atLeast"/>
          <w:tblHeader/>
        </w:trPr>
        <w:tc>
          <w:tcPr>
            <w:tcW w:w="0" w:type="auto"/>
            <w:shd w:val="clear" w:color="auto" w:fill="F2F3F5"/>
            <w:tcMar>
              <w:top w:w="80" w:type="dxa"/>
              <w:left w:w="80" w:type="dxa"/>
              <w:bottom w:w="80" w:type="dxa"/>
              <w:right w:w="80" w:type="dxa"/>
            </w:tcMar>
            <w:vAlign w:val="center"/>
          </w:tcPr>
          <w:p w14:paraId="52CA3A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4"/>
                <w:szCs w:val="24"/>
              </w:rPr>
            </w:pPr>
            <w:r>
              <w:rPr>
                <w:rFonts w:ascii="宋体" w:hAnsi="宋体" w:eastAsia="宋体" w:cs="宋体"/>
                <w:b/>
                <w:bCs/>
                <w:kern w:val="0"/>
                <w:sz w:val="24"/>
                <w:szCs w:val="24"/>
                <w:lang w:val="en-US" w:eastAsia="zh-CN" w:bidi="ar"/>
              </w:rPr>
              <w:t>阶段</w:t>
            </w:r>
          </w:p>
        </w:tc>
        <w:tc>
          <w:tcPr>
            <w:tcW w:w="0" w:type="auto"/>
            <w:shd w:val="clear" w:color="auto" w:fill="F2F3F5"/>
            <w:tcMar>
              <w:top w:w="80" w:type="dxa"/>
              <w:left w:w="80" w:type="dxa"/>
              <w:bottom w:w="80" w:type="dxa"/>
              <w:right w:w="80" w:type="dxa"/>
            </w:tcMar>
            <w:vAlign w:val="center"/>
          </w:tcPr>
          <w:p w14:paraId="3ED22A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4"/>
                <w:szCs w:val="24"/>
              </w:rPr>
            </w:pPr>
            <w:r>
              <w:rPr>
                <w:rFonts w:ascii="宋体" w:hAnsi="宋体" w:eastAsia="宋体" w:cs="宋体"/>
                <w:b/>
                <w:bCs/>
                <w:kern w:val="0"/>
                <w:sz w:val="24"/>
                <w:szCs w:val="24"/>
                <w:lang w:val="en-US" w:eastAsia="zh-CN" w:bidi="ar"/>
              </w:rPr>
              <w:t>核心任务</w:t>
            </w:r>
          </w:p>
        </w:tc>
        <w:tc>
          <w:tcPr>
            <w:tcW w:w="0" w:type="auto"/>
            <w:shd w:val="clear" w:color="auto" w:fill="F2F3F5"/>
            <w:tcMar>
              <w:top w:w="80" w:type="dxa"/>
              <w:left w:w="80" w:type="dxa"/>
              <w:bottom w:w="80" w:type="dxa"/>
              <w:right w:w="80" w:type="dxa"/>
            </w:tcMar>
            <w:vAlign w:val="center"/>
          </w:tcPr>
          <w:p w14:paraId="74EE17E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4"/>
                <w:szCs w:val="24"/>
              </w:rPr>
            </w:pPr>
            <w:r>
              <w:rPr>
                <w:rFonts w:ascii="宋体" w:hAnsi="宋体" w:eastAsia="宋体" w:cs="宋体"/>
                <w:b/>
                <w:bCs/>
                <w:kern w:val="0"/>
                <w:sz w:val="24"/>
                <w:szCs w:val="24"/>
                <w:lang w:val="en-US" w:eastAsia="zh-CN" w:bidi="ar"/>
              </w:rPr>
              <w:t>阶段产出物</w:t>
            </w:r>
          </w:p>
        </w:tc>
      </w:tr>
      <w:tr w14:paraId="6188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0" w:hRule="atLeast"/>
        </w:trPr>
        <w:tc>
          <w:tcPr>
            <w:tcW w:w="0" w:type="auto"/>
            <w:shd w:val="clear" w:color="auto" w:fill="auto"/>
            <w:tcMar>
              <w:top w:w="80" w:type="dxa"/>
              <w:left w:w="80" w:type="dxa"/>
              <w:bottom w:w="80" w:type="dxa"/>
              <w:right w:w="80" w:type="dxa"/>
            </w:tcMar>
            <w:vAlign w:val="top"/>
          </w:tcPr>
          <w:p w14:paraId="0AB046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Style w:val="18"/>
                <w:rFonts w:ascii="宋体" w:hAnsi="宋体" w:eastAsia="宋体" w:cs="宋体"/>
                <w:kern w:val="0"/>
                <w:sz w:val="24"/>
                <w:szCs w:val="24"/>
                <w:lang w:val="en-US" w:eastAsia="zh-CN" w:bidi="ar"/>
              </w:rPr>
              <w:t>现状梳理</w:t>
            </w:r>
          </w:p>
        </w:tc>
        <w:tc>
          <w:tcPr>
            <w:tcW w:w="0" w:type="auto"/>
            <w:shd w:val="clear" w:color="auto" w:fill="auto"/>
            <w:tcMar>
              <w:top w:w="80" w:type="dxa"/>
              <w:left w:w="80" w:type="dxa"/>
              <w:bottom w:w="80" w:type="dxa"/>
              <w:right w:w="80" w:type="dxa"/>
            </w:tcMar>
            <w:vAlign w:val="top"/>
          </w:tcPr>
          <w:p w14:paraId="21FB41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盘点 PMS3.0 与智巡系统现有的数据字典、存量台账差异，制定编码清洗与映射规则，完成台账基线核对。</w:t>
            </w:r>
          </w:p>
        </w:tc>
        <w:tc>
          <w:tcPr>
            <w:tcW w:w="0" w:type="auto"/>
            <w:shd w:val="clear" w:color="auto" w:fill="auto"/>
            <w:tcMar>
              <w:top w:w="80" w:type="dxa"/>
              <w:left w:w="80" w:type="dxa"/>
              <w:bottom w:w="80" w:type="dxa"/>
              <w:right w:w="80" w:type="dxa"/>
            </w:tcMar>
            <w:vAlign w:val="top"/>
          </w:tcPr>
          <w:p w14:paraId="5BD290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《数据治理报告》《设备部位编码映射表》</w:t>
            </w:r>
          </w:p>
        </w:tc>
      </w:tr>
      <w:tr w14:paraId="1D3B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83" w:hRule="atLeast"/>
        </w:trPr>
        <w:tc>
          <w:tcPr>
            <w:tcW w:w="0" w:type="auto"/>
            <w:shd w:val="clear" w:color="auto" w:fill="auto"/>
            <w:tcMar>
              <w:top w:w="80" w:type="dxa"/>
              <w:left w:w="80" w:type="dxa"/>
              <w:bottom w:w="80" w:type="dxa"/>
              <w:right w:w="80" w:type="dxa"/>
            </w:tcMar>
            <w:vAlign w:val="top"/>
          </w:tcPr>
          <w:p w14:paraId="4DC0F6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Style w:val="18"/>
                <w:rFonts w:ascii="宋体" w:hAnsi="宋体" w:eastAsia="宋体" w:cs="宋体"/>
                <w:kern w:val="0"/>
                <w:sz w:val="24"/>
                <w:szCs w:val="24"/>
                <w:lang w:val="en-US" w:eastAsia="zh-CN" w:bidi="ar"/>
              </w:rPr>
              <w:t>接口设计</w:t>
            </w:r>
          </w:p>
        </w:tc>
        <w:tc>
          <w:tcPr>
            <w:tcW w:w="0" w:type="auto"/>
            <w:shd w:val="clear" w:color="auto" w:fill="auto"/>
            <w:tcMar>
              <w:top w:w="80" w:type="dxa"/>
              <w:left w:w="80" w:type="dxa"/>
              <w:bottom w:w="80" w:type="dxa"/>
              <w:right w:w="80" w:type="dxa"/>
            </w:tcMar>
            <w:vAlign w:val="top"/>
          </w:tcPr>
          <w:p w14:paraId="7AF43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依托电网资源业务中台，定义点位推送、任务下发、状态上报、缺陷同步等 API 标准及消息队列主题（Topic）。</w:t>
            </w:r>
          </w:p>
        </w:tc>
        <w:tc>
          <w:tcPr>
            <w:tcW w:w="0" w:type="auto"/>
            <w:shd w:val="clear" w:color="auto" w:fill="auto"/>
            <w:tcMar>
              <w:top w:w="80" w:type="dxa"/>
              <w:left w:w="80" w:type="dxa"/>
              <w:bottom w:w="80" w:type="dxa"/>
              <w:right w:w="80" w:type="dxa"/>
            </w:tcMar>
            <w:vAlign w:val="top"/>
          </w:tcPr>
          <w:p w14:paraId="3FD029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《接口详细设计说明书》《数据模型文档》</w:t>
            </w:r>
          </w:p>
        </w:tc>
      </w:tr>
      <w:tr w14:paraId="6832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83" w:hRule="atLeast"/>
        </w:trPr>
        <w:tc>
          <w:tcPr>
            <w:tcW w:w="0" w:type="auto"/>
            <w:shd w:val="clear" w:color="auto" w:fill="auto"/>
            <w:tcMar>
              <w:top w:w="80" w:type="dxa"/>
              <w:left w:w="80" w:type="dxa"/>
              <w:bottom w:w="80" w:type="dxa"/>
              <w:right w:w="80" w:type="dxa"/>
            </w:tcMar>
            <w:vAlign w:val="top"/>
          </w:tcPr>
          <w:p w14:paraId="50D9C4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Style w:val="18"/>
                <w:rFonts w:ascii="宋体" w:hAnsi="宋体" w:eastAsia="宋体" w:cs="宋体"/>
                <w:kern w:val="0"/>
                <w:sz w:val="24"/>
                <w:szCs w:val="24"/>
                <w:lang w:val="en-US" w:eastAsia="zh-CN" w:bidi="ar"/>
              </w:rPr>
              <w:t>开发联调</w:t>
            </w:r>
          </w:p>
        </w:tc>
        <w:tc>
          <w:tcPr>
            <w:tcW w:w="0" w:type="auto"/>
            <w:shd w:val="clear" w:color="auto" w:fill="auto"/>
            <w:tcMar>
              <w:top w:w="80" w:type="dxa"/>
              <w:left w:w="80" w:type="dxa"/>
              <w:bottom w:w="80" w:type="dxa"/>
              <w:right w:w="80" w:type="dxa"/>
            </w:tcMar>
            <w:vAlign w:val="top"/>
          </w:tcPr>
          <w:p w14:paraId="764541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前后端联调开发，搭建消息中间件通道，实现核心业务闭环；进行压力测试与大文件传输优化。</w:t>
            </w:r>
          </w:p>
        </w:tc>
        <w:tc>
          <w:tcPr>
            <w:tcW w:w="0" w:type="auto"/>
            <w:shd w:val="clear" w:color="auto" w:fill="auto"/>
            <w:tcMar>
              <w:top w:w="80" w:type="dxa"/>
              <w:left w:w="80" w:type="dxa"/>
              <w:bottom w:w="80" w:type="dxa"/>
              <w:right w:w="80" w:type="dxa"/>
            </w:tcMar>
            <w:vAlign w:val="top"/>
          </w:tcPr>
          <w:p w14:paraId="259F58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《系统集成测试报告》《安全压力测试报告》</w:t>
            </w:r>
          </w:p>
        </w:tc>
      </w:tr>
      <w:tr w14:paraId="30AA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0" w:hRule="atLeast"/>
        </w:trPr>
        <w:tc>
          <w:tcPr>
            <w:tcW w:w="0" w:type="auto"/>
            <w:shd w:val="clear" w:color="auto" w:fill="auto"/>
            <w:tcMar>
              <w:top w:w="80" w:type="dxa"/>
              <w:left w:w="80" w:type="dxa"/>
              <w:bottom w:w="80" w:type="dxa"/>
              <w:right w:w="80" w:type="dxa"/>
            </w:tcMar>
            <w:vAlign w:val="top"/>
          </w:tcPr>
          <w:p w14:paraId="1B629A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Style w:val="18"/>
                <w:rFonts w:ascii="宋体" w:hAnsi="宋体" w:eastAsia="宋体" w:cs="宋体"/>
                <w:kern w:val="0"/>
                <w:sz w:val="24"/>
                <w:szCs w:val="24"/>
                <w:lang w:val="en-US" w:eastAsia="zh-CN" w:bidi="ar"/>
              </w:rPr>
              <w:t>试运行</w:t>
            </w:r>
          </w:p>
        </w:tc>
        <w:tc>
          <w:tcPr>
            <w:tcW w:w="0" w:type="auto"/>
            <w:shd w:val="clear" w:color="auto" w:fill="auto"/>
            <w:tcMar>
              <w:top w:w="80" w:type="dxa"/>
              <w:left w:w="80" w:type="dxa"/>
              <w:bottom w:w="80" w:type="dxa"/>
              <w:right w:w="80" w:type="dxa"/>
            </w:tcMar>
            <w:vAlign w:val="top"/>
          </w:tcPr>
          <w:p w14:paraId="4AAFD3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选取阿勒泰重点变电站开展小范围试点，验证从计划制定到缺陷消除的真实场景，收集用户反馈。</w:t>
            </w:r>
          </w:p>
        </w:tc>
        <w:tc>
          <w:tcPr>
            <w:tcW w:w="0" w:type="auto"/>
            <w:shd w:val="clear" w:color="auto" w:fill="auto"/>
            <w:tcMar>
              <w:top w:w="80" w:type="dxa"/>
              <w:left w:w="80" w:type="dxa"/>
              <w:bottom w:w="80" w:type="dxa"/>
              <w:right w:w="80" w:type="dxa"/>
            </w:tcMar>
            <w:vAlign w:val="top"/>
          </w:tcPr>
          <w:p w14:paraId="7C7879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《试运行报告》《用户操作手册》</w:t>
            </w:r>
          </w:p>
        </w:tc>
      </w:tr>
      <w:tr w14:paraId="1034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99" w:hRule="atLeast"/>
        </w:trPr>
        <w:tc>
          <w:tcPr>
            <w:tcW w:w="0" w:type="auto"/>
            <w:shd w:val="clear" w:color="auto" w:fill="auto"/>
            <w:tcMar>
              <w:top w:w="80" w:type="dxa"/>
              <w:left w:w="80" w:type="dxa"/>
              <w:bottom w:w="80" w:type="dxa"/>
              <w:right w:w="80" w:type="dxa"/>
            </w:tcMar>
            <w:vAlign w:val="top"/>
          </w:tcPr>
          <w:p w14:paraId="2C9161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Style w:val="18"/>
                <w:rFonts w:ascii="宋体" w:hAnsi="宋体" w:eastAsia="宋体" w:cs="宋体"/>
                <w:kern w:val="0"/>
                <w:sz w:val="24"/>
                <w:szCs w:val="24"/>
                <w:lang w:val="en-US" w:eastAsia="zh-CN" w:bidi="ar"/>
              </w:rPr>
              <w:t>验收运维</w:t>
            </w:r>
          </w:p>
        </w:tc>
        <w:tc>
          <w:tcPr>
            <w:tcW w:w="0" w:type="auto"/>
            <w:shd w:val="clear" w:color="auto" w:fill="auto"/>
            <w:tcMar>
              <w:top w:w="80" w:type="dxa"/>
              <w:left w:w="80" w:type="dxa"/>
              <w:bottom w:w="80" w:type="dxa"/>
              <w:right w:w="80" w:type="dxa"/>
            </w:tcMar>
            <w:vAlign w:val="top"/>
          </w:tcPr>
          <w:p w14:paraId="5E3CE7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组织专家评审验收，移交源代码及全部技术资料；建立专属运维响应团队，提供持续的技术保障。</w:t>
            </w:r>
          </w:p>
        </w:tc>
        <w:tc>
          <w:tcPr>
            <w:tcW w:w="0" w:type="auto"/>
            <w:shd w:val="clear" w:color="auto" w:fill="auto"/>
            <w:tcMar>
              <w:top w:w="80" w:type="dxa"/>
              <w:left w:w="80" w:type="dxa"/>
              <w:bottom w:w="80" w:type="dxa"/>
              <w:right w:w="80" w:type="dxa"/>
            </w:tcMar>
            <w:vAlign w:val="top"/>
          </w:tcPr>
          <w:p w14:paraId="066D6D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《项目验收报告》《运维服务体系方案》</w:t>
            </w:r>
          </w:p>
        </w:tc>
      </w:tr>
    </w:tbl>
    <w:p w14:paraId="72C398F6">
      <w:pPr>
        <w:spacing w:line="360" w:lineRule="auto"/>
        <w:ind w:firstLine="480"/>
        <w:jc w:val="center"/>
        <w:rPr>
          <w:rFonts w:hint="eastAsia" w:ascii="宋体" w:hAnsi="宋体" w:eastAsia="宋体" w:cs="宋体"/>
          <w:sz w:val="24"/>
          <w:szCs w:val="24"/>
          <w:lang w:val="en-US" w:eastAsia="zh-CN"/>
        </w:rPr>
      </w:pPr>
    </w:p>
    <w:p w14:paraId="6E15C47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0456646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为确保本项目在阿勒泰供电公司的实际业务环境中能够高效、稳定落地，我司结合丰富的电力信息化经验，提出以下建设性与可行性建议：</w:t>
      </w:r>
    </w:p>
    <w:p w14:paraId="4193E18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建设统一的点位标准资产库：建议在 PMS3.0 端构建一套独立的 “智巡标准点位库模型”，将各类型设备的监测要求抽象化。新变电站接入时，可直接通过该模型实现 “一键克隆” 配置，大幅降低后期运维人员的配置工作量。</w:t>
      </w:r>
    </w:p>
    <w:p w14:paraId="2024F5B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引入附件 CDN 加速与降级策略：鉴于阿勒泰部分偏远变电站可能存在网络带宽瓶颈，建议对移动端查看图片/视频时引入动态码流技术。在网络不佳时，优先推送低分辨率预警图片，确保关键缺陷信息能第一时间传达给巡检人员；当处于内网 Wi-Fi 环境时，再允许下载原画质附件。</w:t>
      </w:r>
    </w:p>
    <w:p w14:paraId="27D508EB">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全链路日志追踪与接口审计监控：由于涉及跨系统的消息推送与状态回写，建议在接口网关层和消息中间件部署全链路追踪插件（如 SkyWalking）。一旦发生任务状态未同步或缺陷漏推现象，运维人员可凭借全局 TraceID 在一分钟内精准定位故障节点，避免扯皮。</w:t>
      </w:r>
    </w:p>
    <w:p w14:paraId="0926E7E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建立接口灰度发布与回滚机制：随着 PMS3.0 的不断迭代升级，智巡接口可能需要频繁更新。建议采用微服务架构下的灰度发布策略，新版本接口先在单一厂站试运行，确认无误后再全量铺开，将系统升级对现网业务的冲击降至最低。</w:t>
      </w:r>
    </w:p>
    <w:p w14:paraId="4E85EDED">
      <w:pPr>
        <w:numPr>
          <w:ilvl w:val="1"/>
          <w:numId w:val="3"/>
        </w:numPr>
        <w:adjustRightInd w:val="0"/>
        <w:snapToGrid w:val="0"/>
        <w:spacing w:line="400" w:lineRule="exact"/>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5694A91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本项目的成功实施，将对国网新疆阿勒泰供电公司的数字化运检体系建设产生深远的战略意义。首先，它彻底打破了业务系统间的信息孤岛，实现了 “管理流” 与 “数据流” 的高度统一，使管理层能够通过 PMS3.0 一个入口，全局掌控变电站设备的健康状态与巡视进度，大幅提升了精益化管理水平。其次，自动化的数据流转有效解放了基层班组的生产力，减少了人工录入台账、多系统重复操作的机械性工作，使运维人员能够将精力集中于数据分析与异常处理上。</w:t>
      </w:r>
    </w:p>
    <w:p w14:paraId="60F2D0A5">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rPr>
        <w:t>展望未来，随着 PMS3.0 与智巡业务融合的不断深化，依托沉淀的海量高清巡视图像与精细化历史缺陷数据，可进一步引入 AI 大模型与图像识别深度学习算法。届时，系统不仅能实现缺陷的 “事后发现”，更能基于设备发热趋势、外观细微变化演化出 “事前预测” 能力，真正推动阿勒泰供电公司运检模式向 “状态感知全息化、业务处理自动化、辅助决策智能化” 迈进</w:t>
      </w:r>
      <w:r>
        <w:rPr>
          <w:rFonts w:hint="eastAsia" w:ascii="宋体" w:hAnsi="宋体" w:cs="宋体"/>
          <w:sz w:val="24"/>
          <w:szCs w:val="24"/>
          <w:lang w:eastAsia="zh-CN"/>
        </w:rPr>
        <w:t>。</w:t>
      </w:r>
    </w:p>
    <w:p w14:paraId="77652DC8">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2484"/>
      <w:bookmarkStart w:id="4" w:name="_Toc14811"/>
      <w:bookmarkStart w:id="5" w:name="_Toc3223"/>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77C718FB">
      <w:pPr>
        <w:spacing w:line="360" w:lineRule="auto"/>
        <w:ind w:firstLine="480"/>
        <w:rPr>
          <w:rFonts w:hint="eastAsia" w:ascii="宋体" w:hAnsi="宋体" w:eastAsia="宋体" w:cs="宋体"/>
          <w:sz w:val="24"/>
          <w:szCs w:val="24"/>
        </w:rPr>
      </w:pPr>
      <w:r>
        <w:rPr>
          <w:rFonts w:hint="eastAsia" w:ascii="宋体" w:hAnsi="宋体" w:cs="宋体"/>
          <w:sz w:val="24"/>
          <w:szCs w:val="24"/>
          <w:lang w:val="en-US" w:eastAsia="zh-CN"/>
        </w:rPr>
        <w:t>本项目的实施规模涵盖国网新疆阿勒泰供电公司管辖范围内的所有已接入阿勒泰远程智能巡视系统的变电站，以及 PMS3.0 系统中对应的设备资产台账。业务范围不仅包含软件接口的定制开发，还涉及底层数据清洗、网络架构联通、系统联调测试与长期运维保障。技术边界包括：电网资源业务中台的微服务接口开发、消息中间件的主题配置与消息队列管理、PMS3.0 相关前端界面的改造（包括点位配置界面、计划制定界面、巡视详情展示与附件播放组件开发）、智巡系统适配性改造协调等。本方案将提供覆盖全生命周期（需求调研至项目验收运维）的 “交钥匙” 级技术服务。</w:t>
      </w:r>
    </w:p>
    <w:p w14:paraId="5624556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7EB206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本项目严格按照招标方提供的技术规范书及国家、行业、国家电网公司的相关标准进行规划与实施。在执行过程中，我们将始终贯彻 “合法依规、标准先行、高标准严要求” 的准则。</w:t>
      </w:r>
    </w:p>
    <w:p w14:paraId="2A679B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 总则与职责要求：严格遵循规范书第 1.1 节总则规定，提供优质服务。我司承诺提供的技术方案与服务完全满足甚至优于规范书的各项要求。作为供方，我司将在服务期内成立专属运维组织并明确负责人（响应规范书 1.2.2 条），并对最终交付的全部系统资料及数据的准确性承担全部责任（响应规范书 1.2.4 条）。</w:t>
      </w:r>
    </w:p>
    <w:p w14:paraId="37F45C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 保密义务：坚决执行规范书 1.2.5 条的保密协议。我司承诺，对在项目建设及接口对接过程中获取的任何国网电网拓扑、资产台账、网络 IP、接口规范等敏感信息，采取最严格的数据加密隔离措施。未经需方书面授权，绝不将上述资料向任何第三方披露，也不用于本项目以外的任何目的，并承诺保密义务期限直至资料正式向社会公开，承担一切因违约导致的法律及赔偿责任。</w:t>
      </w:r>
    </w:p>
    <w:p w14:paraId="374C00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 执行国家/行业/国网标准：若本方案所引用标准与国家、行业最新标准存在不一致之处，我司承诺将无条件按较高的标准予以执行（响应规范书 1.1.5 条）。</w:t>
      </w:r>
    </w:p>
    <w:p w14:paraId="633DE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 适用标准清单（依据规范书第 3 章及附件要求）：</w:t>
      </w:r>
    </w:p>
    <w:p w14:paraId="042D28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1. 《国家电网公司应急供电系统运行维护工作规范》</w:t>
      </w:r>
    </w:p>
    <w:p w14:paraId="6D68E4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2. 《国家电网公司应急供电系统安全管理办法》</w:t>
      </w:r>
    </w:p>
    <w:p w14:paraId="2A7A97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sz w:val="24"/>
          <w:lang w:val="en-US" w:eastAsia="zh-CN"/>
        </w:rPr>
      </w:pPr>
      <w:r>
        <w:rPr>
          <w:rFonts w:hint="eastAsia" w:ascii="宋体" w:hAnsi="宋体"/>
          <w:sz w:val="24"/>
          <w:lang w:val="en-US" w:eastAsia="zh-CN"/>
        </w:rPr>
        <w:t>3. 《国家电网公司十八项反事故措施》</w:t>
      </w:r>
    </w:p>
    <w:p w14:paraId="78768E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sz w:val="24"/>
          <w:lang w:val="en-US" w:eastAsia="zh-CN"/>
        </w:rPr>
        <w:t>4. 《供电可靠性保障相关合同附件条款与规章制度》（承诺因我方系统缺陷导致业务中断、供电可靠性受损的，我方承担全部后果与赔偿责任，响应规范书 4.2 要求）。</w:t>
      </w:r>
    </w:p>
    <w:p w14:paraId="47A67792">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09854A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通过本方案的扎实落地，我们将达成以下高标准的项目服务目标：</w:t>
      </w:r>
    </w:p>
    <w:p w14:paraId="2A3EEF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1. 数据精准率达到 100%：确保 PMS3.0 与智巡系统的设备台账、点位编码核对无误，无孤儿数据，无错配错绑。</w:t>
      </w:r>
    </w:p>
    <w:p w14:paraId="03B0C5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2. 业务协同零延迟：确保系统级消息中间件的流转性能，特殊巡视计划下发至智巡系统耗时小于 3 秒，设备执行状态变更同步延时控制在秒级。</w:t>
      </w:r>
    </w:p>
    <w:p w14:paraId="6F8534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3. 系统高可用性与高可靠性：接口网关与核心服务支持高并发承载，确保系统年可用率达到 99.99%。若系统故障，保障机制能在 15 分钟内响应，2 小时内恢复核心业务。</w:t>
      </w:r>
    </w:p>
    <w:p w14:paraId="1722B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4. 安全合规性：严格落实国网 “内外网安全隔离” 及 “业务纵深防御” 体系，杜绝任何未经授权的越权访问与数据外泄，保障电网生产指挥系统的绝对安全</w:t>
      </w: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w:t>
      </w:r>
    </w:p>
    <w:p w14:paraId="1A7AF7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717C4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针对招标规范书第 2.2.2 节中提出的 7 项核心业务服务内容，我司逐一进行了深入研判，并制定了无死角的 “条款 - 方案 - 交付” 全维度响应策略。以下为详细的技术响应明细：</w:t>
      </w:r>
    </w:p>
    <w:p w14:paraId="03E025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（一）响应条款 1：台账与编码核对标准化</w:t>
      </w:r>
    </w:p>
    <w:p w14:paraId="4AE3F3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需求条款：对基础台账如变电站资产台账、设备资产台账与 PMS3.0 设备部位编码数据核对，对阿勒泰远程智能巡视系统提供电网资源业务中台变电站资产台账、设备资产台账标准化数据与 PMS3.0 数据保持一致，核对 PMS3.0 设备部位标准编码使双方数据保持一致性与规范化。</w:t>
      </w:r>
    </w:p>
    <w:p w14:paraId="5AA38F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方案响应：完全满足。我方将开发数据比对与同步微服务，采用 “中台抽数 - 清洗映射 - 双向比对” 机制。以 PMS3.0 与资源中台为唯一真相源（SSOT），向智巡系统下发标准的设备部位编码树。</w:t>
      </w:r>
    </w:p>
    <w:p w14:paraId="2B22BC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实现要点：构建基于主键（如设备 ID/部位 ID）的映射字典库；设计定时核对脚本，在非业务高峰期（凌晨 2 点）自动扫描双方不一致的数据台账并输出核查报告；对新增资产台账触发中台事件推送，保障增量数据实时一致。</w:t>
      </w:r>
    </w:p>
    <w:p w14:paraId="1B2370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交付物：《台账标准化清洗脚本》《部位编码映射关系库》。</w:t>
      </w:r>
    </w:p>
    <w:p w14:paraId="2D12D8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验收点：抽样查询 1000 条设备及部位数据，双方系统编码完全匹配，增量修改后系统能在 1 分钟内自动同步变更。</w:t>
      </w:r>
    </w:p>
    <w:p w14:paraId="2DACAF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（二）响应条款 2：新增巡视点位服务及属性同步</w:t>
      </w:r>
    </w:p>
    <w:p w14:paraId="650363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需求条款：阿勒泰智巡系统调用中台新增点位服务推送点位；PMS3.0 接收带有点位名称、单位、阈值、采集类型、识别类型、仪表类型、重要级别、巡视方式/类型/内容等 10 项数据，且增删改实时同步。</w:t>
      </w:r>
    </w:p>
    <w:p w14:paraId="59E7C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方案响应：完全满足。将提供基于 RESTful 标准的标准化 OpenAPI 接口 “点位全生命周期管理服务”，供智巡系统调用。</w:t>
      </w:r>
    </w:p>
    <w:p w14:paraId="13448D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实现要点：接口入参严格校验这 10 项核心字段的数据类型与字典值域（如重要级别必须映射为标准枚举值）。采用乐观锁与版本号机制处理高并发的 “增删改” 操作，确保 PMS3.0 在处理智巡系统乱序回调时依然保持最终一致性；删除操作采取 “软删除” 机制保留审计轨迹。</w:t>
      </w:r>
    </w:p>
    <w:p w14:paraId="5A25F3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交付物：《点位同步 API 接口定义规范》《点位属性数据字典映射表》。</w:t>
      </w:r>
    </w:p>
    <w:p w14:paraId="1CC3F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验收点：在智巡侧模拟 CRUD 操作，PMS3.0 端 10 项属性字段准确展示无截断，且修改、删除状态即刻生效。</w:t>
      </w:r>
    </w:p>
    <w:p w14:paraId="2DAFB8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（三）响应条款 3：点位批量应用与模板配置</w:t>
      </w:r>
    </w:p>
    <w:p w14:paraId="563DDA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需求条款：PMS3.0 点位配置需支持应用部位或标准点位信息，支持将已配置好的标准部位和标准点位批量应用至各电站的同类型设备。</w:t>
      </w:r>
    </w:p>
    <w:p w14:paraId="349CE3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方案响应：完全满足。在 PMS3.0 前端开发 “智能点位批量套用” 模块，引入模板化设计理念。</w:t>
      </w:r>
    </w:p>
    <w:p w14:paraId="1D923E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实现要点：提取如 “110kV SF6 断路器” 等同类型设备作为基准模板，管理员配置一次标准点位集后，利用树形选择器勾选全网同型号资产。系统后台采用异步批处理框架（如 Spring Batch）进行海量点位数据的拷贝、挂载和校验，前端通过进度条展示配置进度，避免页面卡顿。</w:t>
      </w:r>
    </w:p>
    <w:p w14:paraId="0DBB8A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交付物：PMS3.0 点位批量配置前端组件、异步批处理微服务程序。</w:t>
      </w:r>
    </w:p>
    <w:p w14:paraId="05AC0C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验收点：能够以单个模板一次性向至少 100 个同类设备批量下发点位配置，配置成功率 100%，耗时小于 30 秒。</w:t>
      </w:r>
    </w:p>
    <w:p w14:paraId="7BC21C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（四）响应条款 4：特巡计划生成与消息队列派发</w:t>
      </w:r>
    </w:p>
    <w:p w14:paraId="2ECB90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需求条款：班长维护特巡计划分配人员及同步作业，系统自动生成机巡任务并通过消息中间件实时推送智巡系统；智巡入库后调用中台修改派发状态，PMS3.0 更新为下发成功。</w:t>
      </w:r>
    </w:p>
    <w:p w14:paraId="198A27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方案响应：完全满足。构建闭环任务下发流，采用高可靠的 Kafka/RabbitMQ 消息中间件作为任务流转的核心信道。</w:t>
      </w:r>
    </w:p>
    <w:p w14:paraId="41365B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实现要点：计划提交时，引擎解析点位组合生成 JSON 格式的机巡任务协议包发送至中间件（Topic：TASK_DISPATCH）。智巡系统作为消费者监听提取数据进行本地入库；随后智巡系统调用中台 “任务状态更新 API” 反馈 ACK 信号。若中台在设定时间（如 3 分钟）内未收到 ACK，将触发死信队列重试机制，并向运维人员发出告警，确保任务绝不丢失。</w:t>
      </w:r>
    </w:p>
    <w:p w14:paraId="4C1B3B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交付物：消息中间件部署配置清单、任务下发流程联调报告。</w:t>
      </w:r>
    </w:p>
    <w:p w14:paraId="30B3BC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验收点：创建特巡计划并提交，PMS3.0 任务状态从 “下发中” 至 “下发成功” 的流转过程清晰，系统间无网络时具备重传恢复能力。</w:t>
      </w:r>
    </w:p>
    <w:p w14:paraId="3E7A99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（五）响应条款 5：执行状态同步与附件跨端查阅</w:t>
      </w:r>
    </w:p>
    <w:p w14:paraId="063B8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需求条款：同步机巡开始时间，任务执行、暂停、重启、终止四种状态实时同步；实时上报异常数据；PMS3.0 在 PC/移动端查看智巡系统的图片、视频等资料。</w:t>
      </w:r>
    </w:p>
    <w:p w14:paraId="50560E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方案响应：完全满足。建立基于 WebSocket 和长轮询结合的状态推送通道，以及分布式的附件对象存储方案（OSS/FastDFS）。</w:t>
      </w:r>
    </w:p>
    <w:p w14:paraId="33CFA3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实现要点：状态机（State Machine）严格控制 “开始-&gt;执行-&gt;暂停/终止” 的合法转换路径。针对图片和视频，智巡侧不上传大文件原件到 PMS 侧业务库，而是上传附件存储的统一 URL 令牌（Token+Path），PMS3.0 端开发跨域流媒体播放插件，直接从存储节点拉取视频流；移动端接入 H5 轻量级阅读器并集成缩略图预加载技术。</w:t>
      </w:r>
    </w:p>
    <w:p w14:paraId="31EA5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交付物：视频流媒体播放组件、状态同步微服务程序。</w:t>
      </w:r>
    </w:p>
    <w:p w14:paraId="67B6CC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验收点：智巡机器人操作暂停时，PMS 端在 3 秒内状态变更为 “暂停”；移动端能在 4G 网络下流畅播放前端系统录制的巡视短视频。</w:t>
      </w:r>
    </w:p>
    <w:p w14:paraId="420A2D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（六）响应条款 6：异常推送与缺陷来源绑定</w:t>
      </w:r>
    </w:p>
    <w:p w14:paraId="7AB334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需求条款：对于异常数据，智巡系统调用中台新增缺陷服务，将缺陷来源绑定至巡视任务推送 PMS3.0，使缺陷有源可溯。</w:t>
      </w:r>
    </w:p>
    <w:p w14:paraId="3B8EFC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方案响应：完全满足。开发标准的缺陷上报网关，强化缺陷数据模型中 “溯源外键” 的设计。</w:t>
      </w:r>
    </w:p>
    <w:p w14:paraId="1BDE5A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实现要点：接口定义时，强制要求传入Task_ID（巡视任务编号）和Point_ID（异常点位编号）。中台接收到异常数据后，通过这两个 ID 在库中反查历史记录，将缺陷记录直接关联至原任务的树状结构下。界面上可实现点击缺陷直达当日该点位的现场抓拍图，实现 “缺陷 - 图像 - 任务” 的三位一体联动。</w:t>
      </w:r>
    </w:p>
    <w:p w14:paraId="0D0018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交付物：缺陷推送 API、溯源绑定关联关系库脚本。</w:t>
      </w:r>
    </w:p>
    <w:p w14:paraId="06B6C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验收点：智巡上报的设备发热等异常数据，在 PMS3.0 缺陷管理模块中准确生成草稿记录，且页面显示明确标有 “来源：202605xx 特巡任务”，可点击穿透查询。</w:t>
      </w:r>
    </w:p>
    <w:p w14:paraId="3F7DCC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（七）响应条款 7：结果人工复核与计划闭环管理</w:t>
      </w:r>
    </w:p>
    <w:p w14:paraId="217A3D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需求条款：巡视完成后，调用中台确认点位结果并人工复核，复核上报 PMS3.0；对失败/异常点位支持人工特巡和现场复核；最终经班长审核无误，计划方可完结。</w:t>
      </w:r>
    </w:p>
    <w:p w14:paraId="3952E7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方案响应：完全满足。重构 PMS3.0 侧的任务闭环工作流引擎，增加 “机巡初判-&gt;人工复核-&gt;补充特巡-&gt;班长终审” 的多级流转节点。</w:t>
      </w:r>
    </w:p>
    <w:p w14:paraId="15FE0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实现要点：智巡判定为 “正常” 的点位采用批量审核通过策略以提效；对算法提示 “异常” 或机器人未到达的 “漏检/失败” 点位，系统高亮告警，并强制弹窗要求班长指派人员现场特巡（PDA 掌机辅助）。只有当该计划下所有异常点位都有了明确的人工干预结论，并经班组长电子签名确认后，工作流才允许将状态置为 “已完结”。</w:t>
      </w:r>
    </w:p>
    <w:p w14:paraId="426EB3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cs="宋体"/>
          <w:b w:val="0"/>
          <w:bCs/>
          <w:color w:val="000000" w:themeColor="text1"/>
          <w:sz w:val="24"/>
          <w:szCs w:val="28"/>
          <w:highlight w:val="none"/>
          <w:lang w:val="en-US" w:eastAsia="zh-CN"/>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交付物：定制化工作流引擎脚本、综合审核管理界面。</w:t>
      </w:r>
    </w:p>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hint="eastAsia" w:ascii="宋体" w:hAnsi="宋体" w:cs="宋体"/>
          <w:b w:val="0"/>
          <w:bCs/>
          <w:color w:val="000000" w:themeColor="text1"/>
          <w:sz w:val="24"/>
          <w:szCs w:val="28"/>
          <w:highlight w:val="none"/>
          <w:lang w:val="en-US" w:eastAsia="zh-CN"/>
          <w14:textFill>
            <w14:solidFill>
              <w14:schemeClr w14:val="tx1"/>
            </w14:solidFill>
          </w14:textFill>
        </w:rPr>
        <w:t>验收点：模拟一个包含失败点位的任务，系统阻止其直接完结；派发人工特巡后返回正常结果，班长审核后系统方可成功归档。</w:t>
      </w:r>
    </w:p>
    <w:p w14:paraId="251B76F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3F2DAFA9">
      <w:pPr>
        <w:pStyle w:val="19"/>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为保障本项目的顺利按期交付，并确保系统架构的高效与安全，我司从总体技术架构、安全设计与保密体系、里程碑计划及人员投入四个方面制定了详尽的工作计划安排。</w:t>
      </w:r>
    </w:p>
    <w:p w14:paraId="61A32A65">
      <w:pPr>
        <w:pStyle w:val="4"/>
        <w:numPr>
          <w:ilvl w:val="2"/>
          <w:numId w:val="5"/>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总体技术架构与关键数据流转</w:t>
      </w:r>
    </w:p>
    <w:p w14:paraId="643A1FA2">
      <w:pPr>
        <w:pStyle w:val="19"/>
        <w:spacing w:line="360" w:lineRule="auto"/>
        <w:rPr>
          <w:rFonts w:hint="eastAsia" w:ascii="宋体" w:hAnsi="宋体" w:eastAsia="宋体" w:cs="宋体"/>
          <w:sz w:val="24"/>
          <w:szCs w:val="24"/>
        </w:rPr>
      </w:pPr>
      <w:r>
        <w:rPr>
          <w:rFonts w:hint="eastAsia" w:ascii="宋体" w:hAnsi="宋体" w:eastAsia="宋体" w:cs="宋体"/>
          <w:sz w:val="24"/>
          <w:szCs w:val="24"/>
        </w:rPr>
        <w:t>为了承载上述繁杂的业务流转，本方案设计了高内聚、低耦合的微服务总体技术架构。该架构主要分为业务应用层、能力中台层、消息与接口网关层以及前端展示层。以下是系统核心架构及关键数据交互时序的设计说明。</w:t>
      </w:r>
    </w:p>
    <w:p w14:paraId="26FECDB2">
      <w:pPr>
        <w:pStyle w:val="19"/>
        <w:spacing w:line="360" w:lineRule="auto"/>
      </w:pPr>
      <w:r>
        <w:drawing>
          <wp:inline distT="0" distB="0" distL="114300" distR="114300">
            <wp:extent cx="5267960" cy="2973070"/>
            <wp:effectExtent l="0" t="0" r="2540" b="1143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6"/>
                    <a:stretch>
                      <a:fillRect/>
                    </a:stretch>
                  </pic:blipFill>
                  <pic:spPr>
                    <a:xfrm>
                      <a:off x="0" y="0"/>
                      <a:ext cx="5267960" cy="2973070"/>
                    </a:xfrm>
                    <a:prstGeom prst="rect">
                      <a:avLst/>
                    </a:prstGeom>
                    <a:noFill/>
                    <a:ln>
                      <a:noFill/>
                    </a:ln>
                  </pic:spPr>
                </pic:pic>
              </a:graphicData>
            </a:graphic>
          </wp:inline>
        </w:drawing>
      </w:r>
    </w:p>
    <w:p w14:paraId="28ECAEC4">
      <w:pPr>
        <w:pStyle w:val="19"/>
        <w:spacing w:line="360" w:lineRule="auto"/>
        <w:rPr>
          <w:rFonts w:hint="eastAsia" w:ascii="宋体" w:hAnsi="宋体" w:eastAsia="宋体" w:cs="宋体"/>
          <w:sz w:val="24"/>
          <w:szCs w:val="24"/>
        </w:rPr>
      </w:pPr>
      <w:r>
        <w:rPr>
          <w:rFonts w:hint="eastAsia" w:ascii="宋体" w:hAnsi="宋体" w:eastAsia="宋体" w:cs="宋体"/>
          <w:sz w:val="24"/>
          <w:szCs w:val="24"/>
        </w:rPr>
        <w:t>关键数据流转时序说明：1. 任务下发：PMS3.0 班长下达指令 -&gt; 任务封装 -&gt; 推入 Kafka Topic_Task -&gt; 智巡系统消费入库 -&gt; 智巡调用中台 API 更新派发状态为 “下发成功”。</w:t>
      </w:r>
    </w:p>
    <w:p w14:paraId="71BA2916">
      <w:pPr>
        <w:pStyle w:val="19"/>
        <w:spacing w:line="360" w:lineRule="auto"/>
        <w:rPr>
          <w:rFonts w:hint="eastAsia" w:ascii="宋体" w:hAnsi="宋体" w:eastAsia="宋体" w:cs="宋体"/>
          <w:sz w:val="24"/>
          <w:szCs w:val="24"/>
        </w:rPr>
      </w:pPr>
      <w:r>
        <w:rPr>
          <w:rFonts w:hint="eastAsia" w:ascii="宋体" w:hAnsi="宋体" w:eastAsia="宋体" w:cs="宋体"/>
          <w:sz w:val="24"/>
          <w:szCs w:val="24"/>
        </w:rPr>
        <w:t>2. 状态上报与附件查阅：智巡开始作业 -&gt; 推入状态机变更 -&gt; PMS 实时接收 “执行中” -&gt; 机器人拍下图片并存入 OSS -&gt; 返回图片 URL -&gt; PMS 侧请求网关加载原图。</w:t>
      </w:r>
    </w:p>
    <w:p w14:paraId="71ACF414">
      <w:pPr>
        <w:pStyle w:val="19"/>
        <w:spacing w:line="360" w:lineRule="auto"/>
        <w:rPr>
          <w:rFonts w:hint="eastAsia" w:ascii="宋体" w:hAnsi="宋体" w:eastAsia="宋体" w:cs="宋体"/>
          <w:sz w:val="24"/>
          <w:szCs w:val="24"/>
        </w:rPr>
      </w:pPr>
      <w:r>
        <w:rPr>
          <w:rFonts w:hint="eastAsia" w:ascii="宋体" w:hAnsi="宋体" w:eastAsia="宋体" w:cs="宋体"/>
          <w:sz w:val="24"/>
          <w:szCs w:val="24"/>
        </w:rPr>
        <w:t>3. 缺陷联动与闭环：智巡 AI 发现表计超偏 -&gt; 调用中台 “新增缺陷服务”（附带原 TaskID）-&gt; PMS3.0 生成缺陷草稿 -&gt; 人员复核确认 -&gt; 班组长审核 -&gt; 任务池与缺陷池同时归档更新。</w:t>
      </w:r>
    </w:p>
    <w:p w14:paraId="5D601235">
      <w:pPr>
        <w:pStyle w:val="4"/>
        <w:numPr>
          <w:ilvl w:val="2"/>
          <w:numId w:val="5"/>
        </w:numPr>
        <w:spacing w:line="360" w:lineRule="auto"/>
        <w:ind w:left="720" w:leftChars="0" w:hanging="7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安全设计与保密体系</w:t>
      </w:r>
    </w:p>
    <w:p w14:paraId="1A069B75">
      <w:pPr>
        <w:pStyle w:val="19"/>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鉴于变电站及电网设备数据的高度敏感性，我司从接口安全、数据存储及审计追踪三个维度打造铜墙铁壁般的安全防护策略。</w:t>
      </w:r>
    </w:p>
    <w:p w14:paraId="0C3588F2">
      <w:pPr>
        <w:pStyle w:val="19"/>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 权限与认证控制：接口网关全面启用 OAuth 2.0 / JWT（JSON Web Token）双向身份认证机制。智巡系统在调用中台接口前，必须向国网统一权限平台申请短期 Token（有效期 2 小时）。任何未携带合法 Token 或来源 IP 不在白名单内的请求将被网关层直接阻断，防止非法系统接入。</w:t>
      </w:r>
    </w:p>
    <w:p w14:paraId="17F92D56">
      <w:pPr>
        <w:pStyle w:val="19"/>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 数据传输与防篡改加密：在内网环境下，所有微服务间的通讯强制升级为 HTTPS 协议；对于核心的异常缺陷数据与巡视控制指令，报文 Body 采用国密 SM4 算法加密，并附加基于 SM3 的数字签名（Signature），确保数据在传输过程中 “不被窃听、不被篡改”。</w:t>
      </w:r>
    </w:p>
    <w:p w14:paraId="23F5FC01">
      <w:pPr>
        <w:pStyle w:val="19"/>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 日志审计与保密管理：系统底层引入 ELK（Elasticsearch, Logstash, Kibana）构建全局审计日志中心。每一次接口调用（含入参、出参、执行耗时、发起者 IP）均会被加密留存至少 6 个月。严格响应规范书 1.2.5 条保密义务，参与本项目的核心研发人员签订《信息安全保密承诺书》，项目使用国网内网专用的研发脱敏环境，测试阶段所有变电站名称、IP 地址、账号均采用伪造化处理（如 “变电站 A”、“10.x.x.x”），确保真实生产数据 “绝不出网”。</w:t>
      </w:r>
    </w:p>
    <w:p w14:paraId="5CB74BBE">
      <w:pPr>
        <w:pStyle w:val="19"/>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3.5.4 里程碑计划</w:t>
      </w:r>
    </w:p>
    <w:tbl>
      <w:tblPr>
        <w:tblStyle w:val="15"/>
        <w:tblW w:w="85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7"/>
        <w:gridCol w:w="1022"/>
        <w:gridCol w:w="6459"/>
      </w:tblGrid>
      <w:tr w14:paraId="1CBF2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4"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80" w:type="dxa"/>
              <w:left w:w="80" w:type="dxa"/>
              <w:bottom w:w="80" w:type="dxa"/>
              <w:right w:w="80" w:type="dxa"/>
            </w:tcMar>
            <w:vAlign w:val="center"/>
          </w:tcPr>
          <w:p w14:paraId="2F9AD4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8"/>
                <w:szCs w:val="28"/>
              </w:rPr>
            </w:pPr>
            <w:r>
              <w:rPr>
                <w:rFonts w:ascii="宋体" w:hAnsi="宋体" w:eastAsia="宋体" w:cs="宋体"/>
                <w:b/>
                <w:bCs/>
                <w:kern w:val="0"/>
                <w:sz w:val="28"/>
                <w:szCs w:val="28"/>
                <w:lang w:val="en-US" w:eastAsia="zh-CN" w:bidi="ar"/>
              </w:rPr>
              <w:t>周期</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80" w:type="dxa"/>
              <w:left w:w="80" w:type="dxa"/>
              <w:bottom w:w="80" w:type="dxa"/>
              <w:right w:w="80" w:type="dxa"/>
            </w:tcMar>
            <w:vAlign w:val="center"/>
          </w:tcPr>
          <w:p w14:paraId="3FBACF9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8"/>
                <w:szCs w:val="28"/>
              </w:rPr>
            </w:pPr>
            <w:r>
              <w:rPr>
                <w:rFonts w:ascii="宋体" w:hAnsi="宋体" w:eastAsia="宋体" w:cs="宋体"/>
                <w:b/>
                <w:bCs/>
                <w:kern w:val="0"/>
                <w:sz w:val="28"/>
                <w:szCs w:val="28"/>
                <w:lang w:val="en-US" w:eastAsia="zh-CN" w:bidi="ar"/>
              </w:rPr>
              <w:t>里程碑节点</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80" w:type="dxa"/>
              <w:left w:w="80" w:type="dxa"/>
              <w:bottom w:w="80" w:type="dxa"/>
              <w:right w:w="80" w:type="dxa"/>
            </w:tcMar>
            <w:vAlign w:val="center"/>
          </w:tcPr>
          <w:p w14:paraId="55B8ED6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8"/>
                <w:szCs w:val="28"/>
              </w:rPr>
            </w:pPr>
            <w:r>
              <w:rPr>
                <w:rFonts w:ascii="宋体" w:hAnsi="宋体" w:eastAsia="宋体" w:cs="宋体"/>
                <w:b/>
                <w:bCs/>
                <w:kern w:val="0"/>
                <w:sz w:val="28"/>
                <w:szCs w:val="28"/>
                <w:lang w:val="en-US" w:eastAsia="zh-CN" w:bidi="ar"/>
              </w:rPr>
              <w:t>关键工作内容与任务分解</w:t>
            </w:r>
          </w:p>
        </w:tc>
      </w:tr>
      <w:tr w14:paraId="5D7D1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11"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1BDB2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第 1-2 周</w:t>
            </w:r>
          </w:p>
          <w:p w14:paraId="26A4F5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B294D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Style w:val="18"/>
                <w:rFonts w:ascii="宋体" w:hAnsi="宋体" w:eastAsia="宋体" w:cs="宋体"/>
                <w:kern w:val="0"/>
                <w:sz w:val="28"/>
                <w:szCs w:val="28"/>
                <w:lang w:val="en-US" w:eastAsia="zh-CN" w:bidi="ar"/>
              </w:rPr>
              <w:t>需求调研与台账治理</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486910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进驻阿勒泰供电公司现场；梳理当前 PMS3.0 及智巡系统的字典差异；输出《台账对齐方案》并执行初始数据的清洗与映射录入。</w:t>
            </w:r>
          </w:p>
        </w:tc>
      </w:tr>
      <w:tr w14:paraId="76DAB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11"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CD5A4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第 3-4 周</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F1A3A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Style w:val="18"/>
                <w:rFonts w:ascii="宋体" w:hAnsi="宋体" w:eastAsia="宋体" w:cs="宋体"/>
                <w:kern w:val="0"/>
                <w:sz w:val="28"/>
                <w:szCs w:val="28"/>
                <w:lang w:val="en-US" w:eastAsia="zh-CN" w:bidi="ar"/>
              </w:rPr>
              <w:t>接口与数据模型设计</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90D9C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联合业务专家，完成接口定义与微服务框架搭建；评审《接口详细设计说明书》，确定 Kafka 消息中间件 Topic 规范及参数。</w:t>
            </w:r>
          </w:p>
        </w:tc>
      </w:tr>
      <w:tr w14:paraId="1759F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2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09683F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第 5-8 周</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D4C27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Style w:val="18"/>
                <w:rFonts w:ascii="宋体" w:hAnsi="宋体" w:eastAsia="宋体" w:cs="宋体"/>
                <w:kern w:val="0"/>
                <w:sz w:val="28"/>
                <w:szCs w:val="28"/>
                <w:lang w:val="en-US" w:eastAsia="zh-CN" w:bidi="ar"/>
              </w:rPr>
              <w:t>核心开发与单元测试</w:t>
            </w:r>
          </w:p>
          <w:p w14:paraId="35529D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77C7C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实施接口代码编写，开发 PMS3.0 侧任务下发、缺陷承载及状态同步功能；前端附件流媒体播放组件开发；同步开展单元测试确保代码质量。</w:t>
            </w:r>
          </w:p>
        </w:tc>
      </w:tr>
      <w:tr w14:paraId="17872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11"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7A8E7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第 9-10 周</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BDC2D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Style w:val="18"/>
                <w:rFonts w:ascii="宋体" w:hAnsi="宋体" w:eastAsia="宋体" w:cs="宋体"/>
                <w:kern w:val="0"/>
                <w:sz w:val="28"/>
                <w:szCs w:val="28"/>
                <w:lang w:val="en-US" w:eastAsia="zh-CN" w:bidi="ar"/>
              </w:rPr>
              <w:t>系统联调与性能压测</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35CB0D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网关部署上线；双方系统对接联调，拉通全链路（任务-&gt;执行-&gt;异常-&gt;缺陷-&gt;复核闭环）；注入大流量模拟特巡环境，执行性能压测与安全漏洞扫描。</w:t>
            </w:r>
          </w:p>
        </w:tc>
      </w:tr>
      <w:tr w14:paraId="28F50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21"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9300F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第 11-12 周</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22586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Style w:val="18"/>
                <w:rFonts w:ascii="宋体" w:hAnsi="宋体" w:eastAsia="宋体" w:cs="宋体"/>
                <w:kern w:val="0"/>
                <w:sz w:val="28"/>
                <w:szCs w:val="28"/>
                <w:lang w:val="en-US" w:eastAsia="zh-CN" w:bidi="ar"/>
              </w:rPr>
              <w:t>试运行与培训移交</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89993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8"/>
                <w:szCs w:val="28"/>
              </w:rPr>
            </w:pPr>
            <w:r>
              <w:rPr>
                <w:rFonts w:ascii="宋体" w:hAnsi="宋体" w:eastAsia="宋体" w:cs="宋体"/>
                <w:kern w:val="0"/>
                <w:sz w:val="28"/>
                <w:szCs w:val="28"/>
                <w:lang w:val="en-US" w:eastAsia="zh-CN" w:bidi="ar"/>
              </w:rPr>
              <w:t>选取 2 个重点厂站开展灰度试运行验证；收集班组长与运检人员反馈并优化界面；开展业务培训；移交全部设计文档、代码库与操作手册；建立本地化运维体系并准备验收汇报。</w:t>
            </w:r>
          </w:p>
        </w:tc>
      </w:tr>
    </w:tbl>
    <w:p w14:paraId="18048612">
      <w:pPr>
        <w:pStyle w:val="4"/>
        <w:numPr>
          <w:ilvl w:val="2"/>
          <w:numId w:val="5"/>
        </w:numPr>
        <w:spacing w:line="360" w:lineRule="auto"/>
        <w:ind w:left="720" w:leftChars="0" w:hanging="720" w:firstLineChars="0"/>
        <w:rPr>
          <w:rFonts w:hint="eastAsia" w:ascii="宋体" w:hAnsi="宋体" w:eastAsia="宋体" w:cs="宋体"/>
          <w:sz w:val="24"/>
          <w:szCs w:val="24"/>
        </w:rPr>
      </w:pPr>
      <w:bookmarkStart w:id="8" w:name="_Toc3501"/>
      <w:bookmarkStart w:id="9" w:name="_Toc31769"/>
      <w:bookmarkStart w:id="10" w:name="_Toc27283"/>
      <w:r>
        <w:rPr>
          <w:rFonts w:hint="eastAsia" w:ascii="宋体" w:hAnsi="宋体" w:eastAsia="宋体" w:cs="宋体"/>
          <w:sz w:val="24"/>
          <w:szCs w:val="24"/>
        </w:rPr>
        <w:t>项目管理与质量保障</w:t>
      </w:r>
      <w:bookmarkEnd w:id="8"/>
      <w:bookmarkEnd w:id="9"/>
      <w:bookmarkEnd w:id="10"/>
    </w:p>
    <w:p w14:paraId="0098155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管理：采用敏捷项目管理方法，建立项目管理团队，负责项目的整体规划、进度控制、风险管理等工作。通过定期的项目评审会议和报告，确保项目按计划顺利推进。同时，建立有效的沟通与协调机制，确保项目团队内部及与客户之间的信息畅通。</w:t>
      </w:r>
    </w:p>
    <w:p w14:paraId="65786CC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质量保障：建立全面的质量管理体系，包括需求分析、设计评审、代码审查、测试验收等环节。通过严格的质量控制措施，确保项目交付成果的质量符合客户要求。同时，建立质量反馈机制，及时收集和处理客户反馈的问题和建议，持续改进项目质量。</w:t>
      </w:r>
    </w:p>
    <w:p w14:paraId="7E5FC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hint="eastAsia" w:ascii="宋体" w:hAnsi="宋体" w:eastAsia="宋体" w:cs="宋体"/>
          <w:sz w:val="24"/>
          <w:szCs w:val="24"/>
        </w:rPr>
        <w:t>风险管理：识别项目过程中可能面临的风险，包括技术风险、安全风险、进度风险等。针对每个风险制定相应的风险应对策略和预案，确保在风险发生时能够及时有效地应对和处置</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11" w:name="_GoBack"/>
      <w:bookmarkEnd w:id="1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9CD7F"/>
    <w:multiLevelType w:val="multilevel"/>
    <w:tmpl w:val="96C9CD7F"/>
    <w:lvl w:ilvl="0" w:tentative="0">
      <w:start w:val="2"/>
      <w:numFmt w:val="chineseCounting"/>
      <w:suff w:val="nothing"/>
      <w:lvlText w:val="第%1章 "/>
      <w:lvlJc w:val="left"/>
      <w:pPr>
        <w:tabs>
          <w:tab w:val="left" w:pos="420"/>
        </w:tabs>
        <w:ind w:left="432" w:hanging="432"/>
      </w:pPr>
      <w:rPr>
        <w:rFonts w:hint="eastAsia"/>
      </w:rPr>
    </w:lvl>
    <w:lvl w:ilvl="1" w:tentative="0">
      <w:start w:val="6"/>
      <w:numFmt w:val="decimal"/>
      <w:isLgl/>
      <w:lvlText w:val="%1.%2."/>
      <w:lvlJc w:val="left"/>
      <w:pPr>
        <w:tabs>
          <w:tab w:val="left" w:pos="420"/>
        </w:tabs>
        <w:ind w:left="575" w:hanging="575"/>
      </w:pPr>
      <w:rPr>
        <w:rFonts w:hint="eastAsia"/>
      </w:rPr>
    </w:lvl>
    <w:lvl w:ilvl="2" w:tentative="0">
      <w:start w:val="1"/>
      <w:numFmt w:val="decimal"/>
      <w:isLgl/>
      <w:lvlText w:val="%1.%2.%3."/>
      <w:lvlJc w:val="left"/>
      <w:pPr>
        <w:tabs>
          <w:tab w:val="left" w:pos="420"/>
        </w:tabs>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12742891"/>
    <w:multiLevelType w:val="singleLevel"/>
    <w:tmpl w:val="12742891"/>
    <w:lvl w:ilvl="0" w:tentative="0">
      <w:start w:val="1"/>
      <w:numFmt w:val="bullet"/>
      <w:pStyle w:val="8"/>
      <w:lvlText w:val=""/>
      <w:lvlJc w:val="left"/>
      <w:pPr>
        <w:tabs>
          <w:tab w:val="left" w:pos="360"/>
        </w:tabs>
        <w:ind w:left="360" w:hanging="360"/>
      </w:pPr>
      <w:rPr>
        <w:rFonts w:hint="default" w:ascii="Wingdings" w:hAnsi="Wingdings"/>
      </w:rPr>
    </w:lvl>
  </w:abstractNum>
  <w:abstractNum w:abstractNumId="2">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3"/>
      <w:isLgl/>
      <w:lvlText w:val="%1.%2.%3."/>
      <w:lvlJc w:val="left"/>
      <w:pPr>
        <w:ind w:left="720" w:hanging="720"/>
      </w:pPr>
      <w:rPr>
        <w:rFonts w:hint="eastAsia"/>
      </w:rPr>
    </w:lvl>
    <w:lvl w:ilvl="3" w:tentative="0">
      <w:start w:val="1"/>
      <w:numFmt w:val="decimal"/>
      <w:pStyle w:val="4"/>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pStyle w:val="6"/>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3">
    <w:nsid w:val="5FE7B23E"/>
    <w:multiLevelType w:val="singleLevel"/>
    <w:tmpl w:val="5FE7B23E"/>
    <w:lvl w:ilvl="0" w:tentative="0">
      <w:start w:val="1"/>
      <w:numFmt w:val="bullet"/>
      <w:lvlText w:val=""/>
      <w:lvlJc w:val="left"/>
      <w:pPr>
        <w:ind w:left="420" w:hanging="420"/>
      </w:pPr>
      <w:rPr>
        <w:rFonts w:hint="default" w:ascii="Wingdings" w:hAnsi="Wingdings"/>
      </w:rPr>
    </w:lvl>
  </w:abstractNum>
  <w:abstractNum w:abstractNumId="4">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109F5990"/>
    <w:rsid w:val="12C37CE5"/>
    <w:rsid w:val="14A746EE"/>
    <w:rsid w:val="4468252C"/>
    <w:rsid w:val="53CD45C6"/>
    <w:rsid w:val="5F0A527B"/>
    <w:rsid w:val="65C14135"/>
    <w:rsid w:val="6735670F"/>
    <w:rsid w:val="716316E4"/>
    <w:rsid w:val="735344A6"/>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3">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4">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5">
    <w:name w:val="heading 5"/>
    <w:basedOn w:val="1"/>
    <w:next w:val="1"/>
    <w:unhideWhenUsed/>
    <w:qFormat/>
    <w:uiPriority w:val="0"/>
    <w:pPr>
      <w:numPr>
        <w:ilvl w:val="4"/>
        <w:numId w:val="1"/>
      </w:numPr>
      <w:tabs>
        <w:tab w:val="left" w:pos="420"/>
      </w:tabs>
      <w:ind w:hanging="1008" w:firstLineChars="0"/>
      <w:outlineLvl w:val="4"/>
    </w:pPr>
  </w:style>
  <w:style w:type="paragraph" w:styleId="6">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pPr>
    <w:rPr>
      <w:rFonts w:ascii="Times New Roman" w:hAnsi="Times New Roman"/>
      <w:szCs w:val="24"/>
    </w:rPr>
  </w:style>
  <w:style w:type="paragraph" w:styleId="8">
    <w:name w:val="List Bullet"/>
    <w:basedOn w:val="1"/>
    <w:qFormat/>
    <w:uiPriority w:val="0"/>
    <w:pPr>
      <w:numPr>
        <w:ilvl w:val="0"/>
        <w:numId w:val="2"/>
      </w:numPr>
    </w:pPr>
  </w:style>
  <w:style w:type="paragraph" w:styleId="9">
    <w:name w:val="Body Text"/>
    <w:basedOn w:val="1"/>
    <w:semiHidden/>
    <w:qFormat/>
    <w:uiPriority w:val="0"/>
    <w:rPr>
      <w:rFonts w:ascii="微软雅黑" w:hAnsi="微软雅黑" w:eastAsia="微软雅黑" w:cs="微软雅黑"/>
      <w:sz w:val="19"/>
      <w:szCs w:val="19"/>
      <w:lang w:val="en-US" w:eastAsia="en-US" w:bidi="ar-SA"/>
    </w:rPr>
  </w:style>
  <w:style w:type="paragraph" w:styleId="10">
    <w:name w:val="Body Text Indent"/>
    <w:basedOn w:val="1"/>
    <w:unhideWhenUsed/>
    <w:qFormat/>
    <w:uiPriority w:val="0"/>
    <w:pPr>
      <w:spacing w:after="120"/>
      <w:ind w:left="420" w:leftChars="200"/>
    </w:pPr>
  </w:style>
  <w:style w:type="paragraph" w:styleId="11">
    <w:name w:val="envelope return"/>
    <w:basedOn w:val="1"/>
    <w:qFormat/>
    <w:uiPriority w:val="0"/>
    <w:rPr>
      <w:rFonts w:ascii="Arial" w:hAnsi="Arial"/>
    </w:rPr>
  </w:style>
  <w:style w:type="paragraph" w:styleId="12">
    <w:name w:val="List"/>
    <w:basedOn w:val="1"/>
    <w:qFormat/>
    <w:uiPriority w:val="0"/>
    <w:pPr>
      <w:ind w:left="200" w:hanging="200" w:hangingChars="200"/>
      <w:contextualSpacing/>
    </w:pPr>
  </w:style>
  <w:style w:type="paragraph" w:styleId="13">
    <w:name w:val="Body Text First Indent 2"/>
    <w:basedOn w:val="10"/>
    <w:next w:val="14"/>
    <w:qFormat/>
    <w:uiPriority w:val="0"/>
    <w:pPr>
      <w:ind w:left="0" w:leftChars="0" w:firstLine="420"/>
    </w:pPr>
  </w:style>
  <w:style w:type="paragraph" w:customStyle="1" w:styleId="14">
    <w:name w:val="表格文字"/>
    <w:basedOn w:val="12"/>
    <w:next w:val="1"/>
    <w:qFormat/>
    <w:uiPriority w:val="0"/>
    <w:pPr>
      <w:ind w:firstLine="0" w:firstLineChars="0"/>
      <w:jc w:val="center"/>
    </w:pPr>
    <w:rPr>
      <w:szCs w:val="20"/>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paragraph" w:styleId="19">
    <w:name w:val="List Paragraph"/>
    <w:basedOn w:val="1"/>
    <w:unhideWhenUsed/>
    <w:qFormat/>
    <w:uiPriority w:val="99"/>
    <w:pPr>
      <w:ind w:firstLine="420"/>
    </w:pPr>
  </w:style>
  <w:style w:type="paragraph" w:customStyle="1" w:styleId="20">
    <w:name w:val="正文字缩1字"/>
    <w:basedOn w:val="1"/>
    <w:qFormat/>
    <w:uiPriority w:val="0"/>
    <w:pPr>
      <w:spacing w:before="60" w:after="60"/>
      <w:ind w:left="100" w:leftChars="100"/>
    </w:pPr>
    <w:rPr>
      <w:rFonts w:ascii="Times New Roman" w:hAnsi="Times New Roman" w:eastAsia="宋体"/>
      <w:szCs w:val="24"/>
    </w:rPr>
  </w:style>
  <w:style w:type="paragraph" w:customStyle="1" w:styleId="21">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6018</Words>
  <Characters>6431</Characters>
  <Lines>0</Lines>
  <Paragraphs>0</Paragraphs>
  <TotalTime>15</TotalTime>
  <ScaleCrop>false</ScaleCrop>
  <LinksUpToDate>false</LinksUpToDate>
  <CharactersWithSpaces>6661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5756C0BD73534DE0B8184FBDF1157546_13</vt:lpwstr>
  </property>
  <property fmtid="{D5CDD505-2E9C-101B-9397-08002B2CF9AE}" pid="4" name="KSOTemplateDocerSaveRecord">
    <vt:lpwstr>eyJoZGlkIjoiNjA2ZDk3ZTc3MzQxM2RlNDMwOGQ0ZWJkOGMzYTI2ZjgiLCJ1c2VySWQiOiIzNzc1MzAxMDgifQ==</vt:lpwstr>
  </property>
</Properties>
</file>