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14:paraId="494BBF8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3C534C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1.1</w:t>
      </w:r>
      <w:r>
        <w:rPr>
          <w:rFonts w:hint="eastAsia" w:ascii="宋体" w:hAnsi="宋体"/>
          <w:sz w:val="24"/>
          <w:lang w:val="en-US" w:eastAsia="zh-CN"/>
        </w:rPr>
        <w:t>.1</w:t>
      </w:r>
      <w:r>
        <w:rPr>
          <w:rFonts w:hint="eastAsia" w:ascii="宋体" w:hAnsi="宋体" w:eastAsia="宋体"/>
          <w:sz w:val="24"/>
        </w:rPr>
        <w:t xml:space="preserve"> 新疆电网超高压现状</w:t>
      </w:r>
    </w:p>
    <w:p w14:paraId="27F6E2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新疆地处祖国西北腹地，是我国重要的能源富集区，拥有丰富的煤炭、风能、太阳能及水力资源。随着西部大开发战略的深入推进和”疆电外送” 战略的实施，新疆电网规模持续扩大，超高压骨干网架不断完善。截至目</w:t>
      </w:r>
    </w:p>
    <w:p w14:paraId="1A46D1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前，新疆电网已建成覆盖全疆的超高压输电网络，形成了以±800kV特高压直流为核心、 750kV交流为骨干的大规模输电体系。</w:t>
      </w:r>
    </w:p>
    <w:p w14:paraId="441FEC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国网新疆超高压分公司作为新疆电网超高压输变电设备的运维主体，负责全疆超高压变电站（换流站）的安全运行管理工作，承担着保障新疆电力”生命线”安全稳定运行的重大职责。在”疆电外送”格局下，超高压分公司管辖设备直接关系到新疆与华中、华东等受端电网的电力平衡与安全稳定，战略地位极为突出。</w:t>
      </w:r>
    </w:p>
    <w:p w14:paraId="34B5BC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w:t>
      </w:r>
      <w:r>
        <w:rPr>
          <w:rFonts w:hint="eastAsia" w:ascii="宋体" w:hAnsi="宋体" w:eastAsia="宋体"/>
          <w:sz w:val="24"/>
          <w:lang w:val="en-US" w:eastAsia="zh-CN"/>
        </w:rPr>
        <w:t>1.</w:t>
      </w:r>
      <w:r>
        <w:rPr>
          <w:rFonts w:hint="eastAsia" w:ascii="宋体" w:hAnsi="宋体" w:eastAsia="宋体"/>
          <w:sz w:val="24"/>
        </w:rPr>
        <w:t>2 天山换流站±800kV直流输电地位</w:t>
      </w:r>
    </w:p>
    <w:p w14:paraId="73EEB1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800kV天山换流站是”疆电外送”第二通道——哈郑直流（哈密南-郑州±800kV特高压直流输电工程）的新疆送端换流站，是目前世界上电压等级最高、输送容量最大的直流输电工程之一。该工程额定功率800万千瓦，线路全长约2200公里，每年可向华中地区输送清洁电能超过500亿千瓦时，对于优化我国能源资源配置、促进新疆清洁能源消纳、保障华中地区电力供应具有不可替代的战略意义。</w:t>
      </w:r>
    </w:p>
    <w:p w14:paraId="6BF530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天山换流站是整个直流输电系统的”心脏” ，站内运行设备包含换流变压器、换流阀、直流场设备、交流滤波器等大量高电压、大容量关键设备，设备运行参数复杂，实时监控数据量庞大。站内部署的故障录波装置、电能量采集终端、五防安全主机等二次系统，是保障换流站安全运行、快速故障诊断和事故追溯的重要技术手段。这些系统的安全稳定运行，直接关系到整条直流输电通道乃至华中电网的安全稳定。</w:t>
      </w:r>
    </w:p>
    <w:p w14:paraId="0726A3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w:t>
      </w:r>
      <w:r>
        <w:rPr>
          <w:rFonts w:hint="eastAsia" w:ascii="宋体" w:hAnsi="宋体" w:eastAsia="宋体"/>
          <w:sz w:val="24"/>
          <w:lang w:val="en-US" w:eastAsia="zh-CN"/>
        </w:rPr>
        <w:t>1.</w:t>
      </w:r>
      <w:r>
        <w:rPr>
          <w:rFonts w:hint="eastAsia" w:ascii="宋体" w:hAnsi="宋体" w:eastAsia="宋体"/>
          <w:sz w:val="24"/>
        </w:rPr>
        <w:t>3 电力监控系统网络安全形势</w:t>
      </w:r>
    </w:p>
    <w:p w14:paraId="706150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近年来，全球电力基础设施面临的网络安全威胁日益严峻。乌克兰电网遭受网络攻击导致大规模停电事件，印度电力系统遭受境外APT组织渗透事件，国内部分电力企业信息系统遭受勒索软件攻击事件，接连警示业界：电力监控系统的网络安全防护已不再是可选项，而是关乎国计民生的战略性刚需。</w:t>
      </w:r>
    </w:p>
    <w:p w14:paraId="7B1677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国家能源局、工业和信息化部、国家互联网信息办公室等主管部门持续加大对关键信息基础设施网络安全保护力度。 2021年施行的《关键信息基础设施安全保护条例》明确将电力系统列为关键信息基础设施，要求运营者切实履行主体责任，建立健全网络安全监测预警体系。国家电网公司积极响应国家战略部署，持续深化电力监控系统安全防护工作，构建”安全分区、网络专用、横向隔离、纵向认证” 的整体防护格局，并在此基础上逐步建立面向厂站侧的网络安全监测能力。</w:t>
      </w:r>
    </w:p>
    <w:p w14:paraId="5946D9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sz w:val="24"/>
        </w:rPr>
        <w:t>在变电站（换流站）侧，故障录波装置、保护信息子站、电能量采集终端等工业控制类二次设备长期运行在生产控制大区，这类设备普遍存在操作系统老旧、安全补丁缺失、账号权限粗放、端口服务冗余等安全隐患。  一旦遭受网络攻击，轻则数据篡改、信息泄露，重则引发继电保护误动或拒动，后果不堪设想。因此，对此类设备实施有效的网络安全监测，是当前电力监控系统安全防护体系的重要补充和关键短板的填补。</w:t>
      </w:r>
    </w:p>
    <w:p w14:paraId="60AE8AC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50821E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lang w:val="en-US" w:eastAsia="zh-CN"/>
        </w:rPr>
        <w:t>1.2.1</w:t>
      </w:r>
      <w:r>
        <w:rPr>
          <w:rFonts w:hint="eastAsia" w:ascii="宋体" w:hAnsi="宋体" w:eastAsia="宋体"/>
          <w:sz w:val="24"/>
        </w:rPr>
        <w:t>总体目标</w:t>
      </w:r>
    </w:p>
    <w:p w14:paraId="6EC37C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本项目的总体目标是：在±800kV天山换流站生产控制大区内，对23套故障录波装置、 1套电能量采集终端、 1套五防安全主机、 1套正向隔离装置、 1套反向隔离装置、 1套保信子站防火墙、 1套故障录波子站、 1套远程浏览工作站（共31套设备）完成网络安全监测探针部署、主机加固及白名单配置，实现设备网络行为和主机状态的全面可监测、可告警、可追溯，并通过与网络安全监测装置的通讯及告警联调，形成完整的厂站侧网络安全监测能力，满足国调中心调网安〔2022〕 7号文的考核要求。</w:t>
      </w:r>
    </w:p>
    <w:p w14:paraId="799B64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1.2</w:t>
      </w:r>
      <w:r>
        <w:rPr>
          <w:rFonts w:hint="eastAsia" w:ascii="宋体" w:hAnsi="宋体" w:eastAsia="宋体"/>
          <w:sz w:val="24"/>
        </w:rPr>
        <w:t>.2 安全目标</w:t>
      </w:r>
    </w:p>
    <w:p w14:paraId="6850AA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目标1：实现全覆盖监测</w:t>
      </w:r>
    </w:p>
    <w:p w14:paraId="1323F8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31套目标设备100%完成探针部署，监测覆盖率达到100%，不留盲区。</w:t>
      </w:r>
    </w:p>
    <w:p w14:paraId="548F13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目标2：建立精准白名单</w:t>
      </w:r>
    </w:p>
    <w:p w14:paraId="672AA2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依据”最小化”原则，为每套设备配置网络连接白名单、服务端口白名单、关键文件/目录清单和危险操作命令清单，白名单条目冗余度控制在5%以内，误报率低于1%。</w:t>
      </w:r>
    </w:p>
    <w:p w14:paraId="34490D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目标3：实现实时告警上送</w:t>
      </w:r>
    </w:p>
    <w:p w14:paraId="564A36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探针采集的安全事件（违规网络访问、异常进程启动、危险操作命令执行、关键文件变更等）须在60秒内上送至网络安全监测装置，告警上送成功率不低于99.9%。</w:t>
      </w:r>
    </w:p>
    <w:p w14:paraId="6CFE4D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目标4：不影响业务系统运行</w:t>
      </w:r>
    </w:p>
    <w:p w14:paraId="524E70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施工过程中及探针运行后，目标设备主业务功能（故障录波、电能量采集、五防操作等）零中断，探针进程CPU占用率不超过5%，内存占用率不超过10%。</w:t>
      </w:r>
    </w:p>
    <w:p w14:paraId="66C952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1.2</w:t>
      </w:r>
      <w:r>
        <w:rPr>
          <w:rFonts w:hint="eastAsia" w:ascii="宋体" w:hAnsi="宋体" w:eastAsia="宋体"/>
          <w:sz w:val="24"/>
        </w:rPr>
        <w:t>.3 技术目标</w:t>
      </w:r>
    </w:p>
    <w:p w14:paraId="2145CF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目标1：探针兼容性满足要求</w:t>
      </w:r>
    </w:p>
    <w:p w14:paraId="7B97FE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部署的探针软件版本须与所有目标设备操作系统（包括不同版本的Linux和Windows）完全兼容，支持远程安全配置核查功能，探针启动后稳定运行，无崩溃或异常退出。</w:t>
      </w:r>
    </w:p>
    <w:p w14:paraId="28DA4D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目标2：主机加固达到基线要求</w:t>
      </w:r>
    </w:p>
    <w:p w14:paraId="14196C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按照国家电网公司主机安全基线要求，完成账号策略加固（弱口令整改、默认账号禁用）、服务端口关闭（关闭非必要端口，数量较加固前减少不低于60%）、危险服务停用（Telnet、FTP等明文协议服务全部停用）。</w:t>
      </w:r>
    </w:p>
    <w:p w14:paraId="157F8D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目标3：白名单配置精准可用</w:t>
      </w:r>
    </w:p>
    <w:p w14:paraId="502826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网络连接白名单准确反映设备正常业务通信关系，无缺漏；服务端口白名单仅保留业务必需端口；危险操作命令清单覆盖行业规范要求的全部高风险命令类型。</w:t>
      </w:r>
    </w:p>
    <w:p w14:paraId="59D30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目标4：通讯联调测试全部通过</w:t>
      </w:r>
    </w:p>
    <w:p w14:paraId="366374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完成探针与网络安全监测装置的通讯测试、告警功能测试、联动测试，全部测试用例通过率达到100%。</w:t>
      </w:r>
    </w:p>
    <w:p w14:paraId="13594D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1.2</w:t>
      </w:r>
      <w:r>
        <w:rPr>
          <w:rFonts w:hint="eastAsia" w:ascii="宋体" w:hAnsi="宋体" w:eastAsia="宋体"/>
          <w:sz w:val="24"/>
        </w:rPr>
        <w:t>.4 管理目标</w:t>
      </w:r>
    </w:p>
    <w:p w14:paraId="4AA1D0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目标1：安全施工零事故</w:t>
      </w:r>
    </w:p>
    <w:p w14:paraId="7FB1A6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全程施工严格遵守天山换流站现场安全规程，人员持证上岗，施工工作票合规，实现施工过程人身安全零事故、设备损坏零事故。</w:t>
      </w:r>
    </w:p>
    <w:p w14:paraId="5CE0AB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目标2：工期按时完成</w:t>
      </w:r>
    </w:p>
    <w:p w14:paraId="1B5185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在合同规定工期内完成全部31套设备的接入改造工作，不拖期，关键节点按计划交付。</w:t>
      </w:r>
    </w:p>
    <w:p w14:paraId="582BF4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目标3：验收资料完整归档</w:t>
      </w:r>
    </w:p>
    <w:p w14:paraId="26CD7E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提交作业面方案、标准化作业卡、竣工验收报告、施工工作票、施工照片等完整归档资料，资料齐套率100% ，一次性通过业主方验收。</w:t>
      </w:r>
    </w:p>
    <w:p w14:paraId="293711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目标4：标准化作业规范执行</w:t>
      </w:r>
    </w:p>
    <w:p w14:paraId="270553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编写标准化检修作业指导书，所有现场操作依据作业指导书执行，实现操作步骤可记录、可追溯、可复核。</w:t>
      </w:r>
    </w:p>
    <w:p w14:paraId="561E7A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1.2</w:t>
      </w:r>
      <w:r>
        <w:rPr>
          <w:rFonts w:hint="eastAsia" w:ascii="宋体" w:hAnsi="宋体" w:eastAsia="宋体"/>
          <w:sz w:val="24"/>
        </w:rPr>
        <w:t>.5 目标量化汇总</w:t>
      </w:r>
    </w:p>
    <w:tbl>
      <w:tblPr>
        <w:tblStyle w:val="21"/>
        <w:tblW w:w="5440" w:type="dxa"/>
        <w:tblInd w:w="20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16"/>
        <w:gridCol w:w="2496"/>
        <w:gridCol w:w="1528"/>
      </w:tblGrid>
      <w:tr w14:paraId="767164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2" w:hRule="atLeast"/>
        </w:trPr>
        <w:tc>
          <w:tcPr>
            <w:tcW w:w="1416" w:type="dxa"/>
            <w:tcBorders>
              <w:bottom w:val="single" w:color="A8A29E" w:sz="12" w:space="0"/>
            </w:tcBorders>
            <w:shd w:val="clear" w:color="auto" w:fill="E7E5E4"/>
            <w:vAlign w:val="top"/>
          </w:tcPr>
          <w:p w14:paraId="47B4D35B">
            <w:pPr>
              <w:pStyle w:val="20"/>
              <w:spacing w:before="117" w:line="188" w:lineRule="auto"/>
              <w:ind w:left="137"/>
              <w:rPr>
                <w:sz w:val="16"/>
                <w:szCs w:val="16"/>
              </w:rPr>
            </w:pPr>
            <w:r>
              <w:rPr>
                <w:b/>
                <w:bCs/>
                <w:color w:val="1C1917"/>
                <w:spacing w:val="4"/>
                <w:sz w:val="16"/>
                <w:szCs w:val="16"/>
              </w:rPr>
              <w:t>目标维度</w:t>
            </w:r>
          </w:p>
        </w:tc>
        <w:tc>
          <w:tcPr>
            <w:tcW w:w="2496" w:type="dxa"/>
            <w:tcBorders>
              <w:bottom w:val="single" w:color="A8A29E" w:sz="12" w:space="0"/>
            </w:tcBorders>
            <w:shd w:val="clear" w:color="auto" w:fill="E7E5E4"/>
            <w:vAlign w:val="top"/>
          </w:tcPr>
          <w:p w14:paraId="08C3BA01">
            <w:pPr>
              <w:pStyle w:val="20"/>
              <w:spacing w:before="117" w:line="188" w:lineRule="auto"/>
              <w:ind w:left="121"/>
              <w:rPr>
                <w:sz w:val="16"/>
                <w:szCs w:val="16"/>
              </w:rPr>
            </w:pPr>
            <w:r>
              <w:rPr>
                <w:b/>
                <w:bCs/>
                <w:color w:val="1C1917"/>
                <w:spacing w:val="8"/>
                <w:sz w:val="16"/>
                <w:szCs w:val="16"/>
              </w:rPr>
              <w:t>量化指标</w:t>
            </w:r>
          </w:p>
        </w:tc>
        <w:tc>
          <w:tcPr>
            <w:tcW w:w="1528" w:type="dxa"/>
            <w:tcBorders>
              <w:bottom w:val="single" w:color="A8A29E" w:sz="12" w:space="0"/>
            </w:tcBorders>
            <w:shd w:val="clear" w:color="auto" w:fill="E7E5E4"/>
            <w:vAlign w:val="top"/>
          </w:tcPr>
          <w:p w14:paraId="67E8AFA1">
            <w:pPr>
              <w:pStyle w:val="20"/>
              <w:spacing w:before="118" w:line="187" w:lineRule="auto"/>
              <w:ind w:left="138"/>
              <w:rPr>
                <w:sz w:val="16"/>
                <w:szCs w:val="16"/>
              </w:rPr>
            </w:pPr>
            <w:r>
              <w:rPr>
                <w:b/>
                <w:bCs/>
                <w:color w:val="1C1917"/>
                <w:spacing w:val="2"/>
                <w:sz w:val="16"/>
                <w:szCs w:val="16"/>
              </w:rPr>
              <w:t>目标值</w:t>
            </w:r>
          </w:p>
        </w:tc>
      </w:tr>
      <w:tr w14:paraId="615DE5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 w:hRule="atLeast"/>
        </w:trPr>
        <w:tc>
          <w:tcPr>
            <w:tcW w:w="1416" w:type="dxa"/>
            <w:tcBorders>
              <w:top w:val="single" w:color="A8A29E" w:sz="12" w:space="0"/>
              <w:bottom w:val="single" w:color="E7E5E4" w:sz="4" w:space="0"/>
            </w:tcBorders>
            <w:vAlign w:val="top"/>
          </w:tcPr>
          <w:p w14:paraId="4FC045CB">
            <w:pPr>
              <w:pStyle w:val="20"/>
              <w:spacing w:before="94" w:line="185" w:lineRule="auto"/>
              <w:ind w:left="121"/>
              <w:rPr>
                <w:sz w:val="16"/>
                <w:szCs w:val="16"/>
              </w:rPr>
            </w:pPr>
            <w:r>
              <w:rPr>
                <w:color w:val="292524"/>
                <w:spacing w:val="8"/>
                <w:sz w:val="16"/>
                <w:szCs w:val="16"/>
              </w:rPr>
              <w:t>监测覆盖率</w:t>
            </w:r>
          </w:p>
        </w:tc>
        <w:tc>
          <w:tcPr>
            <w:tcW w:w="2496" w:type="dxa"/>
            <w:tcBorders>
              <w:top w:val="single" w:color="A8A29E" w:sz="12" w:space="0"/>
              <w:bottom w:val="single" w:color="E7E5E4" w:sz="4" w:space="0"/>
            </w:tcBorders>
            <w:vAlign w:val="top"/>
          </w:tcPr>
          <w:p w14:paraId="53A9B5B3">
            <w:pPr>
              <w:pStyle w:val="20"/>
              <w:spacing w:before="67" w:line="232" w:lineRule="auto"/>
              <w:ind w:left="121"/>
              <w:rPr>
                <w:sz w:val="16"/>
                <w:szCs w:val="16"/>
              </w:rPr>
            </w:pPr>
            <w:r>
              <w:rPr>
                <w:color w:val="292524"/>
                <w:spacing w:val="7"/>
                <w:sz w:val="16"/>
                <w:szCs w:val="16"/>
              </w:rPr>
              <w:t>完成探针部署设备数</w:t>
            </w:r>
            <w:r>
              <w:rPr>
                <w:rFonts w:ascii="Cambria" w:hAnsi="Cambria" w:eastAsia="Cambria" w:cs="Cambria"/>
                <w:color w:val="292524"/>
                <w:spacing w:val="7"/>
                <w:sz w:val="16"/>
                <w:szCs w:val="16"/>
              </w:rPr>
              <w:t>/</w:t>
            </w:r>
            <w:r>
              <w:rPr>
                <w:color w:val="292524"/>
                <w:spacing w:val="7"/>
                <w:sz w:val="16"/>
                <w:szCs w:val="16"/>
              </w:rPr>
              <w:t>总设备数</w:t>
            </w:r>
          </w:p>
        </w:tc>
        <w:tc>
          <w:tcPr>
            <w:tcW w:w="1528" w:type="dxa"/>
            <w:tcBorders>
              <w:top w:val="single" w:color="A8A29E" w:sz="12" w:space="0"/>
              <w:bottom w:val="single" w:color="E7E5E4" w:sz="4" w:space="0"/>
            </w:tcBorders>
            <w:vAlign w:val="top"/>
          </w:tcPr>
          <w:p w14:paraId="7A47E136">
            <w:pPr>
              <w:pStyle w:val="20"/>
              <w:spacing w:before="41" w:line="292" w:lineRule="exact"/>
              <w:ind w:left="127"/>
              <w:rPr>
                <w:sz w:val="16"/>
                <w:szCs w:val="16"/>
              </w:rPr>
            </w:pPr>
            <w:r>
              <w:rPr>
                <w:rFonts w:ascii="Cambria" w:hAnsi="Cambria" w:eastAsia="Cambria" w:cs="Cambria"/>
                <w:color w:val="292524"/>
                <w:spacing w:val="-6"/>
                <w:position w:val="4"/>
                <w:sz w:val="16"/>
                <w:szCs w:val="16"/>
              </w:rPr>
              <w:t>100%</w:t>
            </w:r>
            <w:r>
              <w:rPr>
                <w:color w:val="292524"/>
                <w:spacing w:val="-6"/>
                <w:position w:val="4"/>
                <w:sz w:val="16"/>
                <w:szCs w:val="16"/>
              </w:rPr>
              <w:t>（</w:t>
            </w:r>
            <w:r>
              <w:rPr>
                <w:rFonts w:ascii="Cambria" w:hAnsi="Cambria" w:eastAsia="Cambria" w:cs="Cambria"/>
                <w:color w:val="292524"/>
                <w:spacing w:val="-6"/>
                <w:position w:val="4"/>
                <w:sz w:val="16"/>
                <w:szCs w:val="16"/>
              </w:rPr>
              <w:t>31/31</w:t>
            </w:r>
            <w:r>
              <w:rPr>
                <w:color w:val="292524"/>
                <w:spacing w:val="-6"/>
                <w:position w:val="4"/>
                <w:sz w:val="16"/>
                <w:szCs w:val="16"/>
              </w:rPr>
              <w:t>套）</w:t>
            </w:r>
          </w:p>
        </w:tc>
      </w:tr>
      <w:tr w14:paraId="08AE6C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416" w:type="dxa"/>
            <w:tcBorders>
              <w:top w:val="single" w:color="E7E5E4" w:sz="4" w:space="0"/>
              <w:bottom w:val="single" w:color="E7E5E4" w:sz="2" w:space="0"/>
            </w:tcBorders>
            <w:vAlign w:val="top"/>
          </w:tcPr>
          <w:p w14:paraId="76FDF044">
            <w:pPr>
              <w:pStyle w:val="20"/>
              <w:spacing w:before="109" w:line="185" w:lineRule="auto"/>
              <w:ind w:left="123"/>
              <w:rPr>
                <w:sz w:val="16"/>
                <w:szCs w:val="16"/>
              </w:rPr>
            </w:pPr>
            <w:r>
              <w:rPr>
                <w:color w:val="292524"/>
                <w:spacing w:val="8"/>
                <w:sz w:val="16"/>
                <w:szCs w:val="16"/>
              </w:rPr>
              <w:t>告警上送及时性</w:t>
            </w:r>
          </w:p>
        </w:tc>
        <w:tc>
          <w:tcPr>
            <w:tcW w:w="2496" w:type="dxa"/>
            <w:tcBorders>
              <w:top w:val="single" w:color="E7E5E4" w:sz="4" w:space="0"/>
              <w:bottom w:val="single" w:color="E7E5E4" w:sz="2" w:space="0"/>
            </w:tcBorders>
            <w:vAlign w:val="top"/>
          </w:tcPr>
          <w:p w14:paraId="23797F7D">
            <w:pPr>
              <w:pStyle w:val="20"/>
              <w:spacing w:before="108" w:line="186" w:lineRule="auto"/>
              <w:ind w:left="122"/>
              <w:rPr>
                <w:sz w:val="16"/>
                <w:szCs w:val="16"/>
              </w:rPr>
            </w:pPr>
            <w:r>
              <w:rPr>
                <w:color w:val="292524"/>
                <w:spacing w:val="9"/>
                <w:sz w:val="16"/>
                <w:szCs w:val="16"/>
              </w:rPr>
              <w:t>事件发生至上送时延</w:t>
            </w:r>
          </w:p>
        </w:tc>
        <w:tc>
          <w:tcPr>
            <w:tcW w:w="1528" w:type="dxa"/>
            <w:tcBorders>
              <w:top w:val="single" w:color="E7E5E4" w:sz="4" w:space="0"/>
              <w:bottom w:val="single" w:color="E7E5E4" w:sz="2" w:space="0"/>
            </w:tcBorders>
            <w:vAlign w:val="top"/>
          </w:tcPr>
          <w:p w14:paraId="55AE2EBA">
            <w:pPr>
              <w:pStyle w:val="20"/>
              <w:spacing w:before="105" w:line="185" w:lineRule="auto"/>
              <w:ind w:left="120"/>
              <w:rPr>
                <w:sz w:val="16"/>
                <w:szCs w:val="16"/>
              </w:rPr>
            </w:pPr>
            <w:r>
              <w:rPr>
                <w:rFonts w:ascii="Cambria" w:hAnsi="Cambria" w:eastAsia="Cambria" w:cs="Cambria"/>
                <w:color w:val="292524"/>
                <w:spacing w:val="-3"/>
                <w:sz w:val="16"/>
                <w:szCs w:val="16"/>
              </w:rPr>
              <w:t>≤60</w:t>
            </w:r>
            <w:r>
              <w:rPr>
                <w:color w:val="292524"/>
                <w:spacing w:val="-3"/>
                <w:sz w:val="16"/>
                <w:szCs w:val="16"/>
              </w:rPr>
              <w:t>秒</w:t>
            </w:r>
          </w:p>
        </w:tc>
      </w:tr>
      <w:tr w14:paraId="3C053C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1416" w:type="dxa"/>
            <w:tcBorders>
              <w:top w:val="single" w:color="E7E5E4" w:sz="2" w:space="0"/>
              <w:bottom w:val="single" w:color="E7E5E4" w:sz="4" w:space="0"/>
            </w:tcBorders>
            <w:vAlign w:val="top"/>
          </w:tcPr>
          <w:p w14:paraId="0D63B009">
            <w:pPr>
              <w:pStyle w:val="20"/>
              <w:spacing w:before="115" w:line="186" w:lineRule="auto"/>
              <w:ind w:left="123"/>
              <w:rPr>
                <w:sz w:val="16"/>
                <w:szCs w:val="16"/>
              </w:rPr>
            </w:pPr>
            <w:r>
              <w:rPr>
                <w:color w:val="292524"/>
                <w:spacing w:val="8"/>
                <w:sz w:val="16"/>
                <w:szCs w:val="16"/>
              </w:rPr>
              <w:t>告警上送成功率</w:t>
            </w:r>
          </w:p>
        </w:tc>
        <w:tc>
          <w:tcPr>
            <w:tcW w:w="2496" w:type="dxa"/>
            <w:tcBorders>
              <w:top w:val="single" w:color="E7E5E4" w:sz="2" w:space="0"/>
              <w:bottom w:val="single" w:color="E7E5E4" w:sz="4" w:space="0"/>
            </w:tcBorders>
            <w:vAlign w:val="top"/>
          </w:tcPr>
          <w:p w14:paraId="05644A06">
            <w:pPr>
              <w:pStyle w:val="20"/>
              <w:spacing w:before="87" w:line="232" w:lineRule="auto"/>
              <w:ind w:left="120"/>
              <w:rPr>
                <w:sz w:val="16"/>
                <w:szCs w:val="16"/>
              </w:rPr>
            </w:pPr>
            <w:r>
              <w:rPr>
                <w:color w:val="292524"/>
                <w:spacing w:val="6"/>
                <w:sz w:val="16"/>
                <w:szCs w:val="16"/>
              </w:rPr>
              <w:t>成功上送条数</w:t>
            </w:r>
            <w:r>
              <w:rPr>
                <w:rFonts w:ascii="Cambria" w:hAnsi="Cambria" w:eastAsia="Cambria" w:cs="Cambria"/>
                <w:color w:val="292524"/>
                <w:spacing w:val="6"/>
                <w:sz w:val="16"/>
                <w:szCs w:val="16"/>
              </w:rPr>
              <w:t>/</w:t>
            </w:r>
            <w:r>
              <w:rPr>
                <w:color w:val="292524"/>
                <w:spacing w:val="6"/>
                <w:sz w:val="16"/>
                <w:szCs w:val="16"/>
              </w:rPr>
              <w:t>触发条数</w:t>
            </w:r>
          </w:p>
        </w:tc>
        <w:tc>
          <w:tcPr>
            <w:tcW w:w="1528" w:type="dxa"/>
            <w:tcBorders>
              <w:top w:val="single" w:color="E7E5E4" w:sz="2" w:space="0"/>
              <w:bottom w:val="single" w:color="E7E5E4" w:sz="4" w:space="0"/>
            </w:tcBorders>
            <w:vAlign w:val="top"/>
          </w:tcPr>
          <w:p w14:paraId="501CC99B">
            <w:pPr>
              <w:spacing w:before="74" w:line="225" w:lineRule="exact"/>
              <w:ind w:left="120"/>
              <w:rPr>
                <w:rFonts w:ascii="Cambria" w:hAnsi="Cambria" w:eastAsia="Cambria" w:cs="Cambria"/>
                <w:sz w:val="16"/>
                <w:szCs w:val="16"/>
              </w:rPr>
            </w:pPr>
            <w:r>
              <w:rPr>
                <w:rFonts w:ascii="Cambria" w:hAnsi="Cambria" w:eastAsia="Cambria" w:cs="Cambria"/>
                <w:color w:val="292524"/>
                <w:spacing w:val="-3"/>
                <w:position w:val="2"/>
                <w:sz w:val="16"/>
                <w:szCs w:val="16"/>
              </w:rPr>
              <w:t>≥99.9%</w:t>
            </w:r>
          </w:p>
        </w:tc>
      </w:tr>
      <w:tr w14:paraId="33E004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1416" w:type="dxa"/>
            <w:tcBorders>
              <w:top w:val="single" w:color="E7E5E4" w:sz="4" w:space="0"/>
              <w:bottom w:val="single" w:color="E7E5E4" w:sz="4" w:space="0"/>
            </w:tcBorders>
            <w:vAlign w:val="top"/>
          </w:tcPr>
          <w:p w14:paraId="2B52E3DA">
            <w:pPr>
              <w:pStyle w:val="20"/>
              <w:spacing w:before="107" w:line="185" w:lineRule="auto"/>
              <w:ind w:left="120"/>
              <w:rPr>
                <w:sz w:val="16"/>
                <w:szCs w:val="16"/>
              </w:rPr>
            </w:pPr>
            <w:r>
              <w:rPr>
                <w:color w:val="292524"/>
                <w:spacing w:val="12"/>
                <w:sz w:val="16"/>
                <w:szCs w:val="16"/>
              </w:rPr>
              <w:t>探针</w:t>
            </w:r>
            <w:r>
              <w:rPr>
                <w:rFonts w:ascii="Cambria" w:hAnsi="Cambria" w:eastAsia="Cambria" w:cs="Cambria"/>
                <w:color w:val="292524"/>
                <w:sz w:val="16"/>
                <w:szCs w:val="16"/>
              </w:rPr>
              <w:t>CPU</w:t>
            </w:r>
            <w:r>
              <w:rPr>
                <w:color w:val="292524"/>
                <w:spacing w:val="12"/>
                <w:sz w:val="16"/>
                <w:szCs w:val="16"/>
              </w:rPr>
              <w:t>占用率</w:t>
            </w:r>
          </w:p>
        </w:tc>
        <w:tc>
          <w:tcPr>
            <w:tcW w:w="2496" w:type="dxa"/>
            <w:tcBorders>
              <w:top w:val="single" w:color="E7E5E4" w:sz="4" w:space="0"/>
              <w:bottom w:val="single" w:color="E7E5E4" w:sz="4" w:space="0"/>
            </w:tcBorders>
            <w:vAlign w:val="top"/>
          </w:tcPr>
          <w:p w14:paraId="6551AD31">
            <w:pPr>
              <w:pStyle w:val="20"/>
              <w:spacing w:before="108" w:line="184" w:lineRule="auto"/>
              <w:ind w:left="120"/>
              <w:rPr>
                <w:sz w:val="16"/>
                <w:szCs w:val="16"/>
              </w:rPr>
            </w:pPr>
            <w:r>
              <w:rPr>
                <w:color w:val="292524"/>
                <w:spacing w:val="11"/>
                <w:sz w:val="16"/>
                <w:szCs w:val="16"/>
              </w:rPr>
              <w:t>探针进程</w:t>
            </w:r>
            <w:r>
              <w:rPr>
                <w:rFonts w:ascii="Cambria" w:hAnsi="Cambria" w:eastAsia="Cambria" w:cs="Cambria"/>
                <w:color w:val="292524"/>
                <w:sz w:val="16"/>
                <w:szCs w:val="16"/>
              </w:rPr>
              <w:t>CPU</w:t>
            </w:r>
            <w:r>
              <w:rPr>
                <w:color w:val="292524"/>
                <w:spacing w:val="11"/>
                <w:sz w:val="16"/>
                <w:szCs w:val="16"/>
              </w:rPr>
              <w:t>占用</w:t>
            </w:r>
          </w:p>
        </w:tc>
        <w:tc>
          <w:tcPr>
            <w:tcW w:w="1528" w:type="dxa"/>
            <w:tcBorders>
              <w:top w:val="single" w:color="E7E5E4" w:sz="4" w:space="0"/>
              <w:bottom w:val="single" w:color="E7E5E4" w:sz="4" w:space="0"/>
            </w:tcBorders>
            <w:vAlign w:val="top"/>
          </w:tcPr>
          <w:p w14:paraId="04CCA732">
            <w:pPr>
              <w:spacing w:before="70" w:line="226" w:lineRule="exact"/>
              <w:ind w:left="120"/>
              <w:rPr>
                <w:rFonts w:ascii="Cambria" w:hAnsi="Cambria" w:eastAsia="Cambria" w:cs="Cambria"/>
                <w:sz w:val="16"/>
                <w:szCs w:val="16"/>
              </w:rPr>
            </w:pPr>
            <w:r>
              <w:rPr>
                <w:rFonts w:ascii="Cambria" w:hAnsi="Cambria" w:eastAsia="Cambria" w:cs="Cambria"/>
                <w:color w:val="292524"/>
                <w:spacing w:val="-5"/>
                <w:position w:val="2"/>
                <w:sz w:val="16"/>
                <w:szCs w:val="16"/>
              </w:rPr>
              <w:t>≤5%</w:t>
            </w:r>
          </w:p>
        </w:tc>
      </w:tr>
      <w:tr w14:paraId="532196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416" w:type="dxa"/>
            <w:tcBorders>
              <w:top w:val="single" w:color="E7E5E4" w:sz="4" w:space="0"/>
              <w:bottom w:val="single" w:color="E7E5E4" w:sz="4" w:space="0"/>
            </w:tcBorders>
            <w:vAlign w:val="top"/>
          </w:tcPr>
          <w:p w14:paraId="5876CF3A">
            <w:pPr>
              <w:pStyle w:val="20"/>
              <w:spacing w:before="113" w:line="185" w:lineRule="auto"/>
              <w:ind w:left="120"/>
              <w:rPr>
                <w:sz w:val="16"/>
                <w:szCs w:val="16"/>
              </w:rPr>
            </w:pPr>
            <w:r>
              <w:rPr>
                <w:color w:val="292524"/>
                <w:spacing w:val="9"/>
                <w:sz w:val="16"/>
                <w:szCs w:val="16"/>
              </w:rPr>
              <w:t>探针内存占用率</w:t>
            </w:r>
          </w:p>
        </w:tc>
        <w:tc>
          <w:tcPr>
            <w:tcW w:w="2496" w:type="dxa"/>
            <w:tcBorders>
              <w:top w:val="single" w:color="E7E5E4" w:sz="4" w:space="0"/>
              <w:bottom w:val="single" w:color="E7E5E4" w:sz="4" w:space="0"/>
            </w:tcBorders>
            <w:vAlign w:val="top"/>
          </w:tcPr>
          <w:p w14:paraId="63F92165">
            <w:pPr>
              <w:pStyle w:val="20"/>
              <w:spacing w:before="114" w:line="184" w:lineRule="auto"/>
              <w:ind w:left="120"/>
              <w:rPr>
                <w:sz w:val="16"/>
                <w:szCs w:val="16"/>
              </w:rPr>
            </w:pPr>
            <w:r>
              <w:rPr>
                <w:color w:val="292524"/>
                <w:spacing w:val="9"/>
                <w:sz w:val="16"/>
                <w:szCs w:val="16"/>
              </w:rPr>
              <w:t>探针进程内存占用</w:t>
            </w:r>
          </w:p>
        </w:tc>
        <w:tc>
          <w:tcPr>
            <w:tcW w:w="1528" w:type="dxa"/>
            <w:tcBorders>
              <w:top w:val="single" w:color="E7E5E4" w:sz="4" w:space="0"/>
              <w:bottom w:val="single" w:color="E7E5E4" w:sz="4" w:space="0"/>
            </w:tcBorders>
            <w:vAlign w:val="top"/>
          </w:tcPr>
          <w:p w14:paraId="7F0D4FD8">
            <w:pPr>
              <w:spacing w:before="72" w:line="226" w:lineRule="exact"/>
              <w:ind w:left="120"/>
              <w:rPr>
                <w:rFonts w:ascii="Cambria" w:hAnsi="Cambria" w:eastAsia="Cambria" w:cs="Cambria"/>
                <w:sz w:val="16"/>
                <w:szCs w:val="16"/>
              </w:rPr>
            </w:pPr>
            <w:r>
              <w:rPr>
                <w:rFonts w:ascii="Cambria" w:hAnsi="Cambria" w:eastAsia="Cambria" w:cs="Cambria"/>
                <w:color w:val="292524"/>
                <w:spacing w:val="-5"/>
                <w:position w:val="2"/>
                <w:sz w:val="16"/>
                <w:szCs w:val="16"/>
              </w:rPr>
              <w:t>≤10%</w:t>
            </w:r>
          </w:p>
        </w:tc>
      </w:tr>
      <w:tr w14:paraId="31DB12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416" w:type="dxa"/>
            <w:tcBorders>
              <w:top w:val="single" w:color="E7E5E4" w:sz="4" w:space="0"/>
              <w:bottom w:val="single" w:color="E7E5E4" w:sz="4" w:space="0"/>
            </w:tcBorders>
            <w:vAlign w:val="top"/>
          </w:tcPr>
          <w:p w14:paraId="53DC5E1A">
            <w:pPr>
              <w:pStyle w:val="20"/>
              <w:spacing w:before="115" w:line="184" w:lineRule="auto"/>
              <w:ind w:left="120"/>
              <w:rPr>
                <w:sz w:val="16"/>
                <w:szCs w:val="16"/>
              </w:rPr>
            </w:pPr>
            <w:r>
              <w:rPr>
                <w:color w:val="292524"/>
                <w:spacing w:val="8"/>
                <w:sz w:val="16"/>
                <w:szCs w:val="16"/>
              </w:rPr>
              <w:t>端口收敛率</w:t>
            </w:r>
          </w:p>
        </w:tc>
        <w:tc>
          <w:tcPr>
            <w:tcW w:w="2496" w:type="dxa"/>
            <w:tcBorders>
              <w:top w:val="single" w:color="E7E5E4" w:sz="4" w:space="0"/>
              <w:bottom w:val="single" w:color="E7E5E4" w:sz="4" w:space="0"/>
            </w:tcBorders>
            <w:vAlign w:val="top"/>
          </w:tcPr>
          <w:p w14:paraId="7A37F3F9">
            <w:pPr>
              <w:pStyle w:val="20"/>
              <w:spacing w:before="116" w:line="184" w:lineRule="auto"/>
              <w:ind w:left="122"/>
              <w:rPr>
                <w:sz w:val="16"/>
                <w:szCs w:val="16"/>
              </w:rPr>
            </w:pPr>
            <w:r>
              <w:rPr>
                <w:color w:val="292524"/>
                <w:spacing w:val="9"/>
                <w:sz w:val="16"/>
                <w:szCs w:val="16"/>
              </w:rPr>
              <w:t>关闭非必要端口比例</w:t>
            </w:r>
          </w:p>
        </w:tc>
        <w:tc>
          <w:tcPr>
            <w:tcW w:w="1528" w:type="dxa"/>
            <w:tcBorders>
              <w:top w:val="single" w:color="E7E5E4" w:sz="4" w:space="0"/>
              <w:bottom w:val="single" w:color="E7E5E4" w:sz="4" w:space="0"/>
            </w:tcBorders>
            <w:vAlign w:val="top"/>
          </w:tcPr>
          <w:p w14:paraId="69A18E65">
            <w:pPr>
              <w:spacing w:before="74" w:line="226" w:lineRule="exact"/>
              <w:ind w:left="120"/>
              <w:rPr>
                <w:rFonts w:ascii="Cambria" w:hAnsi="Cambria" w:eastAsia="Cambria" w:cs="Cambria"/>
                <w:sz w:val="16"/>
                <w:szCs w:val="16"/>
              </w:rPr>
            </w:pPr>
            <w:r>
              <w:rPr>
                <w:rFonts w:ascii="Cambria" w:hAnsi="Cambria" w:eastAsia="Cambria" w:cs="Cambria"/>
                <w:color w:val="292524"/>
                <w:spacing w:val="-5"/>
                <w:position w:val="2"/>
                <w:sz w:val="16"/>
                <w:szCs w:val="16"/>
              </w:rPr>
              <w:t>≥60%</w:t>
            </w:r>
          </w:p>
        </w:tc>
      </w:tr>
      <w:tr w14:paraId="6D13F6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416" w:type="dxa"/>
            <w:tcBorders>
              <w:top w:val="single" w:color="E7E5E4" w:sz="4" w:space="0"/>
              <w:bottom w:val="single" w:color="E7E5E4" w:sz="4" w:space="0"/>
            </w:tcBorders>
            <w:vAlign w:val="top"/>
          </w:tcPr>
          <w:p w14:paraId="61BEA066">
            <w:pPr>
              <w:pStyle w:val="20"/>
              <w:spacing w:before="116" w:line="185" w:lineRule="auto"/>
              <w:ind w:left="119"/>
              <w:rPr>
                <w:sz w:val="16"/>
                <w:szCs w:val="16"/>
              </w:rPr>
            </w:pPr>
            <w:r>
              <w:rPr>
                <w:color w:val="292524"/>
                <w:spacing w:val="8"/>
                <w:sz w:val="16"/>
                <w:szCs w:val="16"/>
              </w:rPr>
              <w:t>测试通过率</w:t>
            </w:r>
          </w:p>
        </w:tc>
        <w:tc>
          <w:tcPr>
            <w:tcW w:w="2496" w:type="dxa"/>
            <w:tcBorders>
              <w:top w:val="single" w:color="E7E5E4" w:sz="4" w:space="0"/>
              <w:bottom w:val="single" w:color="E7E5E4" w:sz="4" w:space="0"/>
            </w:tcBorders>
            <w:vAlign w:val="top"/>
          </w:tcPr>
          <w:p w14:paraId="7827B20C">
            <w:pPr>
              <w:pStyle w:val="20"/>
              <w:spacing w:before="89" w:line="232" w:lineRule="auto"/>
              <w:ind w:left="120"/>
              <w:rPr>
                <w:sz w:val="16"/>
                <w:szCs w:val="16"/>
              </w:rPr>
            </w:pPr>
            <w:r>
              <w:rPr>
                <w:color w:val="292524"/>
                <w:spacing w:val="7"/>
                <w:sz w:val="16"/>
                <w:szCs w:val="16"/>
              </w:rPr>
              <w:t>通过测试用例数</w:t>
            </w:r>
            <w:r>
              <w:rPr>
                <w:rFonts w:ascii="Cambria" w:hAnsi="Cambria" w:eastAsia="Cambria" w:cs="Cambria"/>
                <w:color w:val="292524"/>
                <w:spacing w:val="7"/>
                <w:sz w:val="16"/>
                <w:szCs w:val="16"/>
              </w:rPr>
              <w:t>/</w:t>
            </w:r>
            <w:r>
              <w:rPr>
                <w:color w:val="292524"/>
                <w:spacing w:val="7"/>
                <w:sz w:val="16"/>
                <w:szCs w:val="16"/>
              </w:rPr>
              <w:t>总用例数</w:t>
            </w:r>
          </w:p>
        </w:tc>
        <w:tc>
          <w:tcPr>
            <w:tcW w:w="1528" w:type="dxa"/>
            <w:tcBorders>
              <w:top w:val="single" w:color="E7E5E4" w:sz="4" w:space="0"/>
              <w:bottom w:val="single" w:color="E7E5E4" w:sz="4" w:space="0"/>
            </w:tcBorders>
            <w:vAlign w:val="top"/>
          </w:tcPr>
          <w:p w14:paraId="150B4DAD">
            <w:pPr>
              <w:spacing w:before="76" w:line="225" w:lineRule="exact"/>
              <w:ind w:left="127"/>
              <w:rPr>
                <w:rFonts w:ascii="Cambria" w:hAnsi="Cambria" w:eastAsia="Cambria" w:cs="Cambria"/>
                <w:sz w:val="16"/>
                <w:szCs w:val="16"/>
              </w:rPr>
            </w:pPr>
            <w:r>
              <w:rPr>
                <w:rFonts w:ascii="Cambria" w:hAnsi="Cambria" w:eastAsia="Cambria" w:cs="Cambria"/>
                <w:color w:val="292524"/>
                <w:spacing w:val="-7"/>
                <w:position w:val="2"/>
                <w:sz w:val="16"/>
                <w:szCs w:val="16"/>
              </w:rPr>
              <w:t>100%</w:t>
            </w:r>
          </w:p>
        </w:tc>
      </w:tr>
      <w:tr w14:paraId="4D2DA7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416" w:type="dxa"/>
            <w:tcBorders>
              <w:top w:val="single" w:color="E7E5E4" w:sz="4" w:space="0"/>
              <w:bottom w:val="single" w:color="E7E5E4" w:sz="4" w:space="0"/>
            </w:tcBorders>
            <w:vAlign w:val="top"/>
          </w:tcPr>
          <w:p w14:paraId="0BE2D453">
            <w:pPr>
              <w:pStyle w:val="20"/>
              <w:spacing w:before="118" w:line="185" w:lineRule="auto"/>
              <w:ind w:left="118"/>
              <w:rPr>
                <w:sz w:val="16"/>
                <w:szCs w:val="16"/>
              </w:rPr>
            </w:pPr>
            <w:r>
              <w:rPr>
                <w:color w:val="292524"/>
                <w:spacing w:val="9"/>
                <w:sz w:val="16"/>
                <w:szCs w:val="16"/>
              </w:rPr>
              <w:t>验收资料完整率</w:t>
            </w:r>
          </w:p>
        </w:tc>
        <w:tc>
          <w:tcPr>
            <w:tcW w:w="2496" w:type="dxa"/>
            <w:tcBorders>
              <w:top w:val="single" w:color="E7E5E4" w:sz="4" w:space="0"/>
              <w:bottom w:val="single" w:color="E7E5E4" w:sz="4" w:space="0"/>
            </w:tcBorders>
            <w:vAlign w:val="top"/>
          </w:tcPr>
          <w:p w14:paraId="2BC8A369">
            <w:pPr>
              <w:pStyle w:val="20"/>
              <w:spacing w:before="91" w:line="232" w:lineRule="auto"/>
              <w:ind w:left="119"/>
              <w:rPr>
                <w:sz w:val="16"/>
                <w:szCs w:val="16"/>
              </w:rPr>
            </w:pPr>
            <w:r>
              <w:rPr>
                <w:color w:val="292524"/>
                <w:spacing w:val="7"/>
                <w:sz w:val="16"/>
                <w:szCs w:val="16"/>
              </w:rPr>
              <w:t>提交资料项数</w:t>
            </w:r>
            <w:r>
              <w:rPr>
                <w:rFonts w:ascii="Cambria" w:hAnsi="Cambria" w:eastAsia="Cambria" w:cs="Cambria"/>
                <w:color w:val="292524"/>
                <w:spacing w:val="7"/>
                <w:sz w:val="16"/>
                <w:szCs w:val="16"/>
              </w:rPr>
              <w:t>/</w:t>
            </w:r>
            <w:r>
              <w:rPr>
                <w:color w:val="292524"/>
                <w:spacing w:val="7"/>
                <w:sz w:val="16"/>
                <w:szCs w:val="16"/>
              </w:rPr>
              <w:t>要求资料项数</w:t>
            </w:r>
          </w:p>
        </w:tc>
        <w:tc>
          <w:tcPr>
            <w:tcW w:w="1528" w:type="dxa"/>
            <w:tcBorders>
              <w:top w:val="single" w:color="E7E5E4" w:sz="4" w:space="0"/>
              <w:bottom w:val="single" w:color="E7E5E4" w:sz="4" w:space="0"/>
            </w:tcBorders>
            <w:vAlign w:val="top"/>
          </w:tcPr>
          <w:p w14:paraId="7B396150">
            <w:pPr>
              <w:spacing w:before="78" w:line="225" w:lineRule="exact"/>
              <w:ind w:left="127"/>
              <w:rPr>
                <w:rFonts w:ascii="Cambria" w:hAnsi="Cambria" w:eastAsia="Cambria" w:cs="Cambria"/>
                <w:sz w:val="16"/>
                <w:szCs w:val="16"/>
              </w:rPr>
            </w:pPr>
            <w:r>
              <w:rPr>
                <w:rFonts w:ascii="Cambria" w:hAnsi="Cambria" w:eastAsia="Cambria" w:cs="Cambria"/>
                <w:color w:val="292524"/>
                <w:spacing w:val="-7"/>
                <w:position w:val="2"/>
                <w:sz w:val="16"/>
                <w:szCs w:val="16"/>
              </w:rPr>
              <w:t>100%</w:t>
            </w:r>
          </w:p>
        </w:tc>
      </w:tr>
      <w:tr w14:paraId="228778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9" w:hRule="atLeast"/>
        </w:trPr>
        <w:tc>
          <w:tcPr>
            <w:tcW w:w="1416" w:type="dxa"/>
            <w:tcBorders>
              <w:top w:val="single" w:color="E7E5E4" w:sz="4" w:space="0"/>
              <w:bottom w:val="single" w:color="D6D3D1" w:sz="8" w:space="0"/>
            </w:tcBorders>
            <w:vAlign w:val="top"/>
          </w:tcPr>
          <w:p w14:paraId="0F6BBAE5">
            <w:pPr>
              <w:pStyle w:val="20"/>
              <w:spacing w:before="119" w:line="185" w:lineRule="auto"/>
              <w:ind w:left="125"/>
              <w:rPr>
                <w:sz w:val="16"/>
                <w:szCs w:val="16"/>
              </w:rPr>
            </w:pPr>
            <w:r>
              <w:rPr>
                <w:color w:val="292524"/>
                <w:spacing w:val="7"/>
                <w:sz w:val="16"/>
                <w:szCs w:val="16"/>
              </w:rPr>
              <w:t>安全事故</w:t>
            </w:r>
          </w:p>
        </w:tc>
        <w:tc>
          <w:tcPr>
            <w:tcW w:w="2496" w:type="dxa"/>
            <w:tcBorders>
              <w:top w:val="single" w:color="E7E5E4" w:sz="4" w:space="0"/>
              <w:bottom w:val="single" w:color="D6D3D1" w:sz="8" w:space="0"/>
            </w:tcBorders>
            <w:vAlign w:val="top"/>
          </w:tcPr>
          <w:p w14:paraId="2A590AF6">
            <w:pPr>
              <w:pStyle w:val="20"/>
              <w:spacing w:before="93" w:line="232" w:lineRule="auto"/>
              <w:ind w:left="121"/>
              <w:rPr>
                <w:sz w:val="16"/>
                <w:szCs w:val="16"/>
              </w:rPr>
            </w:pPr>
            <w:r>
              <w:rPr>
                <w:color w:val="292524"/>
                <w:spacing w:val="5"/>
                <w:sz w:val="16"/>
                <w:szCs w:val="16"/>
              </w:rPr>
              <w:t>人身</w:t>
            </w:r>
            <w:r>
              <w:rPr>
                <w:rFonts w:ascii="Cambria" w:hAnsi="Cambria" w:eastAsia="Cambria" w:cs="Cambria"/>
                <w:color w:val="292524"/>
                <w:spacing w:val="5"/>
                <w:sz w:val="16"/>
                <w:szCs w:val="16"/>
              </w:rPr>
              <w:t>/</w:t>
            </w:r>
            <w:r>
              <w:rPr>
                <w:color w:val="292524"/>
                <w:spacing w:val="5"/>
                <w:sz w:val="16"/>
                <w:szCs w:val="16"/>
              </w:rPr>
              <w:t>设备事故次数</w:t>
            </w:r>
          </w:p>
        </w:tc>
        <w:tc>
          <w:tcPr>
            <w:tcW w:w="1528" w:type="dxa"/>
            <w:tcBorders>
              <w:top w:val="single" w:color="E7E5E4" w:sz="4" w:space="0"/>
              <w:bottom w:val="single" w:color="D6D3D1" w:sz="8" w:space="0"/>
            </w:tcBorders>
            <w:vAlign w:val="top"/>
          </w:tcPr>
          <w:p w14:paraId="09B88D4D">
            <w:pPr>
              <w:spacing w:before="137" w:line="190" w:lineRule="auto"/>
              <w:ind w:left="121"/>
              <w:rPr>
                <w:rFonts w:ascii="Cambria" w:hAnsi="Cambria" w:eastAsia="Cambria" w:cs="Cambria"/>
                <w:sz w:val="16"/>
                <w:szCs w:val="16"/>
              </w:rPr>
            </w:pPr>
            <w:r>
              <w:rPr>
                <w:rFonts w:ascii="Cambria" w:hAnsi="Cambria" w:eastAsia="Cambria" w:cs="Cambria"/>
                <w:color w:val="292524"/>
                <w:sz w:val="16"/>
                <w:szCs w:val="16"/>
              </w:rPr>
              <w:t>0</w:t>
            </w:r>
          </w:p>
        </w:tc>
      </w:tr>
    </w:tbl>
    <w:p w14:paraId="77DD73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p>
    <w:p w14:paraId="3C170E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1.2</w:t>
      </w:r>
      <w:r>
        <w:rPr>
          <w:rFonts w:hint="eastAsia" w:ascii="宋体" w:hAnsi="宋体" w:eastAsia="宋体"/>
          <w:sz w:val="24"/>
        </w:rPr>
        <w:t>.</w:t>
      </w:r>
      <w:r>
        <w:rPr>
          <w:rFonts w:hint="eastAsia" w:ascii="宋体" w:hAnsi="宋体"/>
          <w:sz w:val="24"/>
          <w:lang w:val="en-US" w:eastAsia="zh-CN"/>
        </w:rPr>
        <w:t>6</w:t>
      </w:r>
      <w:r>
        <w:rPr>
          <w:rFonts w:hint="eastAsia" w:ascii="宋体" w:hAnsi="宋体" w:eastAsia="宋体"/>
          <w:sz w:val="24"/>
        </w:rPr>
        <w:t xml:space="preserve"> 量化目标指标体系</w:t>
      </w:r>
    </w:p>
    <w:p w14:paraId="796ED5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为确保项目目标的可测量性与可验证性，本项目建立如下量化目标指标体系：</w:t>
      </w:r>
    </w:p>
    <w:tbl>
      <w:tblPr>
        <w:tblStyle w:val="21"/>
        <w:tblW w:w="962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92"/>
        <w:gridCol w:w="4324"/>
        <w:gridCol w:w="3208"/>
      </w:tblGrid>
      <w:tr w14:paraId="5FF55B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092" w:type="dxa"/>
            <w:tcBorders>
              <w:bottom w:val="single" w:color="A8A29E" w:sz="12" w:space="0"/>
            </w:tcBorders>
            <w:shd w:val="clear" w:color="auto" w:fill="E7E5E4"/>
            <w:vAlign w:val="top"/>
          </w:tcPr>
          <w:p w14:paraId="1CAFFA94">
            <w:pPr>
              <w:pStyle w:val="20"/>
              <w:spacing w:before="132" w:line="188" w:lineRule="auto"/>
              <w:ind w:left="137"/>
              <w:rPr>
                <w:sz w:val="16"/>
                <w:szCs w:val="16"/>
              </w:rPr>
            </w:pPr>
            <w:r>
              <w:rPr>
                <w:b/>
                <w:bCs/>
                <w:color w:val="1C1917"/>
                <w:spacing w:val="4"/>
                <w:sz w:val="16"/>
                <w:szCs w:val="16"/>
              </w:rPr>
              <w:t>目标维度</w:t>
            </w:r>
          </w:p>
        </w:tc>
        <w:tc>
          <w:tcPr>
            <w:tcW w:w="4324" w:type="dxa"/>
            <w:tcBorders>
              <w:bottom w:val="single" w:color="A8A29E" w:sz="12" w:space="0"/>
            </w:tcBorders>
            <w:shd w:val="clear" w:color="auto" w:fill="E7E5E4"/>
            <w:vAlign w:val="top"/>
          </w:tcPr>
          <w:p w14:paraId="59E5E431">
            <w:pPr>
              <w:pStyle w:val="20"/>
              <w:spacing w:before="134" w:line="187" w:lineRule="auto"/>
              <w:ind w:left="1253"/>
              <w:rPr>
                <w:sz w:val="16"/>
                <w:szCs w:val="16"/>
              </w:rPr>
            </w:pPr>
            <w:r>
              <w:rPr>
                <w:b/>
                <w:bCs/>
                <w:color w:val="1C1917"/>
                <w:spacing w:val="4"/>
                <w:sz w:val="16"/>
                <w:szCs w:val="16"/>
              </w:rPr>
              <w:t>目标指标</w:t>
            </w:r>
          </w:p>
        </w:tc>
        <w:tc>
          <w:tcPr>
            <w:tcW w:w="3208" w:type="dxa"/>
            <w:tcBorders>
              <w:bottom w:val="single" w:color="A8A29E" w:sz="12" w:space="0"/>
            </w:tcBorders>
            <w:shd w:val="clear" w:color="auto" w:fill="E7E5E4"/>
            <w:vAlign w:val="top"/>
          </w:tcPr>
          <w:p w14:paraId="7ED75AA1">
            <w:pPr>
              <w:pStyle w:val="20"/>
              <w:spacing w:before="132" w:line="190" w:lineRule="auto"/>
              <w:ind w:left="119"/>
              <w:rPr>
                <w:sz w:val="16"/>
                <w:szCs w:val="16"/>
              </w:rPr>
            </w:pPr>
            <w:r>
              <w:rPr>
                <w:b/>
                <w:bCs/>
                <w:color w:val="1C1917"/>
                <w:spacing w:val="8"/>
                <w:sz w:val="16"/>
                <w:szCs w:val="16"/>
              </w:rPr>
              <w:t>完成标准</w:t>
            </w:r>
          </w:p>
        </w:tc>
      </w:tr>
      <w:tr w14:paraId="316E62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5" w:hRule="atLeast"/>
        </w:trPr>
        <w:tc>
          <w:tcPr>
            <w:tcW w:w="2092" w:type="dxa"/>
            <w:tcBorders>
              <w:top w:val="single" w:color="A8A29E" w:sz="12" w:space="0"/>
              <w:bottom w:val="single" w:color="E7E5E4" w:sz="2" w:space="0"/>
            </w:tcBorders>
            <w:vAlign w:val="top"/>
          </w:tcPr>
          <w:p w14:paraId="4E45A9BB">
            <w:pPr>
              <w:pStyle w:val="20"/>
              <w:spacing w:before="110" w:line="185" w:lineRule="auto"/>
              <w:ind w:left="120"/>
              <w:rPr>
                <w:sz w:val="16"/>
                <w:szCs w:val="16"/>
              </w:rPr>
            </w:pPr>
            <w:r>
              <w:rPr>
                <w:color w:val="292524"/>
                <w:spacing w:val="8"/>
                <w:sz w:val="16"/>
                <w:szCs w:val="16"/>
              </w:rPr>
              <w:t>设备接入覆盖率</w:t>
            </w:r>
          </w:p>
        </w:tc>
        <w:tc>
          <w:tcPr>
            <w:tcW w:w="4324" w:type="dxa"/>
            <w:tcBorders>
              <w:top w:val="single" w:color="A8A29E" w:sz="12" w:space="0"/>
              <w:bottom w:val="single" w:color="E7E5E4" w:sz="2" w:space="0"/>
            </w:tcBorders>
            <w:vAlign w:val="top"/>
          </w:tcPr>
          <w:p w14:paraId="6B338D97">
            <w:pPr>
              <w:pStyle w:val="20"/>
              <w:spacing w:before="106" w:line="186" w:lineRule="auto"/>
              <w:ind w:left="1233"/>
              <w:rPr>
                <w:sz w:val="16"/>
                <w:szCs w:val="16"/>
              </w:rPr>
            </w:pPr>
            <w:r>
              <w:rPr>
                <w:rFonts w:ascii="Cambria" w:hAnsi="Cambria" w:eastAsia="Cambria" w:cs="Cambria"/>
                <w:color w:val="292524"/>
                <w:spacing w:val="8"/>
                <w:sz w:val="16"/>
                <w:szCs w:val="16"/>
              </w:rPr>
              <w:t>31</w:t>
            </w:r>
            <w:r>
              <w:rPr>
                <w:color w:val="292524"/>
                <w:spacing w:val="8"/>
                <w:sz w:val="16"/>
                <w:szCs w:val="16"/>
              </w:rPr>
              <w:t>套故障录波及稳控装置全部完成探针</w:t>
            </w:r>
          </w:p>
          <w:p w14:paraId="778A2F7D">
            <w:pPr>
              <w:pStyle w:val="20"/>
              <w:spacing w:before="52" w:line="185" w:lineRule="auto"/>
              <w:ind w:left="1241"/>
              <w:rPr>
                <w:sz w:val="16"/>
                <w:szCs w:val="16"/>
              </w:rPr>
            </w:pPr>
            <w:r>
              <w:rPr>
                <w:color w:val="292524"/>
                <w:spacing w:val="4"/>
                <w:sz w:val="16"/>
                <w:szCs w:val="16"/>
              </w:rPr>
              <w:t>安装</w:t>
            </w:r>
          </w:p>
        </w:tc>
        <w:tc>
          <w:tcPr>
            <w:tcW w:w="3208" w:type="dxa"/>
            <w:tcBorders>
              <w:top w:val="single" w:color="A8A29E" w:sz="12" w:space="0"/>
              <w:bottom w:val="single" w:color="E7E5E4" w:sz="2" w:space="0"/>
            </w:tcBorders>
            <w:vAlign w:val="top"/>
          </w:tcPr>
          <w:p w14:paraId="7B15DE21">
            <w:pPr>
              <w:pStyle w:val="20"/>
              <w:spacing w:before="82" w:line="242" w:lineRule="auto"/>
              <w:ind w:left="118"/>
              <w:rPr>
                <w:sz w:val="16"/>
                <w:szCs w:val="16"/>
              </w:rPr>
            </w:pPr>
            <w:r>
              <w:rPr>
                <w:color w:val="292524"/>
                <w:spacing w:val="6"/>
                <w:sz w:val="16"/>
                <w:szCs w:val="16"/>
              </w:rPr>
              <w:t>接入率达到</w:t>
            </w:r>
            <w:r>
              <w:rPr>
                <w:rFonts w:ascii="Cambria" w:hAnsi="Cambria" w:eastAsia="Cambria" w:cs="Cambria"/>
                <w:color w:val="292524"/>
                <w:spacing w:val="6"/>
                <w:sz w:val="16"/>
                <w:szCs w:val="16"/>
              </w:rPr>
              <w:t>100%</w:t>
            </w:r>
            <w:r>
              <w:rPr>
                <w:color w:val="292524"/>
                <w:spacing w:val="6"/>
                <w:sz w:val="16"/>
                <w:szCs w:val="16"/>
              </w:rPr>
              <w:t>，监测平台可视可管</w:t>
            </w:r>
          </w:p>
        </w:tc>
      </w:tr>
      <w:tr w14:paraId="65855F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2092" w:type="dxa"/>
            <w:tcBorders>
              <w:top w:val="single" w:color="E7E5E4" w:sz="2" w:space="0"/>
              <w:bottom w:val="single" w:color="E7E5E4" w:sz="2" w:space="0"/>
            </w:tcBorders>
            <w:vAlign w:val="top"/>
          </w:tcPr>
          <w:p w14:paraId="48B194DA">
            <w:pPr>
              <w:pStyle w:val="20"/>
              <w:spacing w:before="126" w:line="186" w:lineRule="auto"/>
              <w:ind w:left="122"/>
              <w:rPr>
                <w:sz w:val="16"/>
                <w:szCs w:val="16"/>
              </w:rPr>
            </w:pPr>
            <w:r>
              <w:rPr>
                <w:color w:val="292524"/>
                <w:spacing w:val="8"/>
                <w:sz w:val="16"/>
                <w:szCs w:val="16"/>
              </w:rPr>
              <w:t>主机加固完成率</w:t>
            </w:r>
          </w:p>
        </w:tc>
        <w:tc>
          <w:tcPr>
            <w:tcW w:w="4324" w:type="dxa"/>
            <w:tcBorders>
              <w:top w:val="single" w:color="E7E5E4" w:sz="2" w:space="0"/>
              <w:bottom w:val="single" w:color="E7E5E4" w:sz="2" w:space="0"/>
            </w:tcBorders>
            <w:vAlign w:val="top"/>
          </w:tcPr>
          <w:p w14:paraId="79F8EC9D">
            <w:pPr>
              <w:pStyle w:val="20"/>
              <w:spacing w:before="126" w:line="186" w:lineRule="auto"/>
              <w:ind w:left="1234"/>
              <w:rPr>
                <w:sz w:val="16"/>
                <w:szCs w:val="16"/>
              </w:rPr>
            </w:pPr>
            <w:r>
              <w:rPr>
                <w:color w:val="292524"/>
                <w:spacing w:val="9"/>
                <w:sz w:val="16"/>
                <w:szCs w:val="16"/>
              </w:rPr>
              <w:t>所有纳入范围的工业主机完成安全加固</w:t>
            </w:r>
          </w:p>
        </w:tc>
        <w:tc>
          <w:tcPr>
            <w:tcW w:w="3208" w:type="dxa"/>
            <w:tcBorders>
              <w:top w:val="single" w:color="E7E5E4" w:sz="2" w:space="0"/>
              <w:bottom w:val="single" w:color="E7E5E4" w:sz="2" w:space="0"/>
            </w:tcBorders>
            <w:vAlign w:val="top"/>
          </w:tcPr>
          <w:p w14:paraId="341EECF6">
            <w:pPr>
              <w:pStyle w:val="20"/>
              <w:spacing w:before="99" w:line="237" w:lineRule="auto"/>
              <w:ind w:left="118"/>
              <w:rPr>
                <w:sz w:val="16"/>
                <w:szCs w:val="16"/>
              </w:rPr>
            </w:pPr>
            <w:r>
              <w:rPr>
                <w:color w:val="292524"/>
                <w:spacing w:val="5"/>
                <w:sz w:val="16"/>
                <w:szCs w:val="16"/>
              </w:rPr>
              <w:t>加固率</w:t>
            </w:r>
            <w:r>
              <w:rPr>
                <w:rFonts w:ascii="Cambria" w:hAnsi="Cambria" w:eastAsia="Cambria" w:cs="Cambria"/>
                <w:color w:val="292524"/>
                <w:spacing w:val="5"/>
                <w:sz w:val="16"/>
                <w:szCs w:val="16"/>
              </w:rPr>
              <w:t>100%</w:t>
            </w:r>
            <w:r>
              <w:rPr>
                <w:color w:val="292524"/>
                <w:spacing w:val="5"/>
                <w:sz w:val="16"/>
                <w:szCs w:val="16"/>
              </w:rPr>
              <w:t>，无高危漏洞遗留</w:t>
            </w:r>
          </w:p>
        </w:tc>
      </w:tr>
      <w:tr w14:paraId="4F4BB2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6" w:hRule="atLeast"/>
        </w:trPr>
        <w:tc>
          <w:tcPr>
            <w:tcW w:w="2092" w:type="dxa"/>
            <w:tcBorders>
              <w:top w:val="single" w:color="E7E5E4" w:sz="2" w:space="0"/>
              <w:bottom w:val="single" w:color="E7E5E4" w:sz="2" w:space="0"/>
            </w:tcBorders>
            <w:vAlign w:val="top"/>
          </w:tcPr>
          <w:p w14:paraId="2C8D78D4">
            <w:pPr>
              <w:pStyle w:val="20"/>
              <w:spacing w:before="127" w:line="185" w:lineRule="auto"/>
              <w:ind w:left="137"/>
              <w:rPr>
                <w:sz w:val="16"/>
                <w:szCs w:val="16"/>
              </w:rPr>
            </w:pPr>
            <w:r>
              <w:rPr>
                <w:color w:val="292524"/>
                <w:spacing w:val="6"/>
                <w:sz w:val="16"/>
                <w:szCs w:val="16"/>
              </w:rPr>
              <w:t>白名单配置完整性</w:t>
            </w:r>
          </w:p>
        </w:tc>
        <w:tc>
          <w:tcPr>
            <w:tcW w:w="4324" w:type="dxa"/>
            <w:tcBorders>
              <w:top w:val="single" w:color="E7E5E4" w:sz="2" w:space="0"/>
              <w:bottom w:val="single" w:color="E7E5E4" w:sz="2" w:space="0"/>
            </w:tcBorders>
            <w:vAlign w:val="top"/>
          </w:tcPr>
          <w:p w14:paraId="7F46CDEA">
            <w:pPr>
              <w:pStyle w:val="20"/>
              <w:spacing w:before="124" w:line="185" w:lineRule="auto"/>
              <w:ind w:left="1236"/>
              <w:rPr>
                <w:sz w:val="16"/>
                <w:szCs w:val="16"/>
              </w:rPr>
            </w:pPr>
            <w:r>
              <w:rPr>
                <w:color w:val="292524"/>
                <w:spacing w:val="-1"/>
                <w:sz w:val="16"/>
                <w:szCs w:val="16"/>
              </w:rPr>
              <w:t>进程白名单、端口白名单、</w:t>
            </w:r>
            <w:r>
              <w:rPr>
                <w:color w:val="292524"/>
                <w:spacing w:val="20"/>
                <w:w w:val="102"/>
                <w:sz w:val="16"/>
                <w:szCs w:val="16"/>
              </w:rPr>
              <w:t xml:space="preserve">  </w:t>
            </w:r>
            <w:r>
              <w:rPr>
                <w:rFonts w:ascii="Cambria" w:hAnsi="Cambria" w:eastAsia="Cambria" w:cs="Cambria"/>
                <w:color w:val="292524"/>
                <w:spacing w:val="-1"/>
                <w:sz w:val="16"/>
                <w:szCs w:val="16"/>
              </w:rPr>
              <w:t>IP</w:t>
            </w:r>
            <w:r>
              <w:rPr>
                <w:color w:val="292524"/>
                <w:spacing w:val="-1"/>
                <w:sz w:val="16"/>
                <w:szCs w:val="16"/>
              </w:rPr>
              <w:t>白名单、</w:t>
            </w:r>
          </w:p>
          <w:p w14:paraId="472238EA">
            <w:pPr>
              <w:pStyle w:val="20"/>
              <w:spacing w:before="47" w:line="184" w:lineRule="auto"/>
              <w:ind w:left="1244"/>
              <w:rPr>
                <w:sz w:val="16"/>
                <w:szCs w:val="16"/>
              </w:rPr>
            </w:pPr>
            <w:r>
              <w:rPr>
                <w:rFonts w:ascii="Cambria" w:hAnsi="Cambria" w:eastAsia="Cambria" w:cs="Cambria"/>
                <w:color w:val="292524"/>
                <w:sz w:val="16"/>
                <w:szCs w:val="16"/>
              </w:rPr>
              <w:t>USB</w:t>
            </w:r>
            <w:r>
              <w:rPr>
                <w:color w:val="292524"/>
                <w:spacing w:val="10"/>
                <w:sz w:val="16"/>
                <w:szCs w:val="16"/>
              </w:rPr>
              <w:t>白名单四项全部配置</w:t>
            </w:r>
          </w:p>
        </w:tc>
        <w:tc>
          <w:tcPr>
            <w:tcW w:w="3208" w:type="dxa"/>
            <w:tcBorders>
              <w:top w:val="single" w:color="E7E5E4" w:sz="2" w:space="0"/>
              <w:bottom w:val="single" w:color="E7E5E4" w:sz="2" w:space="0"/>
            </w:tcBorders>
            <w:vAlign w:val="top"/>
          </w:tcPr>
          <w:p w14:paraId="40D69C6A">
            <w:pPr>
              <w:pStyle w:val="20"/>
              <w:spacing w:before="100" w:line="241" w:lineRule="auto"/>
              <w:ind w:left="128"/>
              <w:rPr>
                <w:rFonts w:ascii="Cambria" w:hAnsi="Cambria" w:eastAsia="Cambria" w:cs="Cambria"/>
                <w:sz w:val="16"/>
                <w:szCs w:val="16"/>
              </w:rPr>
            </w:pPr>
            <w:r>
              <w:rPr>
                <w:color w:val="292524"/>
                <w:spacing w:val="4"/>
                <w:sz w:val="16"/>
                <w:szCs w:val="16"/>
              </w:rPr>
              <w:t>四项配置完成率</w:t>
            </w:r>
            <w:r>
              <w:rPr>
                <w:rFonts w:ascii="Cambria" w:hAnsi="Cambria" w:eastAsia="Cambria" w:cs="Cambria"/>
                <w:color w:val="292524"/>
                <w:spacing w:val="4"/>
                <w:sz w:val="16"/>
                <w:szCs w:val="16"/>
              </w:rPr>
              <w:t>100%</w:t>
            </w:r>
            <w:r>
              <w:rPr>
                <w:color w:val="292524"/>
                <w:spacing w:val="4"/>
                <w:sz w:val="16"/>
                <w:szCs w:val="16"/>
              </w:rPr>
              <w:t>，误报率</w:t>
            </w:r>
            <w:r>
              <w:rPr>
                <w:rFonts w:ascii="Cambria" w:hAnsi="Cambria" w:eastAsia="Cambria" w:cs="Cambria"/>
                <w:color w:val="292524"/>
                <w:spacing w:val="4"/>
                <w:sz w:val="16"/>
                <w:szCs w:val="16"/>
              </w:rPr>
              <w:t>≤1%</w:t>
            </w:r>
          </w:p>
        </w:tc>
      </w:tr>
      <w:tr w14:paraId="1B5E39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3" w:hRule="atLeast"/>
        </w:trPr>
        <w:tc>
          <w:tcPr>
            <w:tcW w:w="2092" w:type="dxa"/>
            <w:tcBorders>
              <w:top w:val="single" w:color="E7E5E4" w:sz="2" w:space="0"/>
              <w:bottom w:val="single" w:color="E7E5E4" w:sz="2" w:space="0"/>
            </w:tcBorders>
            <w:vAlign w:val="top"/>
          </w:tcPr>
          <w:p w14:paraId="047DA2F9">
            <w:pPr>
              <w:pStyle w:val="20"/>
              <w:spacing w:before="102" w:line="232" w:lineRule="auto"/>
              <w:ind w:left="126"/>
              <w:rPr>
                <w:sz w:val="16"/>
                <w:szCs w:val="16"/>
              </w:rPr>
            </w:pPr>
            <w:r>
              <w:rPr>
                <w:color w:val="292524"/>
                <w:spacing w:val="5"/>
                <w:sz w:val="16"/>
                <w:szCs w:val="16"/>
              </w:rPr>
              <w:t>隔离装置</w:t>
            </w:r>
            <w:r>
              <w:rPr>
                <w:rFonts w:ascii="Cambria" w:hAnsi="Cambria" w:eastAsia="Cambria" w:cs="Cambria"/>
                <w:color w:val="292524"/>
                <w:spacing w:val="5"/>
                <w:sz w:val="16"/>
                <w:szCs w:val="16"/>
              </w:rPr>
              <w:t>/</w:t>
            </w:r>
            <w:r>
              <w:rPr>
                <w:color w:val="292524"/>
                <w:spacing w:val="5"/>
                <w:sz w:val="16"/>
                <w:szCs w:val="16"/>
              </w:rPr>
              <w:t>防火墙接入</w:t>
            </w:r>
          </w:p>
        </w:tc>
        <w:tc>
          <w:tcPr>
            <w:tcW w:w="4324" w:type="dxa"/>
            <w:tcBorders>
              <w:top w:val="single" w:color="E7E5E4" w:sz="2" w:space="0"/>
              <w:bottom w:val="single" w:color="E7E5E4" w:sz="2" w:space="0"/>
            </w:tcBorders>
            <w:vAlign w:val="top"/>
          </w:tcPr>
          <w:p w14:paraId="35B7B8DC">
            <w:pPr>
              <w:pStyle w:val="20"/>
              <w:spacing w:before="129" w:line="186" w:lineRule="auto"/>
              <w:ind w:left="1242"/>
              <w:rPr>
                <w:sz w:val="16"/>
                <w:szCs w:val="16"/>
              </w:rPr>
            </w:pPr>
            <w:r>
              <w:rPr>
                <w:color w:val="292524"/>
                <w:spacing w:val="9"/>
                <w:sz w:val="16"/>
                <w:szCs w:val="16"/>
              </w:rPr>
              <w:t>隔离装置与防火墙完成网络安全监测平</w:t>
            </w:r>
          </w:p>
          <w:p w14:paraId="3340992F">
            <w:pPr>
              <w:pStyle w:val="20"/>
              <w:spacing w:before="51" w:line="185" w:lineRule="auto"/>
              <w:ind w:left="1246"/>
              <w:rPr>
                <w:sz w:val="16"/>
                <w:szCs w:val="16"/>
              </w:rPr>
            </w:pPr>
            <w:r>
              <w:rPr>
                <w:color w:val="292524"/>
                <w:spacing w:val="4"/>
                <w:sz w:val="16"/>
                <w:szCs w:val="16"/>
              </w:rPr>
              <w:t>台接入</w:t>
            </w:r>
          </w:p>
        </w:tc>
        <w:tc>
          <w:tcPr>
            <w:tcW w:w="3208" w:type="dxa"/>
            <w:tcBorders>
              <w:top w:val="single" w:color="E7E5E4" w:sz="2" w:space="0"/>
              <w:bottom w:val="single" w:color="E7E5E4" w:sz="2" w:space="0"/>
            </w:tcBorders>
            <w:vAlign w:val="top"/>
          </w:tcPr>
          <w:p w14:paraId="63133850">
            <w:pPr>
              <w:pStyle w:val="20"/>
              <w:spacing w:before="102" w:line="259" w:lineRule="auto"/>
              <w:ind w:left="119" w:right="372" w:firstLine="1"/>
              <w:rPr>
                <w:rFonts w:ascii="Cambria" w:hAnsi="Cambria" w:eastAsia="Cambria" w:cs="Cambria"/>
                <w:sz w:val="16"/>
                <w:szCs w:val="16"/>
              </w:rPr>
            </w:pPr>
            <w:r>
              <w:rPr>
                <w:color w:val="292524"/>
                <w:spacing w:val="5"/>
                <w:sz w:val="16"/>
                <w:szCs w:val="16"/>
              </w:rPr>
              <w:t>设备在线率</w:t>
            </w:r>
            <w:r>
              <w:rPr>
                <w:rFonts w:ascii="Cambria" w:hAnsi="Cambria" w:eastAsia="Cambria" w:cs="Cambria"/>
                <w:color w:val="292524"/>
                <w:spacing w:val="5"/>
                <w:sz w:val="16"/>
                <w:szCs w:val="16"/>
              </w:rPr>
              <w:t>≥99.5%</w:t>
            </w:r>
            <w:r>
              <w:rPr>
                <w:color w:val="292524"/>
                <w:spacing w:val="5"/>
                <w:sz w:val="16"/>
                <w:szCs w:val="16"/>
              </w:rPr>
              <w:t>，告警上送成功率</w:t>
            </w:r>
            <w:r>
              <w:rPr>
                <w:rFonts w:ascii="Cambria" w:hAnsi="Cambria" w:eastAsia="Cambria" w:cs="Cambria"/>
                <w:color w:val="292524"/>
                <w:spacing w:val="-5"/>
                <w:sz w:val="16"/>
                <w:szCs w:val="16"/>
              </w:rPr>
              <w:t>≥99%</w:t>
            </w:r>
          </w:p>
        </w:tc>
      </w:tr>
      <w:tr w14:paraId="41CAE1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2092" w:type="dxa"/>
            <w:tcBorders>
              <w:top w:val="single" w:color="E7E5E4" w:sz="2" w:space="0"/>
              <w:bottom w:val="single" w:color="E7E5E4" w:sz="4" w:space="0"/>
            </w:tcBorders>
            <w:vAlign w:val="top"/>
          </w:tcPr>
          <w:p w14:paraId="0BBC3083">
            <w:pPr>
              <w:pStyle w:val="20"/>
              <w:spacing w:before="131" w:line="187" w:lineRule="auto"/>
              <w:ind w:left="120"/>
              <w:rPr>
                <w:sz w:val="16"/>
                <w:szCs w:val="16"/>
              </w:rPr>
            </w:pPr>
            <w:r>
              <w:rPr>
                <w:color w:val="292524"/>
                <w:spacing w:val="9"/>
                <w:sz w:val="16"/>
                <w:szCs w:val="16"/>
              </w:rPr>
              <w:t>通讯告警测试通过率</w:t>
            </w:r>
          </w:p>
        </w:tc>
        <w:tc>
          <w:tcPr>
            <w:tcW w:w="4324" w:type="dxa"/>
            <w:tcBorders>
              <w:top w:val="single" w:color="E7E5E4" w:sz="2" w:space="0"/>
              <w:bottom w:val="single" w:color="E7E5E4" w:sz="4" w:space="0"/>
            </w:tcBorders>
            <w:vAlign w:val="top"/>
          </w:tcPr>
          <w:p w14:paraId="35B094ED">
            <w:pPr>
              <w:pStyle w:val="20"/>
              <w:spacing w:before="131" w:line="187" w:lineRule="auto"/>
              <w:ind w:left="1233"/>
              <w:rPr>
                <w:sz w:val="16"/>
                <w:szCs w:val="16"/>
              </w:rPr>
            </w:pPr>
            <w:r>
              <w:rPr>
                <w:color w:val="292524"/>
                <w:spacing w:val="9"/>
                <w:sz w:val="16"/>
                <w:szCs w:val="16"/>
              </w:rPr>
              <w:t>全部接入设备完成通讯与告警联调测试</w:t>
            </w:r>
          </w:p>
        </w:tc>
        <w:tc>
          <w:tcPr>
            <w:tcW w:w="3208" w:type="dxa"/>
            <w:tcBorders>
              <w:top w:val="single" w:color="E7E5E4" w:sz="2" w:space="0"/>
              <w:bottom w:val="single" w:color="E7E5E4" w:sz="4" w:space="0"/>
            </w:tcBorders>
            <w:vAlign w:val="top"/>
          </w:tcPr>
          <w:p w14:paraId="325B7194">
            <w:pPr>
              <w:pStyle w:val="20"/>
              <w:spacing w:before="104" w:line="233" w:lineRule="auto"/>
              <w:ind w:left="120"/>
              <w:rPr>
                <w:sz w:val="16"/>
                <w:szCs w:val="16"/>
              </w:rPr>
            </w:pPr>
            <w:r>
              <w:rPr>
                <w:color w:val="292524"/>
                <w:spacing w:val="5"/>
                <w:sz w:val="16"/>
                <w:szCs w:val="16"/>
              </w:rPr>
              <w:t>测试通过率</w:t>
            </w:r>
            <w:r>
              <w:rPr>
                <w:rFonts w:ascii="Cambria" w:hAnsi="Cambria" w:eastAsia="Cambria" w:cs="Cambria"/>
                <w:color w:val="292524"/>
                <w:spacing w:val="5"/>
                <w:sz w:val="16"/>
                <w:szCs w:val="16"/>
              </w:rPr>
              <w:t>100%</w:t>
            </w:r>
            <w:r>
              <w:rPr>
                <w:color w:val="292524"/>
                <w:spacing w:val="5"/>
                <w:sz w:val="16"/>
                <w:szCs w:val="16"/>
              </w:rPr>
              <w:t>，告警响应时延</w:t>
            </w:r>
            <w:r>
              <w:rPr>
                <w:rFonts w:ascii="Cambria" w:hAnsi="Cambria" w:eastAsia="Cambria" w:cs="Cambria"/>
                <w:color w:val="292524"/>
                <w:spacing w:val="5"/>
                <w:sz w:val="16"/>
                <w:szCs w:val="16"/>
              </w:rPr>
              <w:t>≤5</w:t>
            </w:r>
            <w:r>
              <w:rPr>
                <w:color w:val="292524"/>
                <w:spacing w:val="5"/>
                <w:sz w:val="16"/>
                <w:szCs w:val="16"/>
              </w:rPr>
              <w:t>秒</w:t>
            </w:r>
          </w:p>
        </w:tc>
      </w:tr>
      <w:tr w14:paraId="5102B4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092" w:type="dxa"/>
            <w:tcBorders>
              <w:top w:val="single" w:color="E7E5E4" w:sz="4" w:space="0"/>
              <w:bottom w:val="single" w:color="E7E5E4" w:sz="2" w:space="0"/>
            </w:tcBorders>
            <w:vAlign w:val="top"/>
          </w:tcPr>
          <w:p w14:paraId="2BE7DA77">
            <w:pPr>
              <w:pStyle w:val="20"/>
              <w:spacing w:before="127" w:line="185" w:lineRule="auto"/>
              <w:ind w:left="122"/>
              <w:rPr>
                <w:sz w:val="16"/>
                <w:szCs w:val="16"/>
              </w:rPr>
            </w:pPr>
            <w:r>
              <w:rPr>
                <w:color w:val="292524"/>
                <w:spacing w:val="8"/>
                <w:sz w:val="16"/>
                <w:szCs w:val="16"/>
              </w:rPr>
              <w:t>工期达成率</w:t>
            </w:r>
          </w:p>
        </w:tc>
        <w:tc>
          <w:tcPr>
            <w:tcW w:w="4324" w:type="dxa"/>
            <w:tcBorders>
              <w:top w:val="single" w:color="E7E5E4" w:sz="4" w:space="0"/>
              <w:bottom w:val="single" w:color="E7E5E4" w:sz="2" w:space="0"/>
            </w:tcBorders>
            <w:vAlign w:val="top"/>
          </w:tcPr>
          <w:p w14:paraId="558E1C0B">
            <w:pPr>
              <w:pStyle w:val="20"/>
              <w:spacing w:before="127" w:line="185" w:lineRule="auto"/>
              <w:ind w:left="1234"/>
              <w:rPr>
                <w:sz w:val="16"/>
                <w:szCs w:val="16"/>
              </w:rPr>
            </w:pPr>
            <w:r>
              <w:rPr>
                <w:color w:val="292524"/>
                <w:spacing w:val="9"/>
                <w:sz w:val="16"/>
                <w:szCs w:val="16"/>
              </w:rPr>
              <w:t>按合同工期节点完成各阶段交付</w:t>
            </w:r>
          </w:p>
        </w:tc>
        <w:tc>
          <w:tcPr>
            <w:tcW w:w="3208" w:type="dxa"/>
            <w:tcBorders>
              <w:top w:val="single" w:color="E7E5E4" w:sz="4" w:space="0"/>
              <w:bottom w:val="single" w:color="E7E5E4" w:sz="2" w:space="0"/>
            </w:tcBorders>
            <w:vAlign w:val="top"/>
          </w:tcPr>
          <w:p w14:paraId="04D0D573">
            <w:pPr>
              <w:pStyle w:val="20"/>
              <w:spacing w:before="124" w:line="185" w:lineRule="auto"/>
              <w:ind w:left="121"/>
              <w:rPr>
                <w:sz w:val="16"/>
                <w:szCs w:val="16"/>
              </w:rPr>
            </w:pPr>
            <w:r>
              <w:rPr>
                <w:color w:val="292524"/>
                <w:spacing w:val="8"/>
                <w:sz w:val="16"/>
                <w:szCs w:val="16"/>
              </w:rPr>
              <w:t>关键节点偏差不超过</w:t>
            </w:r>
            <w:r>
              <w:rPr>
                <w:rFonts w:ascii="Cambria" w:hAnsi="Cambria" w:eastAsia="Cambria" w:cs="Cambria"/>
                <w:color w:val="292524"/>
                <w:spacing w:val="8"/>
                <w:sz w:val="16"/>
                <w:szCs w:val="16"/>
              </w:rPr>
              <w:t>3</w:t>
            </w:r>
            <w:r>
              <w:rPr>
                <w:color w:val="292524"/>
                <w:spacing w:val="8"/>
                <w:sz w:val="16"/>
                <w:szCs w:val="16"/>
              </w:rPr>
              <w:t>个工作日</w:t>
            </w:r>
          </w:p>
        </w:tc>
      </w:tr>
      <w:tr w14:paraId="7F88B3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2092" w:type="dxa"/>
            <w:tcBorders>
              <w:top w:val="single" w:color="E7E5E4" w:sz="2" w:space="0"/>
              <w:bottom w:val="single" w:color="E7E5E4" w:sz="4" w:space="0"/>
            </w:tcBorders>
            <w:vAlign w:val="top"/>
          </w:tcPr>
          <w:p w14:paraId="49E0725E">
            <w:pPr>
              <w:pStyle w:val="20"/>
              <w:spacing w:before="132" w:line="186" w:lineRule="auto"/>
              <w:ind w:left="118"/>
              <w:rPr>
                <w:sz w:val="16"/>
                <w:szCs w:val="16"/>
              </w:rPr>
            </w:pPr>
            <w:r>
              <w:rPr>
                <w:color w:val="292524"/>
                <w:spacing w:val="9"/>
                <w:sz w:val="16"/>
                <w:szCs w:val="16"/>
              </w:rPr>
              <w:t>验收一次通过率</w:t>
            </w:r>
          </w:p>
        </w:tc>
        <w:tc>
          <w:tcPr>
            <w:tcW w:w="4324" w:type="dxa"/>
            <w:tcBorders>
              <w:top w:val="single" w:color="E7E5E4" w:sz="2" w:space="0"/>
              <w:bottom w:val="single" w:color="E7E5E4" w:sz="4" w:space="0"/>
            </w:tcBorders>
            <w:vAlign w:val="top"/>
          </w:tcPr>
          <w:p w14:paraId="7CBC2727">
            <w:pPr>
              <w:pStyle w:val="20"/>
              <w:spacing w:before="133" w:line="185" w:lineRule="auto"/>
              <w:ind w:left="1237"/>
              <w:rPr>
                <w:sz w:val="16"/>
                <w:szCs w:val="16"/>
              </w:rPr>
            </w:pPr>
            <w:r>
              <w:rPr>
                <w:color w:val="292524"/>
                <w:spacing w:val="9"/>
                <w:sz w:val="16"/>
                <w:szCs w:val="16"/>
              </w:rPr>
              <w:t>竣工验收一次性通过业主及监理验收</w:t>
            </w:r>
          </w:p>
        </w:tc>
        <w:tc>
          <w:tcPr>
            <w:tcW w:w="3208" w:type="dxa"/>
            <w:tcBorders>
              <w:top w:val="single" w:color="E7E5E4" w:sz="2" w:space="0"/>
              <w:bottom w:val="single" w:color="E7E5E4" w:sz="4" w:space="0"/>
            </w:tcBorders>
            <w:vAlign w:val="top"/>
          </w:tcPr>
          <w:p w14:paraId="5E4C538C">
            <w:pPr>
              <w:pStyle w:val="20"/>
              <w:spacing w:before="130" w:line="187" w:lineRule="auto"/>
              <w:ind w:left="120"/>
              <w:rPr>
                <w:sz w:val="16"/>
                <w:szCs w:val="16"/>
              </w:rPr>
            </w:pPr>
            <w:r>
              <w:rPr>
                <w:color w:val="292524"/>
                <w:spacing w:val="7"/>
                <w:sz w:val="16"/>
                <w:szCs w:val="16"/>
              </w:rPr>
              <w:t>无重大缺陷项，整改项</w:t>
            </w:r>
            <w:r>
              <w:rPr>
                <w:rFonts w:ascii="Cambria" w:hAnsi="Cambria" w:eastAsia="Cambria" w:cs="Cambria"/>
                <w:color w:val="292524"/>
                <w:spacing w:val="7"/>
                <w:sz w:val="16"/>
                <w:szCs w:val="16"/>
              </w:rPr>
              <w:t>≤5</w:t>
            </w:r>
            <w:r>
              <w:rPr>
                <w:color w:val="292524"/>
                <w:spacing w:val="7"/>
                <w:sz w:val="16"/>
                <w:szCs w:val="16"/>
              </w:rPr>
              <w:t>条</w:t>
            </w:r>
          </w:p>
        </w:tc>
      </w:tr>
      <w:tr w14:paraId="0BE373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2092" w:type="dxa"/>
            <w:tcBorders>
              <w:top w:val="single" w:color="E7E5E4" w:sz="4" w:space="0"/>
              <w:bottom w:val="single" w:color="D6D3D1" w:sz="8" w:space="0"/>
            </w:tcBorders>
            <w:vAlign w:val="top"/>
          </w:tcPr>
          <w:p w14:paraId="20C3BE7A">
            <w:pPr>
              <w:pStyle w:val="20"/>
              <w:spacing w:before="128" w:line="186" w:lineRule="auto"/>
              <w:ind w:left="120"/>
              <w:rPr>
                <w:sz w:val="16"/>
                <w:szCs w:val="16"/>
              </w:rPr>
            </w:pPr>
            <w:r>
              <w:rPr>
                <w:color w:val="292524"/>
                <w:spacing w:val="9"/>
                <w:sz w:val="16"/>
                <w:szCs w:val="16"/>
              </w:rPr>
              <w:t>远程核查支持响应</w:t>
            </w:r>
          </w:p>
        </w:tc>
        <w:tc>
          <w:tcPr>
            <w:tcW w:w="4324" w:type="dxa"/>
            <w:tcBorders>
              <w:top w:val="single" w:color="E7E5E4" w:sz="4" w:space="0"/>
              <w:bottom w:val="single" w:color="D6D3D1" w:sz="8" w:space="0"/>
            </w:tcBorders>
            <w:vAlign w:val="top"/>
          </w:tcPr>
          <w:p w14:paraId="3F225545">
            <w:pPr>
              <w:pStyle w:val="20"/>
              <w:spacing w:before="129" w:line="185" w:lineRule="auto"/>
              <w:ind w:left="1236"/>
              <w:rPr>
                <w:sz w:val="16"/>
                <w:szCs w:val="16"/>
              </w:rPr>
            </w:pPr>
            <w:r>
              <w:rPr>
                <w:color w:val="292524"/>
                <w:spacing w:val="9"/>
                <w:sz w:val="16"/>
                <w:szCs w:val="16"/>
              </w:rPr>
              <w:t>具备支持监管机构远程核查的技术能力</w:t>
            </w:r>
          </w:p>
        </w:tc>
        <w:tc>
          <w:tcPr>
            <w:tcW w:w="3208" w:type="dxa"/>
            <w:tcBorders>
              <w:top w:val="single" w:color="E7E5E4" w:sz="4" w:space="0"/>
              <w:bottom w:val="single" w:color="D6D3D1" w:sz="8" w:space="0"/>
            </w:tcBorders>
            <w:vAlign w:val="top"/>
          </w:tcPr>
          <w:p w14:paraId="7FCCB676">
            <w:pPr>
              <w:pStyle w:val="20"/>
              <w:spacing w:before="125" w:line="186" w:lineRule="auto"/>
              <w:ind w:left="119"/>
              <w:rPr>
                <w:sz w:val="16"/>
                <w:szCs w:val="16"/>
              </w:rPr>
            </w:pPr>
            <w:r>
              <w:rPr>
                <w:color w:val="292524"/>
                <w:spacing w:val="7"/>
                <w:sz w:val="16"/>
                <w:szCs w:val="16"/>
              </w:rPr>
              <w:t>核查请求响应时间</w:t>
            </w:r>
            <w:r>
              <w:rPr>
                <w:rFonts w:ascii="Cambria" w:hAnsi="Cambria" w:eastAsia="Cambria" w:cs="Cambria"/>
                <w:color w:val="292524"/>
                <w:spacing w:val="7"/>
                <w:sz w:val="16"/>
                <w:szCs w:val="16"/>
              </w:rPr>
              <w:t>≤2</w:t>
            </w:r>
            <w:r>
              <w:rPr>
                <w:color w:val="292524"/>
                <w:spacing w:val="7"/>
                <w:sz w:val="16"/>
                <w:szCs w:val="16"/>
              </w:rPr>
              <w:t>小时</w:t>
            </w:r>
          </w:p>
        </w:tc>
      </w:tr>
    </w:tbl>
    <w:p w14:paraId="7AA598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p>
    <w:p w14:paraId="6B555E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sz w:val="24"/>
          <w:lang w:val="en-US" w:eastAsia="zh-CN"/>
        </w:rPr>
      </w:pPr>
      <w:r>
        <w:rPr>
          <w:rFonts w:hint="eastAsia" w:ascii="宋体" w:hAnsi="宋体"/>
          <w:sz w:val="24"/>
          <w:lang w:val="en-US" w:eastAsia="zh-CN"/>
        </w:rPr>
        <w:t>1.2.7目标层次结构分解</w:t>
      </w:r>
    </w:p>
    <w:p w14:paraId="09CCF3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sz w:val="24"/>
          <w:lang w:val="en-US" w:eastAsia="zh-CN"/>
        </w:rPr>
        <w:t>1.2.7</w:t>
      </w:r>
      <w:r>
        <w:rPr>
          <w:rFonts w:hint="eastAsia" w:ascii="宋体" w:hAnsi="宋体" w:eastAsia="宋体"/>
          <w:sz w:val="24"/>
        </w:rPr>
        <w:t>.1 一级目标（战略层）</w:t>
      </w:r>
    </w:p>
    <w:p w14:paraId="7CE07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目标T1：构建天山换流站工控安全监测体系</w:t>
      </w:r>
    </w:p>
    <w:p w14:paraId="75CBA5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实现±800kV天山换流站故障录波及稳控装置的全量接入网络安全监测平台，形成可感知、可分析、可预警的工控安全防护闭环，满足电力行业网络安全监督管理要求。</w:t>
      </w:r>
    </w:p>
    <w:p w14:paraId="4057C9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目标T2：提升变电站工控系统整体安全防护能力</w:t>
      </w:r>
    </w:p>
    <w:p w14:paraId="4E72C2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通过主机加固、白名单管控、边界隔离三重防护机制，将天山换流站工控系统安全防护水平提升至GB/T 22239 《信息安全技术 网络安全等级保护基本要求》第三级及以上标准。</w:t>
      </w:r>
    </w:p>
    <w:p w14:paraId="50F970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sz w:val="24"/>
          <w:lang w:val="en-US" w:eastAsia="zh-CN"/>
        </w:rPr>
        <w:t>1.2.7</w:t>
      </w:r>
      <w:r>
        <w:rPr>
          <w:rFonts w:hint="eastAsia" w:ascii="宋体" w:hAnsi="宋体" w:eastAsia="宋体"/>
          <w:sz w:val="24"/>
        </w:rPr>
        <w:t>.2 二级目标（执行层）</w:t>
      </w:r>
    </w:p>
    <w:p w14:paraId="2F8FBC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T1.1 探针部署目标</w:t>
      </w:r>
    </w:p>
    <w:p w14:paraId="4600E3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按照《国家电网公司工业控制系统信息安全防护指导意见》要求，完成31套设备的安全监测探针部署，确保探针与设备兼容性测试通过率100%，不影响原有业务运行。</w:t>
      </w:r>
    </w:p>
    <w:p w14:paraId="6EBE9D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T1.2 平台接入目标</w:t>
      </w:r>
    </w:p>
    <w:p w14:paraId="2F1BB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完成探针与网络安全监测平台的数据对接，实现安全事件实时上送，平台侧数据可视化展示延迟不超过10秒。</w:t>
      </w:r>
    </w:p>
    <w:p w14:paraId="3346D0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T2.1 主机加固目标</w:t>
      </w:r>
    </w:p>
    <w:p w14:paraId="2C09D4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按照主机加固规范完成账号权限清理、补丁管理、服务精简、审计策略配置，形成加固基线配置文档，每台设备出具加固报告。</w:t>
      </w:r>
    </w:p>
    <w:p w14:paraId="33C24A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T2.2 白名单管控目标</w:t>
      </w:r>
    </w:p>
    <w:p w14:paraId="288F1B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部署并激活进程白名单、端口白名单、  IP白名单、 USB介质白名单四类管控策略，完成白名单策略与现场实际业务的匹配验证，误报率控制在可接受范围内。</w:t>
      </w:r>
    </w:p>
    <w:p w14:paraId="17EB98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T2.3 边界防护目标</w:t>
      </w:r>
    </w:p>
    <w:p w14:paraId="02A86C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配置隔离装置与防火墙的安全策略，完成与监测平台的日志/告警联动，实现异常行为的自动上报。</w:t>
      </w:r>
    </w:p>
    <w:p w14:paraId="7E8311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sz w:val="24"/>
          <w:lang w:val="en-US" w:eastAsia="zh-CN"/>
        </w:rPr>
        <w:t>1.2.8</w:t>
      </w:r>
      <w:r>
        <w:rPr>
          <w:rFonts w:hint="eastAsia" w:ascii="宋体" w:hAnsi="宋体" w:eastAsia="宋体"/>
          <w:sz w:val="24"/>
        </w:rPr>
        <w:t>目标实现路径说明</w:t>
      </w:r>
    </w:p>
    <w:p w14:paraId="1E4941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本项目目标的实现遵循”先摸底、再加固、后接入、终验收” 的递进逻辑：</w:t>
      </w:r>
    </w:p>
    <w:p w14:paraId="354FCF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第一步：现场勘察与资产梳理（目标基础）</w:t>
      </w:r>
    </w:p>
    <w:p w14:paraId="6967BE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项目启动后，首先对31套故障录波及稳控装置及相关网络边界设备开展全面摸底，建立资产清单，厘清设备型号、操作系统版本、网络拓扑关系，为后续加固与接入工作提供准确依据。</w:t>
      </w:r>
    </w:p>
    <w:p w14:paraId="2F2614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第二步：方案设计与评审（目标校准）</w:t>
      </w:r>
    </w:p>
    <w:p w14:paraId="370BE8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基于勘察结果，编制详细实施方案，明确每套设备的探针选型、安装方式、白名单策略、加固措施，经业主及监理审核后方可进场施工，确保方案与目标完全对齐。</w:t>
      </w:r>
    </w:p>
    <w:p w14:paraId="555074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第三步：分批实施与滚动验证（目标推进）</w:t>
      </w:r>
    </w:p>
    <w:p w14:paraId="1E03AA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采用分批次实施策略，优先选取典型设备开展试点，验证探针兼容性与白名单策略有效性后，再推广至全量设备，降低批量实施风险，确保每个里程碑节点目标按期达成。</w:t>
      </w:r>
    </w:p>
    <w:p w14:paraId="603AA7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第四步：联调测试与目标确认（目标核验）</w:t>
      </w:r>
    </w:p>
    <w:p w14:paraId="63A4F3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sz w:val="24"/>
        </w:rPr>
        <w:t>全部设备接入完成后，开展系统级联调测试，逐项验证量化指标达成情况，形成测试报告，作为竣工验收的核心依据</w:t>
      </w:r>
      <w:r>
        <w:rPr>
          <w:rFonts w:hint="eastAsia" w:ascii="宋体" w:hAnsi="宋体" w:eastAsia="宋体"/>
          <w:sz w:val="24"/>
          <w:lang w:eastAsia="zh-CN"/>
        </w:rPr>
        <w:t>。</w:t>
      </w:r>
    </w:p>
    <w:p w14:paraId="5745D997">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79E473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lang w:val="en-US" w:eastAsia="zh-CN"/>
        </w:rPr>
        <w:t>1.3.1</w:t>
      </w:r>
      <w:r>
        <w:rPr>
          <w:rFonts w:hint="eastAsia" w:ascii="宋体" w:hAnsi="宋体" w:eastAsia="宋体"/>
          <w:sz w:val="24"/>
        </w:rPr>
        <w:t xml:space="preserve"> 换流站高压带电环境施工难点</w:t>
      </w:r>
    </w:p>
    <w:p w14:paraId="4ED0A1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难点描述</w:t>
      </w:r>
    </w:p>
    <w:p w14:paraId="08F59CE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800kV天山换流站是在运特高压换流站，站内换流阀大厅、直流场、交流滤波器场等区域长期处于高压带电状态，电磁环境复杂，感应电压高，对施工人员和施工设备均构成潜在威胁。二次设备室（继电保护室、通信机房等）虽为低压区域，但与高压区存在电气联系，施工过程中的误操作可能引发继电保护误动，进而造成直流单极或双极闭锁，后果极为严重。</w:t>
      </w:r>
    </w:p>
    <w:p w14:paraId="733985E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在高压带电环境下，施工人员须严格遵守安全距离规定，穿戴屏蔽服，携带静电感应检测仪，不得携带未屏蔽的电子设备进入特定区域。部分故障录波装置安装位置靠近一次设备，施工空间受限，作业难度加大。</w:t>
      </w:r>
    </w:p>
    <w:p w14:paraId="56383927">
      <w:pPr>
        <w:spacing w:line="360" w:lineRule="auto"/>
        <w:ind w:firstLine="480"/>
        <w:rPr>
          <w:rFonts w:hint="eastAsia" w:ascii="宋体" w:hAnsi="宋体" w:eastAsia="宋体" w:cs="宋体"/>
          <w:sz w:val="24"/>
          <w:szCs w:val="24"/>
        </w:rPr>
      </w:pPr>
    </w:p>
    <w:p w14:paraId="7560646C">
      <w:pPr>
        <w:spacing w:line="360" w:lineRule="auto"/>
        <w:ind w:firstLine="480"/>
        <w:rPr>
          <w:rFonts w:hint="eastAsia" w:ascii="宋体" w:hAnsi="宋体" w:eastAsia="宋体" w:cs="宋体"/>
          <w:sz w:val="24"/>
          <w:szCs w:val="24"/>
        </w:rPr>
      </w:pPr>
    </w:p>
    <w:p w14:paraId="7A38EE25">
      <w:pPr>
        <w:spacing w:line="360" w:lineRule="auto"/>
        <w:ind w:firstLine="480"/>
        <w:rPr>
          <w:rFonts w:hint="eastAsia" w:ascii="宋体" w:hAnsi="宋体" w:eastAsia="宋体" w:cs="宋体"/>
          <w:sz w:val="24"/>
          <w:szCs w:val="24"/>
        </w:rPr>
      </w:pPr>
    </w:p>
    <w:p w14:paraId="1F0EC46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应对措施</w:t>
      </w:r>
    </w:p>
    <w:p w14:paraId="078BAEF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（1）施工前充分勘查：提前赴站进行现场勘查，逐一确认31套目标设备的安装位置、周边电气环境、安全通道，绘制施工安全作业地图，识别高风险区域，制定针对性防护措施。</w:t>
      </w:r>
    </w:p>
    <w:p w14:paraId="743140B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（2）分区域分批次施工：将31套设备按安全风险级别分批次施工，高风险区域设备由经验最丰富的人员操作，配备专职安全监护人员。每次进入高压区域施工前，须办理工作票，由换流站运维人员全程陪同监护。</w:t>
      </w:r>
    </w:p>
    <w:p w14:paraId="41750F5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（3）制定应急预案：制定换流站现场施工应急预案，明确触电、设备误动等紧急情况的处置流程，所有施工人员参加应急预案演练，确保遇到突发情况能够快速、正确处置。</w:t>
      </w:r>
    </w:p>
    <w:p w14:paraId="56F18D4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（4）利用设备检修窗口：尽量在目标设备停电检修期间完成探针安装，避免带电操作，最大限度降低施工风险。</w:t>
      </w:r>
    </w:p>
    <w:p w14:paraId="3B4947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1.3.</w:t>
      </w:r>
      <w:r>
        <w:rPr>
          <w:rFonts w:hint="eastAsia" w:ascii="宋体" w:hAnsi="宋体" w:eastAsia="宋体"/>
          <w:sz w:val="24"/>
        </w:rPr>
        <w:t>2 31套异构设备探针兼容性难点</w:t>
      </w:r>
    </w:p>
    <w:p w14:paraId="2712EF1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难点描述</w:t>
      </w:r>
    </w:p>
    <w:p w14:paraId="4CF1B22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本项目涉及31套设备，来自多个厂商，运行多种操作系统和硬件平台。故障录波装置23套可能涵盖南瑞、四</w:t>
      </w:r>
    </w:p>
    <w:p w14:paraId="2AA2B42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方、许继、东方电子等多个品牌，操作系统涵盖嵌入式Linux（如Debian、RedHat、国产麒麟等不同版本） 及Windows（XP、 7、 10等不同版本）； 电能量采集终端、五防主机通常运行Windows系统；隔离装置、防火墙则运行厂商专有操作系统，部分设备可能不支持第三方软件安装。  CPU架构方面，存在x86、x86_64、ARM等差异。</w:t>
      </w:r>
    </w:p>
    <w:p w14:paraId="39969D4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上述异构性带来以下挑战：探针软件须针对不同操作系统和CPU架构分别提供版本；部分老旧设备（如运行Windows XP的录波装置）的探针版本兼容性存在不确定性；部分设备厂商可能对第三方软件安装有限制，需提前获得厂商授权或技术支持。</w:t>
      </w:r>
    </w:p>
    <w:p w14:paraId="13FFEE3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应对措施</w:t>
      </w:r>
    </w:p>
    <w:p w14:paraId="162659C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（1）提前开展设备信息收集：在施工前，通过与业主方协调，收集全部31套设备的操作系统版本、  CPU架构、现有网络配置等详细信息，建立设备信息台账。</w:t>
      </w:r>
    </w:p>
    <w:p w14:paraId="150BB4B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（2）多版本探针预备：根据设备信息台账，提前准备覆盖全部操作系统版本和CPU架构的探针软件包，确保到场施工时不因版本缺失而延误工期。</w:t>
      </w:r>
    </w:p>
    <w:p w14:paraId="3FC05B9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（3）厂商协调机制：针对可能存在安装限制的设备（如隔离装置、防火墙），提前与设备厂商协调，确认探针安装技术方案和授权事项，必要时邀请厂商技术支持人员到场配合。</w:t>
      </w:r>
    </w:p>
    <w:p w14:paraId="3F0A699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（4）实验室预验证：在正式施工前，搭建与现场设备一致的测试环境，对重点型号设备进行探针安装预演，验证兼容性，提前发现并解决问题。</w:t>
      </w:r>
    </w:p>
    <w:p w14:paraId="6C8C6C4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（5）备用方案：对于确实无法安装探针的设备（如纯硬件隔离装置），采用流量镜像或旁路监听等替代方案，确保监测覆盖率达到要求。</w:t>
      </w:r>
    </w:p>
    <w:p w14:paraId="2E45EF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1.3</w:t>
      </w:r>
      <w:r>
        <w:rPr>
          <w:rFonts w:hint="eastAsia" w:ascii="宋体" w:hAnsi="宋体" w:eastAsia="宋体"/>
          <w:sz w:val="24"/>
        </w:rPr>
        <w:t>.3 白名单最小化配置精度难点</w:t>
      </w:r>
    </w:p>
    <w:p w14:paraId="1AEFCF2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难点描述</w:t>
      </w:r>
    </w:p>
    <w:p w14:paraId="3AF3721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白名单配置是本项目技术含量最高的工作之一。“最小化”原则要求白名单仅包含设备正常运行所必需的最小集合，过宽则起不到安全防护效果，过窄则可能误阻断正常业务通信，导致设备功能故障。</w:t>
      </w:r>
    </w:p>
    <w:p w14:paraId="1A05657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天山换流站的网络拓扑较为复杂，不同设备的通信关系各异，且部分通信关系可能存在随检修工况变化的情况（如故障录波装置在检修期间可能需要临时连接到工程师站）。此外，危险操作命令清单的定义需结合设备实际使用场景，避免将运维必需命令误列为危险命令。</w:t>
      </w:r>
    </w:p>
    <w:p w14:paraId="3E5825B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应对措施</w:t>
      </w:r>
    </w:p>
    <w:p w14:paraId="43C48E9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现场流量学习采集：在探针部署后，先进入”学习模式”运行一段时间（建议不少于7天），自动采集设备正常运行时的网络连接、端口使用、文件访问、命令执行情况，以真实流量数据为基础生成白名单草稿。</w:t>
      </w:r>
    </w:p>
    <w:p w14:paraId="1C19384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（2）专家审核与精化：由具有换流站二次系统运维经验的专业人员对白名单草稿进行逐条审核，结合设备功能说明书和现场运维规程，删除不必要条目，补充遗漏的必要条目。</w:t>
      </w:r>
    </w:p>
    <w:p w14:paraId="2BEC185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（3）分级白名单管理：将白名单条目按”必须保留”和”待确认”两级管理， “待确认”条目须经业主方技术人员确认后方可正式入库，确保白名单准确性有业主方背书。</w:t>
      </w:r>
    </w:p>
    <w:p w14:paraId="426096E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（4）白名单变更管理：建立白名单变更流程，当设备功能或运行方式发生变化时（如增加新的通信节点），须经审批后更新白名单，防止白名单配置与实际运行状态长期偏离。</w:t>
      </w:r>
    </w:p>
    <w:p w14:paraId="41C5558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（5）误报率测试：白名单配置完成后，进行不低于72小时的观察运行，统计误报（正常业务行为被错误告警）数量，误报率超过1%则重新调整白名单，直至达标。</w:t>
      </w:r>
    </w:p>
    <w:p w14:paraId="26DEF2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1.3.</w:t>
      </w:r>
      <w:r>
        <w:rPr>
          <w:rFonts w:hint="eastAsia" w:ascii="宋体" w:hAnsi="宋体" w:eastAsia="宋体"/>
          <w:sz w:val="24"/>
        </w:rPr>
        <w:t>4 工期紧凑协调难点</w:t>
      </w:r>
    </w:p>
    <w:p w14:paraId="5E95429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难点描述</w:t>
      </w:r>
    </w:p>
    <w:p w14:paraId="22CD5FB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31套设备分布于换流站各个区域，涵盖多个专业（继电保护、电能量计量、五防、网络安全）。施工期间需要协调换流站运维人员办理工作票、陪同监护；需要与设备厂商协调技术支持；需要与新疆超高压分公司网络安全管理人员协调联调测试窗口；还需兼顾换流站正常运维检修计划，避免施工与检修冲突。上述多方协调工作量大，任一环节脱节均可能影响整体工期。</w:t>
      </w:r>
    </w:p>
    <w:p w14:paraId="57B2E29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应对措施</w:t>
      </w:r>
    </w:p>
    <w:p w14:paraId="7950504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（1）提前启动协调工作：合同签订后立即启动与业主方的协调工作，确定各设备施工窗口时间，锁定联调测试计划，形成书面确认，避免临时变更。</w:t>
      </w:r>
    </w:p>
    <w:p w14:paraId="44F6124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（2）驻场项目管理：指派专职项目经理全程驻场，负责日常协调工作，及时处理现场突发问题，保持与业主方沟通的高效畅通。</w:t>
      </w:r>
    </w:p>
    <w:p w14:paraId="0CC6635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（3）并行作业安排：在安全规程允许的范围内，合理安排多组人员在不同区域并行作业，压缩整体工期。</w:t>
      </w:r>
    </w:p>
    <w:p w14:paraId="1FD948F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（4）关键路径管理：识别影响工期的关键路径（如厂商授权获取、特定设备检修窗口），提前预置资源，确保关键节点不成为工期瓶颈。</w:t>
      </w:r>
    </w:p>
    <w:p w14:paraId="1D88AD0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（5）弹性工期预案：制定工期延误应急预案，当出现不可预见情况（如设备临时故障、检修窗口取消）时，能够快速启动预案，调整施工顺序，最大限度减少工期影响。</w:t>
      </w:r>
    </w:p>
    <w:p w14:paraId="0FAF005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2E245C9E">
      <w:pPr>
        <w:pStyle w:val="4"/>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总体技术路线概述</w:t>
      </w:r>
    </w:p>
    <w:p w14:paraId="2916B5A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本项目实施遵循”调研先行、方案确认、探针部署、主机加固、白名单配置、通讯测试、竣工验收” 的总体技术路线，各阶段环环相扣，以上一阶段的输出作为下一阶段的输入，确保每个环节质量受控、可追溯。</w:t>
      </w:r>
    </w:p>
    <w:p w14:paraId="27076113">
      <w:pPr>
        <w:pStyle w:val="4"/>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第一阶段：施工准备</w:t>
      </w:r>
    </w:p>
    <w:p w14:paraId="09961AA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主要工作内容：</w:t>
      </w:r>
    </w:p>
    <w:p w14:paraId="78860C4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（1）合同签订后，项目经理组建项目团队，明确各成员分工（施工组、安全监督组、测试组、资料组）。</w:t>
      </w:r>
    </w:p>
    <w:p w14:paraId="15FF642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（2）收集业主方提供的换流站二次系统网络拓扑图、设备清单（含型号、操作系统版本、  IP地址）、现行网络安全策略等技术资料。</w:t>
      </w:r>
    </w:p>
    <w:p w14:paraId="7521F5E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（3）开展现场踏勘，核实设备位置、施工通道、安全风险点，更新施工安全地图。</w:t>
      </w:r>
    </w:p>
    <w:p w14:paraId="2FF7903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（4）根据设备信息台账，准备对应版本的探针软件包，进行实验室预验证。</w:t>
      </w:r>
    </w:p>
    <w:p w14:paraId="76803A2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（5）编制施工作业面方案、标准化作业卡，报业主方审核确认。</w:t>
      </w:r>
    </w:p>
    <w:p w14:paraId="1CE953A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（6）办理施工人员进站手续，完成安全教育培训。</w:t>
      </w:r>
    </w:p>
    <w:p w14:paraId="64A4ACD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阶段输出： 设备信息台账、施工作业面方案（审定版）、标准化作业卡（审定版）、探针版本兼容性验证报告。</w:t>
      </w:r>
    </w:p>
    <w:p w14:paraId="04A2E9BF">
      <w:pPr>
        <w:pStyle w:val="4"/>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第二阶段：探针软件部署</w:t>
      </w:r>
    </w:p>
    <w:p w14:paraId="7B62D8D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主要工作内容：</w:t>
      </w:r>
    </w:p>
    <w:p w14:paraId="1540FCF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（1）按照业主方批准的检修窗口，有序安排各设备的探针安装工作。</w:t>
      </w:r>
    </w:p>
    <w:p w14:paraId="7D6F3C6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（2）对每套目标设备，依照标准化作业卡逐步执行：安装前备份系统状态（配置文件、进程列表、端口列表）→ 安装探针软件 → 验证探针进程正常启动 → 验证目标设备主业务功能正常 → 填写施工记录。</w:t>
      </w:r>
    </w:p>
    <w:p w14:paraId="3C5847B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（3）探针安装完成后，启动”学习模式” ，持续采集设备正常运行时的网络行为基线数据，采集周期不少于7天（遇检修期可适当缩短，但须覆盖典型运行工况）。</w:t>
      </w:r>
    </w:p>
    <w:p w14:paraId="0A92640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（4）对每套设备的探针安装结果进行现场验证，确认探针与网络安全监测装置的通信链路正常，探针数据可上送。</w:t>
      </w:r>
    </w:p>
    <w:p w14:paraId="55CD80F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阶段衔接： 探针部署验收通过后，方可进入主机加固阶段，避免加固操作影响探针学习模式的数据采集质量。</w:t>
      </w:r>
    </w:p>
    <w:p w14:paraId="4515B33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阶段输出： 探针安装施工工作票（31份）、探针安装施工照片、探针安装验收记录（31份）。</w:t>
      </w:r>
    </w:p>
    <w:p w14:paraId="794DD507">
      <w:pPr>
        <w:pStyle w:val="4"/>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第三阶段：主机加固</w:t>
      </w:r>
    </w:p>
    <w:p w14:paraId="0258D6D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主要工作内容：</w:t>
      </w:r>
    </w:p>
    <w:p w14:paraId="25E17D8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（1）根据国家电网公司主机安全基线要求，对具备操作系统访问权限的设备（故障录波装置、电能量采集终端、五防主机、故障录波子站、远程浏览工作站）执行加固操作。</w:t>
      </w:r>
    </w:p>
    <w:p w14:paraId="75578B6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（2）加固操作包括：账号策略配置（密码复杂度、有效期、失败锁定）、禁用/删除默认账号、关闭非必要服务端口、停用危险协议服务（Telnet、FTP等）、应用安全补丁（经评估确认不影响业务功能的补丁）。</w:t>
      </w:r>
    </w:p>
    <w:p w14:paraId="6B6A69C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（3）每项加固操作执行前，记录当前配置状态（作为回退基线）；操作后验证目标设备主业务功能正常。</w:t>
      </w:r>
    </w:p>
    <w:p w14:paraId="0EACC85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（4）对于隔离装置、防火墙等不支持远程加固的设备，协调厂商配合或按厂商指导手册执行加固。</w:t>
      </w:r>
    </w:p>
    <w:p w14:paraId="0F0138E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阶段衔接： 主机加固完成后，重新核查探针运行状态，确认加固操作未影响探针正常工作，方可进入白名单配置阶段。</w:t>
      </w:r>
    </w:p>
    <w:p w14:paraId="4EDACB1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阶段输出： 主机加固记录表（含加固前后对比）。</w:t>
      </w:r>
    </w:p>
    <w:p w14:paraId="24385CFF">
      <w:pPr>
        <w:pStyle w:val="4"/>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第四阶段：白名单配置</w:t>
      </w:r>
    </w:p>
    <w:p w14:paraId="6B68D53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主要工作内容：</w:t>
      </w:r>
    </w:p>
    <w:p w14:paraId="293AD69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（1）汇总探针学习模式采集的基线数据，由专业人员结合设备功能文档进行分析，生成各设备的白名单草稿（网络连接白名单、服务端口白名单、关键文件/目录清单、危险操作命令清单）。</w:t>
      </w:r>
    </w:p>
    <w:p w14:paraId="5FB3D2A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（2）与业主方技术人员开展白名单联合审核，逐条确认白名单条目的合理性，形成审定版白名单。</w:t>
      </w:r>
    </w:p>
    <w:p w14:paraId="2F16FC1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（3）将审定版白名单配置到各设备探针，由学习模式切换为执行模式（防护模式）。</w:t>
      </w:r>
    </w:p>
    <w:p w14:paraId="0132AED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（4）执行为期不少于72小时的观察运行，统计误报情况，根据误报结果微调白名单，确认达标后正式投用。阶段衔接： 白名单正式投用后，方可进入通讯联调测试阶段。</w:t>
      </w:r>
    </w:p>
    <w:p w14:paraId="5D437A1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阶段输出： 各设备白名单清单（审定版，  31套）、误报率统计记录。</w:t>
      </w:r>
    </w:p>
    <w:p w14:paraId="200AEBDA">
      <w:pPr>
        <w:spacing w:line="360" w:lineRule="auto"/>
        <w:ind w:firstLine="480"/>
        <w:rPr>
          <w:rFonts w:hint="eastAsia" w:ascii="宋体" w:hAnsi="宋体" w:eastAsia="宋体" w:cs="宋体"/>
          <w:sz w:val="24"/>
          <w:szCs w:val="24"/>
        </w:rPr>
      </w:pPr>
    </w:p>
    <w:p w14:paraId="19E34FC8">
      <w:pPr>
        <w:pStyle w:val="4"/>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第五阶段：通讯及告警测试</w:t>
      </w:r>
    </w:p>
    <w:p w14:paraId="2758D40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主要工作内容：</w:t>
      </w:r>
    </w:p>
    <w:p w14:paraId="5D7605F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（1）设计测试用例，覆盖：违规网络访问告警（模拟未授权IP访问）、危险操作命令告警（模拟执行禁止命令）、关键文件变更告警、探针与网络安全监测装置通讯完整性测试、告警上送平台联调测试。</w:t>
      </w:r>
    </w:p>
    <w:p w14:paraId="3E1E393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（2）逐一执行测试用例，记录测试结果，对未通过的测试项进行原因分析和整改，整改后重新测试。</w:t>
      </w:r>
    </w:p>
    <w:p w14:paraId="4065532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（3）全部测试用例通过后，与业主方网络安全管理人员联合确认测试结果，签署测试验收报告。</w:t>
      </w:r>
    </w:p>
    <w:p w14:paraId="481BA89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阶段输出： 测试用例清单、测试执行记录、测试验收报告（业主方签字）。</w:t>
      </w:r>
    </w:p>
    <w:p w14:paraId="155B0962">
      <w:pPr>
        <w:pStyle w:val="4"/>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第六阶段：竣工验收与资料归档</w:t>
      </w:r>
    </w:p>
    <w:p w14:paraId="6547D5F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主要工作内容：</w:t>
      </w:r>
    </w:p>
    <w:p w14:paraId="48EE79B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（1）整理全套竣工资料（详见第十二章），确保资料完整、格式规范。</w:t>
      </w:r>
    </w:p>
    <w:p w14:paraId="298A581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（2）组织竣工验收会议，向业主方汇报项目实施情况，演示监测效果，提交全套验收资料。</w:t>
      </w:r>
    </w:p>
    <w:p w14:paraId="5DF5093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（3）验收通过后，配合业主方完成工程竣工备案，完成项目交付。</w:t>
      </w:r>
    </w:p>
    <w:p w14:paraId="0707EDD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（4）交付后提供质保服务和技术支持（详见第九章）。</w:t>
      </w:r>
    </w:p>
    <w:p w14:paraId="79694DA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阶段输出： 竣工验收报告（业主方盖章）、全套归档资料</w:t>
      </w:r>
    </w:p>
    <w:p w14:paraId="6E15C47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7426CDA2">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一、分批次滚动实施，降低站内风险敞口</w:t>
      </w:r>
    </w:p>
    <w:p w14:paraId="6A2181F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工程涉及±800kV天山换流站23套故障录波装置及多套二次设备的网络安全监测接入改造，设备数量多、系统关联复杂、现场停电窗口期有限。建议将全部改造任务划分为三个批次滚动推进：第一批次优先完成正向隔离装置、反向隔离装置、保信子站防火墙的探针安装与主机加固，因上述设备位于安全Ⅰ区与安全Ⅱ区的边界节点，接入监测后可最快形成全站网络边界可视能力；第二批次推进故障录波子站、电能量采集终端及远程浏览工作站的接入配置；第三批次完成23套分散安装的故障录波装置的逐台探针部署与白名单配置核查。分批滚动实施的核心优势在于：单批次设备离线时间短，主系统持续运行风险可控；若首批出现兼容性问题，可在后续批次中提前调整探针参数，避免全站重复返工；同时满足业主及监理分阶段验收的管理要求，便于过程管控。</w:t>
      </w:r>
    </w:p>
    <w:p w14:paraId="2AAB7493">
      <w:pPr>
        <w:spacing w:line="360" w:lineRule="auto"/>
        <w:ind w:firstLine="480"/>
        <w:rPr>
          <w:rFonts w:hint="eastAsia" w:ascii="宋体" w:hAnsi="宋体" w:eastAsia="宋体" w:cs="宋体"/>
          <w:sz w:val="24"/>
          <w:szCs w:val="24"/>
          <w:lang w:val="en-US" w:eastAsia="zh-CN"/>
        </w:rPr>
      </w:pPr>
    </w:p>
    <w:p w14:paraId="107F600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二、探针兼容性预验证，提前规避版本冲突风险</w:t>
      </w:r>
    </w:p>
    <w:p w14:paraId="1D2A6108">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套故障录波装置来自不同年代、可能存在多家厂商设备并存的情况，操作系统版本、CPU架构及已有软件栈均可能存在差异。探针安装属于嵌入式软件植入行为，若兼容性验证不足极易导致装置重启、告警误发甚至功能异常。建议在正式施工前，向设备厂商逐台收集操作系统版本（如Linux内核版本、Windows版本）、已安装补丁列表及CPU架构信息，由探针软件供应商据此出具书面兼容性确认报告，对不兼容设备提前准备适配版本。同时在站外搭建与现场同型号设备的实验环境（或利用厂商实验室），完成探针安装、白名单配置、通信联调的全流程预演，形成《探针安装预验证报告》并提交业主备案。此举可将现场施工中的未知风险前移至实验室阶段消化，大幅压缩现场作业时间窗口，是保障工程如期完工的关键前置措施。</w:t>
      </w:r>
    </w:p>
    <w:p w14:paraId="2E89FFE0">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三、白名单配置采用"基线采集+最小化裁剪"两步法，确保策略精准可用</w:t>
      </w:r>
    </w:p>
    <w:p w14:paraId="565F6784">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规范书明确要求按"最小化"原则配置探针白名单，包括网络连接白名单、服务端口白名单、关键文件/目录清单及危险操作命令清单。白名单过宽将导致违规行为无法有效告警，过窄则造成正常业务被误拦截甚至装置功能受损。建议采用"基线采集+最小化裁剪"两步法：第一步，在探针安装完成后，将探针配置为"学习模式"（仅采集、不拦截），持续采集不少于72小时的网络通信行为、进程启动记录、文件访问记录，形成行为基线；第二步，由网络安全专工与现场运维人员共同审核基线数据，逐项判定合规性，剔除非必要连接与非授权服务端口，形成最终白名单策略并导入探针。两步法既符合规范书"最小化"原则，又避免依赖经验拍脑袋配置导致的策略失准，同时形成的基线数据本身亦可作为后续日常运维巡检的参考依据，具有持续价值。</w:t>
      </w:r>
    </w:p>
    <w:p w14:paraId="16D432EF">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四、建立施工期间网络安全监测临时管控措施，避免改造窗口期产生安全盲区</w:t>
      </w:r>
    </w:p>
    <w:p w14:paraId="09FF67FA">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探针安装与主机加固施工期间，被改造设备将短暂脱离原有安全监测体系，形成时间窗口内的安全盲区。针对这一风险，建议在施工前向换流站安全管理部门提交《施工期网络安全临时管控方案》，明确以下措施：一是施工期间禁止外来U盘、移动硬盘等移动存储介质接入被改造设备；二是现场作业人员全程在换流站运维人员监督下操作，所有操作步骤须实时记录于标准化作业卡；三是探针安装完成后，须在联网前由专人执行一次手工病毒扫描，确认无恶意软件后方可接入网络安全监测平台；四是在全部设备接入完成、监测平台确认信号正常前，保持换流站现有网络安全应急响应预案处于激活状态。上述措施可有效填补施工窗口期的安全防护空白，同时也是业主单位合规管理的必要要求。</w:t>
      </w:r>
    </w:p>
    <w:p w14:paraId="4DC5DDE4">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五、与主站网络安全管理平台提前开展联调，确保告警上送链路畅通</w:t>
      </w:r>
    </w:p>
    <w:p w14:paraId="3C83A5A6">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工程最终目标是将站内监测数据上送至国网网络安全管理平台（主站），实现远程安全配置核查与告警集中处置。根据工程经验，厂站侧接入主站往往涉及通信规约版本匹配、数据格式对齐、防火墙策略开放等多个协调环节，若留至竣工验收前才联调，极易因主站侧配合不及时而导致验收延期。建议在施工合同签订后即启动与调度机构（或主站管理单位）的联调预约工作，明确以下内容：（1）确认主站所使用的网络安全监测规约版本（如IEC 62351系列或国网企标版本），与探针软件供应商核实兼容性；（2）与主站方确认天山换流站的接入点配置参数（IP地址段、端口、证书认证要求）；（3）约定联调时间节点，纳入施工进度计划关键路径管理。提前锁定联调窗口，可避免因主站资源紧张导致的被动等待，确保工程节点按期兑现。</w:t>
      </w:r>
    </w:p>
    <w:p w14:paraId="38FD1E13">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六、竣工资料数字化归档，提升工程全生命周期可追溯性</w:t>
      </w:r>
    </w:p>
    <w:p w14:paraId="38C2DBF0">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规范书第4.2条列明了竣工资料清单，共涉及十余类文件，文件量大、版本管理复杂。建议在施工启动时即建立工程数字化档案管理机制：以工程编号为根目录，按文件类型建立子目录，所有文件采用"文件类型_设备名称_版本号_日期"的统一命名规则。对于标准化作业卡、试验原始数据等需要签字确认的文件，采用"纸质原件+高清扫描电子版"双存档方式，电子版同步上传至业主指定的工程管理系统。对于探针白名单配置文件、通信参数配置文件等技术性文件，建议额外保留JSON或XML格式的结构化副本，便于后续版本对比与合规审计。完善的数字化归档不仅是竣工验收的必要条件，也是本工程质保期内（至下年度检修开始前）处置因检修质量引发故障时的重要举证依据，具有直接的合同风险保障价值。</w:t>
      </w:r>
    </w:p>
    <w:p w14:paraId="2414F17D">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七、人员资质与安全培训前置到位，保障施工合规性</w:t>
      </w:r>
    </w:p>
    <w:p w14:paraId="0317C417">
      <w:pPr>
        <w:spacing w:line="360" w:lineRule="auto"/>
        <w:ind w:firstLine="480"/>
        <w:rPr>
          <w:rFonts w:hint="eastAsia" w:ascii="宋体" w:hAnsi="宋体" w:eastAsia="宋体" w:cs="宋体"/>
          <w:sz w:val="24"/>
          <w:szCs w:val="24"/>
          <w:lang w:val="en-US" w:eastAsia="zh-CN"/>
        </w:rPr>
      </w:pPr>
    </w:p>
    <w:p w14:paraId="0926E7E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kV换流站属于超高压直流核心站，安全管控要求极为严格。根据规范书要求，中标单位主要负责人须提前到站，其余人员须早于检修日期到站并完成人员准入手续。建议在合同签订后立即开展以下准备：（1）核查所有入场人员的电力行业入网安全资质证书（安规考试合格证）有效期，对即将到期或已失效的人员立即安排补考；（2）针对换流站网络安全特殊要求，组织全体施工人员参加不少于4学时的专项安全培训，培训内容涵盖"探针安装操作规程""移动介质管理规定""二次设备带电操作安全措施"等，培训考核结果存档；（3）指定专职安全员，负责全程现场安全监督及与换流站安全管理部门的日常沟通协调。人员准备的充分程度直接决定开工后的推进效率，任何因资质缺失导致的人员换场都将消耗宝贵的停电检修窗口</w:t>
      </w:r>
    </w:p>
    <w:p w14:paraId="4E85EDED">
      <w:pPr>
        <w:numPr>
          <w:ilvl w:val="1"/>
          <w:numId w:val="3"/>
        </w:numPr>
        <w:adjustRightInd w:val="0"/>
        <w:snapToGrid w:val="0"/>
        <w:spacing w:line="400" w:lineRule="exact"/>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37A6AE9E">
      <w:pPr>
        <w:pStyle w:val="4"/>
        <w:numPr>
          <w:ilvl w:val="2"/>
          <w:numId w:val="5"/>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提升天山换流站网络安全水平的重要意义</w:t>
      </w:r>
    </w:p>
    <w:p w14:paraId="70479AF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±800kV天山换流站网络安全监测平台接入项目的成功实施，将从根本上改变天山换流站生产控制大区二次系统网络安全防护”有边界、无感知” 的现状，实现对31套关键设备网络行为的全面实时监测，具有深远的现实意义。</w:t>
      </w:r>
    </w:p>
    <w:p w14:paraId="0DB0BE6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一、从”被动响应”向”主动感知”的根本转变</w:t>
      </w:r>
    </w:p>
    <w:p w14:paraId="7FE8A24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长期以来，换流站网络安全防护主要依赖边界防护（防火墙、隔离装置），对站内设备的运行行为缺乏实时监控， 一旦发生内部安全事件，往往只能在造成影响后才能发现。本项目通过部署探针、建立白名单机制，实现了对设备网络访问行为、操作命令执行、关键文件变更的实时监测和毫秒级告警，使安全管理模式从”事后响应”升级为”实时感知、主动防御” ，安全管理能力实现质的跨越。</w:t>
      </w:r>
    </w:p>
    <w:p w14:paraId="48A292F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二、构建可追溯的安全事件证据链</w:t>
      </w:r>
    </w:p>
    <w:p w14:paraId="0B94EB4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探针记录的设备操作日志和告警信息，为安全事件的溯源分析提供了可靠的证据链。当发生网络安全事件时，可通过探针日志快速还原攻击路径、定位入侵节点、评估影响范围，为应急响应和事后取证提供有力支撑。这一能力是天山换流站此前完全缺失的，本项目将填补这一重要空白。</w:t>
      </w:r>
    </w:p>
    <w:p w14:paraId="4C49A61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三、推动安全管理精细化、规范化</w:t>
      </w:r>
    </w:p>
    <w:p w14:paraId="5DE78B0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白名单”最小化”原则的落地，要求运维人员深入梳理每套设备的通信关系和操作规范，这一过程本身就是对设备运维管理的一次全面梳理和规范。项目完成后，天山换流站将拥有一套完整的二次系统网络安全基线（包含31套设备的白名单配置、主机加固基线），为后续的持续安全管理和定期核查奠定基础。</w:t>
      </w:r>
    </w:p>
    <w:p w14:paraId="107EBD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四、满足合规要求，有效规避监管风险</w:t>
      </w:r>
    </w:p>
    <w:p w14:paraId="5061ED8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本项目的实施将使天山换流站满足调网安〔2022〕 7号文的网络安全监测能力验证要求，通过国调中心组织的评估考核，有效规避因合规问题带来的监管风险和考核扣分。这不仅是企业履行主体责任的体现，也是维护国网新疆超高压分公司良好监管信用的重要举措。</w:t>
      </w:r>
    </w:p>
    <w:p w14:paraId="60D439ED">
      <w:pPr>
        <w:pStyle w:val="4"/>
        <w:numPr>
          <w:ilvl w:val="2"/>
          <w:numId w:val="5"/>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对新疆电网安全的贡献</w:t>
      </w:r>
    </w:p>
    <w:p w14:paraId="335D096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天山换流站是新疆电网超高压骨干网架的核心节点，其安全稳定运行直接关系到新疆”疆电外送” 战略的顺利推进和受端电网的电力安全。本项目的实施对新疆电网整体安全具有以下贡献：</w:t>
      </w:r>
    </w:p>
    <w:p w14:paraId="0C5256E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一、保障直流输电通道安全</w:t>
      </w:r>
    </w:p>
    <w:p w14:paraId="2C287BA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通过对换流站二次系统实施全面网络安全监测，降低了因网络攻击导致换流站二次系统异常进而引发直流闭锁的风险。在当前全球能源基础设施网络安全威胁持续升级的背景下，这一安全保障能力的提升具有重要战略价值。</w:t>
      </w:r>
    </w:p>
    <w:p w14:paraId="13C5035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二、为新疆电网网络安全体系建设提供示范</w:t>
      </w:r>
    </w:p>
    <w:p w14:paraId="43D9ECC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天山换流站作为新疆电网最重要的超高压站点，其网络安全监测接入经验具有重要的示范意义。本项目总结的技术方案、白名单配置方法、施工组织经验，可为新疆电网其他超高压变电站的网络安全监测接入改造提供直接参考，加速全疆电网网络安全监测能力的整体提升。</w:t>
      </w:r>
    </w:p>
    <w:p w14:paraId="7C0E18B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三、支撑新能源大规模消纳的安全保障</w:t>
      </w:r>
    </w:p>
    <w:p w14:paraId="04731A4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新疆是我国最大的新能源基地之一，大规模风电、光伏发电须通过”疆电外送”通道外送消纳，天山换流站是这一通道的关键节点。本项目通过提升换流站二次系统网络安全水平，间接支撑了新能源大规模消纳战略的安全实施，对推动新疆绿色能源高质量发展具有积极意义。</w:t>
      </w:r>
    </w:p>
    <w:p w14:paraId="40BE1BF0">
      <w:pPr>
        <w:pStyle w:val="4"/>
        <w:numPr>
          <w:ilvl w:val="2"/>
          <w:numId w:val="5"/>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后续优化方向</w:t>
      </w:r>
    </w:p>
    <w:p w14:paraId="544A636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本项目的实施是天山换流站网络安全能力建设的重要起点，后续可在以下方向持续深化优化：</w:t>
      </w:r>
    </w:p>
    <w:p w14:paraId="4B6F0FC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一、探针能力持续升级</w:t>
      </w:r>
    </w:p>
    <w:p w14:paraId="3A9B18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随着电力监控系统网络安全威胁的演进，探针软件功能需不断迭代升级。建议业主方建立探针版本管理机制，定期（建议每年一次）评估现有探针版本与最新安全需求的匹配性，及时升级具备更强检测能力（如工控协议深度解析、异常行为建模）的新版本。</w:t>
      </w:r>
    </w:p>
    <w:p w14:paraId="0F82CA3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二、基于AI的异常行为检测</w:t>
      </w:r>
    </w:p>
    <w:p w14:paraId="6112CC5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现有白名单机制以规则匹配为主，对于未知攻击模式的检测能力有限。建议后续引入基于人工智能的异常行为检测技术，通过机器学习对设备正常行为建立基线模型，自动识别偏离基线的异常行为，实现从” 已知威胁检测” 向”未知威胁感知” 的能力跨越。</w:t>
      </w:r>
    </w:p>
    <w:p w14:paraId="63FF457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三、与调度自动化系统的安全联动</w:t>
      </w:r>
    </w:p>
    <w:p w14:paraId="4971C3D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建议研究将网络安全监测告警与调度自动化系统进行联动的可行性，当网络安全监测系统发现针对特定设备的高危攻击时，能够自动触发相应的运行方式调整或安全隔离措施，实现网络安全与运行安全的协同联动，进一步提升换流站整体安全防护水平。</w:t>
      </w:r>
    </w:p>
    <w:p w14:paraId="700D72E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四、网络安全培训常态化</w:t>
      </w:r>
    </w:p>
    <w:p w14:paraId="782BE64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技术手段须与人员能力建设相结合。建议将网络安全知识纳入换流站运维人员年度培训体系，定期开展网络安全演练（包括模拟攻击场景下的应急响应演练），持续提升运维人员的网络安全意识和实战处置能力。</w:t>
      </w:r>
    </w:p>
    <w:p w14:paraId="381F356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五、推广复制至其他超高压站</w:t>
      </w:r>
    </w:p>
    <w:p w14:paraId="31F07078">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rPr>
        <w:t>在天山换流站项目成功实施的基础上，建议国网新疆超高压分公司系统梳理辖区内其他超高压变电站的网络安全监测接入需求，制定分阶段推进计划，逐步实现全辖区超高压站点的网络安全监测全覆盖，打造新疆电网网络安全防护体系的标杆工程</w:t>
      </w:r>
      <w:r>
        <w:rPr>
          <w:rFonts w:hint="eastAsia" w:ascii="宋体" w:hAnsi="宋体" w:cs="宋体"/>
          <w:sz w:val="24"/>
          <w:szCs w:val="24"/>
          <w:lang w:eastAsia="zh-CN"/>
        </w:rPr>
        <w:t>。</w:t>
      </w:r>
    </w:p>
    <w:p w14:paraId="77652DC8">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14811"/>
      <w:bookmarkStart w:id="4" w:name="_Toc2484"/>
      <w:bookmarkStart w:id="5" w:name="_Toc3223"/>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0194B44D">
      <w:pPr>
        <w:spacing w:line="360" w:lineRule="auto"/>
        <w:ind w:firstLine="480"/>
        <w:outlineLvl w:val="3"/>
        <w:rPr>
          <w:rFonts w:hint="eastAsia" w:ascii="宋体" w:hAnsi="宋体" w:eastAsia="宋体" w:cs="宋体"/>
          <w:sz w:val="24"/>
          <w:szCs w:val="24"/>
        </w:rPr>
      </w:pPr>
      <w:r>
        <w:rPr>
          <w:rFonts w:hint="eastAsia" w:ascii="宋体" w:hAnsi="宋体" w:cs="宋体"/>
          <w:sz w:val="24"/>
          <w:szCs w:val="24"/>
          <w:lang w:val="en-US" w:eastAsia="zh-CN"/>
        </w:rPr>
        <w:t>2.2.1</w:t>
      </w:r>
      <w:r>
        <w:rPr>
          <w:rFonts w:hint="eastAsia" w:ascii="宋体" w:hAnsi="宋体" w:eastAsia="宋体" w:cs="宋体"/>
          <w:sz w:val="24"/>
          <w:szCs w:val="24"/>
        </w:rPr>
        <w:t>工程范围说明</w:t>
      </w:r>
    </w:p>
    <w:p w14:paraId="51C768D3">
      <w:pPr>
        <w:spacing w:line="360" w:lineRule="auto"/>
        <w:ind w:firstLine="480"/>
        <w:rPr>
          <w:rFonts w:hint="eastAsia" w:ascii="宋体" w:hAnsi="宋体" w:eastAsia="宋体" w:cs="宋体"/>
          <w:sz w:val="24"/>
          <w:szCs w:val="24"/>
        </w:rPr>
      </w:pPr>
    </w:p>
    <w:p w14:paraId="6554ADC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工程实施范围为国网新疆超高压分公司±800kV天山换流站生产控制大区内，涉及二次系统安全监测接入改造，具体包括：故障录波装置、电能量采集终端、五防安全主机、正向隔离装置、反向隔离装置、保信子站防火墙、故障录波子站、远程浏览工作站等共计31套设备的探针软件安装、主机加固及白名单配置工作，以及完成上述设备与网络安全监测装置的通讯联调和告警测试，直至通过竣工验收。</w:t>
      </w:r>
    </w:p>
    <w:p w14:paraId="2D5C9C1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工程实施地点为±800kV天山换流站站内各二次设备室（继电保护室、通信机房、主控室等）。所有施工操作须在换流站正常运行状态下或设备检修窗口期内进行，不得影响换流站正常运行。</w:t>
      </w:r>
    </w:p>
    <w:p w14:paraId="30E1FB8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工程属于技术改造类工程，工程内容不涉及一次设备改造、新增网络设备采购（探针软件属于服务范畴，由中标方提供），亦不涉及站内网络拓扑结构调整。施工方须负责提供全部施工工器具、测试设备及消耗品。</w:t>
      </w:r>
    </w:p>
    <w:p w14:paraId="29E8934E">
      <w:pPr>
        <w:spacing w:line="360" w:lineRule="auto"/>
        <w:ind w:firstLine="480"/>
        <w:outlineLvl w:val="3"/>
        <w:rPr>
          <w:rFonts w:hint="eastAsia" w:ascii="宋体" w:hAnsi="宋体" w:cs="宋体"/>
          <w:sz w:val="24"/>
          <w:szCs w:val="24"/>
          <w:lang w:val="en-US" w:eastAsia="zh-CN"/>
        </w:rPr>
      </w:pPr>
      <w:r>
        <w:rPr>
          <w:rFonts w:hint="eastAsia" w:ascii="宋体" w:hAnsi="宋体" w:cs="宋体"/>
          <w:sz w:val="24"/>
          <w:szCs w:val="24"/>
          <w:lang w:val="en-US" w:eastAsia="zh-CN"/>
        </w:rPr>
        <w:t>2.2.2工程量清单</w:t>
      </w:r>
    </w:p>
    <w:tbl>
      <w:tblPr>
        <w:tblStyle w:val="21"/>
        <w:tblW w:w="962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50"/>
        <w:gridCol w:w="2624"/>
        <w:gridCol w:w="1750"/>
        <w:gridCol w:w="1750"/>
        <w:gridCol w:w="1750"/>
      </w:tblGrid>
      <w:tr w14:paraId="6371D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1750" w:type="dxa"/>
            <w:tcBorders>
              <w:top w:val="single" w:color="A16207" w:sz="12" w:space="0"/>
              <w:bottom w:val="single" w:color="A8A29E" w:sz="12" w:space="0"/>
            </w:tcBorders>
            <w:vAlign w:val="top"/>
          </w:tcPr>
          <w:p w14:paraId="22092D48">
            <w:pPr>
              <w:pStyle w:val="20"/>
              <w:spacing w:before="156" w:line="403" w:lineRule="exact"/>
            </w:pPr>
            <w:r>
              <w:rPr>
                <w:position w:val="-9"/>
              </w:rPr>
              <mc:AlternateContent>
                <mc:Choice Requires="wps">
                  <w:drawing>
                    <wp:inline distT="0" distB="0" distL="114300" distR="114300">
                      <wp:extent cx="1111250" cy="263525"/>
                      <wp:effectExtent l="0" t="0" r="6350" b="3175"/>
                      <wp:docPr id="36" name="文本框 36"/>
                      <wp:cNvGraphicFramePr/>
                      <a:graphic xmlns:a="http://schemas.openxmlformats.org/drawingml/2006/main">
                        <a:graphicData uri="http://schemas.microsoft.com/office/word/2010/wordprocessingShape">
                          <wps:wsp>
                            <wps:cNvSpPr txBox="1"/>
                            <wps:spPr>
                              <a:xfrm>
                                <a:off x="0" y="0"/>
                                <a:ext cx="1111250" cy="263525"/>
                              </a:xfrm>
                              <a:prstGeom prst="rect">
                                <a:avLst/>
                              </a:prstGeom>
                              <a:solidFill>
                                <a:srgbClr val="E7E5E4"/>
                              </a:solidFill>
                              <a:ln>
                                <a:noFill/>
                              </a:ln>
                            </wps:spPr>
                            <wps:txbx>
                              <w:txbxContent>
                                <w:p w14:paraId="7A6F120D">
                                  <w:pPr>
                                    <w:spacing w:before="117" w:line="189" w:lineRule="auto"/>
                                    <w:ind w:left="708"/>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序号</w:t>
                                  </w:r>
                                </w:p>
                              </w:txbxContent>
                            </wps:txbx>
                            <wps:bodyPr lIns="0" tIns="0" rIns="0" bIns="0" upright="1"/>
                          </wps:wsp>
                        </a:graphicData>
                      </a:graphic>
                    </wp:inline>
                  </w:drawing>
                </mc:Choice>
                <mc:Fallback>
                  <w:pict>
                    <v:shape id="_x0000_s1026" o:spid="_x0000_s1026" o:spt="202" type="#_x0000_t202" style="height:20.75pt;width:87.5pt;" fillcolor="#E7E5E4" filled="t" stroked="f" coordsize="21600,21600" o:gfxdata="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&#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0tS9/TAAAABAEAAA8AAAAAAAAAAQAgAAAAIgAAAGRy&#10;cy9kb3ducmV2LnhtbFBLAQIUABQAAAAIAIdO4kDk1zVz0QEAAJ0DAAAOAAAAAAAAAAEAIAAAACIB&#10;AABkcnMvZTJvRG9jLnhtbFBLBQYAAAAABgAGAFkBAABlBQAAAAA=&#10;">
                      <v:fill on="t" focussize="0,0"/>
                      <v:stroke on="f"/>
                      <v:imagedata o:title=""/>
                      <o:lock v:ext="edit" aspectratio="f"/>
                      <v:textbox inset="0mm,0mm,0mm,0mm">
                        <w:txbxContent>
                          <w:p w14:paraId="7A6F120D">
                            <w:pPr>
                              <w:spacing w:before="117" w:line="189" w:lineRule="auto"/>
                              <w:ind w:left="708"/>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序号</w:t>
                            </w:r>
                          </w:p>
                        </w:txbxContent>
                      </v:textbox>
                      <w10:wrap type="none"/>
                      <w10:anchorlock/>
                    </v:shape>
                  </w:pict>
                </mc:Fallback>
              </mc:AlternateContent>
            </w:r>
          </w:p>
        </w:tc>
        <w:tc>
          <w:tcPr>
            <w:tcW w:w="2624" w:type="dxa"/>
            <w:tcBorders>
              <w:top w:val="single" w:color="A16207" w:sz="12" w:space="0"/>
              <w:bottom w:val="single" w:color="A8A29E" w:sz="12" w:space="0"/>
            </w:tcBorders>
            <w:vAlign w:val="top"/>
          </w:tcPr>
          <w:p w14:paraId="5E5E7C7E">
            <w:pPr>
              <w:pStyle w:val="20"/>
              <w:spacing w:before="156" w:line="403" w:lineRule="exact"/>
            </w:pPr>
            <w:r>
              <w:rPr>
                <w:position w:val="-9"/>
              </w:rPr>
              <mc:AlternateContent>
                <mc:Choice Requires="wps">
                  <w:drawing>
                    <wp:inline distT="0" distB="0" distL="114300" distR="114300">
                      <wp:extent cx="1666875" cy="263525"/>
                      <wp:effectExtent l="0" t="0" r="9525" b="3175"/>
                      <wp:docPr id="39" name="文本框 39"/>
                      <wp:cNvGraphicFramePr/>
                      <a:graphic xmlns:a="http://schemas.openxmlformats.org/drawingml/2006/main">
                        <a:graphicData uri="http://schemas.microsoft.com/office/word/2010/wordprocessingShape">
                          <wps:wsp>
                            <wps:cNvSpPr txBox="1"/>
                            <wps:spPr>
                              <a:xfrm>
                                <a:off x="0" y="0"/>
                                <a:ext cx="1666875" cy="263525"/>
                              </a:xfrm>
                              <a:prstGeom prst="rect">
                                <a:avLst/>
                              </a:prstGeom>
                              <a:solidFill>
                                <a:srgbClr val="E7E5E4"/>
                              </a:solidFill>
                              <a:ln>
                                <a:noFill/>
                              </a:ln>
                            </wps:spPr>
                            <wps:txbx>
                              <w:txbxContent>
                                <w:p w14:paraId="5FBFD06C">
                                  <w:pPr>
                                    <w:spacing w:before="117" w:line="188" w:lineRule="auto"/>
                                    <w:ind w:left="117"/>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检修项目</w:t>
                                  </w:r>
                                </w:p>
                              </w:txbxContent>
                            </wps:txbx>
                            <wps:bodyPr lIns="0" tIns="0" rIns="0" bIns="0" upright="1"/>
                          </wps:wsp>
                        </a:graphicData>
                      </a:graphic>
                    </wp:inline>
                  </w:drawing>
                </mc:Choice>
                <mc:Fallback>
                  <w:pict>
                    <v:shape id="_x0000_s1026" o:spid="_x0000_s1026" o:spt="202" type="#_x0000_t202" style="height:20.75pt;width:131.25pt;" fillcolor="#E7E5E4" filled="t" stroked="f" coordsize="21600,21600" o:gfxdata="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ZSKfPUAAAABAEAAA8AAAAAAAAAAQAgAAAAIgAA&#10;AGRycy9kb3ducmV2LnhtbFBLAQIUABQAAAAIAIdO4kC7YC7F0wEAAJ0DAAAOAAAAAAAAAAEAIAAA&#10;ACMBAABkcnMvZTJvRG9jLnhtbFBLBQYAAAAABgAGAFkBAABoBQAAAAA=&#10;">
                      <v:fill on="t" focussize="0,0"/>
                      <v:stroke on="f"/>
                      <v:imagedata o:title=""/>
                      <o:lock v:ext="edit" aspectratio="f"/>
                      <v:textbox inset="0mm,0mm,0mm,0mm">
                        <w:txbxContent>
                          <w:p w14:paraId="5FBFD06C">
                            <w:pPr>
                              <w:spacing w:before="117" w:line="188" w:lineRule="auto"/>
                              <w:ind w:left="117"/>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检修项目</w:t>
                            </w:r>
                          </w:p>
                        </w:txbxContent>
                      </v:textbox>
                      <w10:wrap type="none"/>
                      <w10:anchorlock/>
                    </v:shape>
                  </w:pict>
                </mc:Fallback>
              </mc:AlternateContent>
            </w:r>
          </w:p>
        </w:tc>
        <w:tc>
          <w:tcPr>
            <w:tcW w:w="1750" w:type="dxa"/>
            <w:tcBorders>
              <w:top w:val="single" w:color="A16207" w:sz="12" w:space="0"/>
              <w:bottom w:val="single" w:color="A8A29E" w:sz="12" w:space="0"/>
            </w:tcBorders>
            <w:vAlign w:val="top"/>
          </w:tcPr>
          <w:p w14:paraId="59A8F4B8">
            <w:pPr>
              <w:pStyle w:val="20"/>
              <w:spacing w:before="156" w:line="403" w:lineRule="exact"/>
            </w:pPr>
            <w:r>
              <w:rPr>
                <w:position w:val="-9"/>
              </w:rPr>
              <mc:AlternateContent>
                <mc:Choice Requires="wps">
                  <w:drawing>
                    <wp:inline distT="0" distB="0" distL="114300" distR="114300">
                      <wp:extent cx="1111250" cy="263525"/>
                      <wp:effectExtent l="0" t="0" r="6350" b="3175"/>
                      <wp:docPr id="35" name="文本框 35"/>
                      <wp:cNvGraphicFramePr/>
                      <a:graphic xmlns:a="http://schemas.openxmlformats.org/drawingml/2006/main">
                        <a:graphicData uri="http://schemas.microsoft.com/office/word/2010/wordprocessingShape">
                          <wps:wsp>
                            <wps:cNvSpPr txBox="1"/>
                            <wps:spPr>
                              <a:xfrm>
                                <a:off x="0" y="0"/>
                                <a:ext cx="1111250" cy="263525"/>
                              </a:xfrm>
                              <a:prstGeom prst="rect">
                                <a:avLst/>
                              </a:prstGeom>
                              <a:solidFill>
                                <a:srgbClr val="E7E5E4"/>
                              </a:solidFill>
                              <a:ln>
                                <a:noFill/>
                              </a:ln>
                            </wps:spPr>
                            <wps:txbx>
                              <w:txbxContent>
                                <w:p w14:paraId="1B289C06">
                                  <w:pPr>
                                    <w:spacing w:before="115" w:line="189" w:lineRule="auto"/>
                                    <w:ind w:left="713"/>
                                    <w:rPr>
                                      <w:rFonts w:ascii="微软雅黑" w:hAnsi="微软雅黑" w:eastAsia="微软雅黑" w:cs="微软雅黑"/>
                                      <w:sz w:val="16"/>
                                      <w:szCs w:val="16"/>
                                    </w:rPr>
                                  </w:pPr>
                                  <w:r>
                                    <w:rPr>
                                      <w:rFonts w:ascii="微软雅黑" w:hAnsi="微软雅黑" w:eastAsia="微软雅黑" w:cs="微软雅黑"/>
                                      <w:b/>
                                      <w:bCs/>
                                      <w:color w:val="1C1917"/>
                                      <w:spacing w:val="5"/>
                                      <w:sz w:val="16"/>
                                      <w:szCs w:val="16"/>
                                    </w:rPr>
                                    <w:t>单位</w:t>
                                  </w:r>
                                </w:p>
                              </w:txbxContent>
                            </wps:txbx>
                            <wps:bodyPr lIns="0" tIns="0" rIns="0" bIns="0" upright="1"/>
                          </wps:wsp>
                        </a:graphicData>
                      </a:graphic>
                    </wp:inline>
                  </w:drawing>
                </mc:Choice>
                <mc:Fallback>
                  <w:pict>
                    <v:shape id="_x0000_s1026" o:spid="_x0000_s1026" o:spt="202" type="#_x0000_t202" style="height:20.75pt;width:87.5pt;" fillcolor="#E7E5E4" filled="t" stroked="f" coordsize="21600,21600" o:gfxdata="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S1L39MAAAAEAQAADwAAAAAAAAABACAAAAAiAAAA&#10;ZHJzL2Rvd25yZXYueG1sUEsBAhQAFAAAAAgAh07iQO+p6n7TAQAAnQMAAA4AAAAAAAAAAQAgAAAA&#10;IgEAAGRycy9lMm9Eb2MueG1sUEsFBgAAAAAGAAYAWQEAAGcFAAAAAA==&#10;">
                      <v:fill on="t" focussize="0,0"/>
                      <v:stroke on="f"/>
                      <v:imagedata o:title=""/>
                      <o:lock v:ext="edit" aspectratio="f"/>
                      <v:textbox inset="0mm,0mm,0mm,0mm">
                        <w:txbxContent>
                          <w:p w14:paraId="1B289C06">
                            <w:pPr>
                              <w:spacing w:before="115" w:line="189" w:lineRule="auto"/>
                              <w:ind w:left="713"/>
                              <w:rPr>
                                <w:rFonts w:ascii="微软雅黑" w:hAnsi="微软雅黑" w:eastAsia="微软雅黑" w:cs="微软雅黑"/>
                                <w:sz w:val="16"/>
                                <w:szCs w:val="16"/>
                              </w:rPr>
                            </w:pPr>
                            <w:r>
                              <w:rPr>
                                <w:rFonts w:ascii="微软雅黑" w:hAnsi="微软雅黑" w:eastAsia="微软雅黑" w:cs="微软雅黑"/>
                                <w:b/>
                                <w:bCs/>
                                <w:color w:val="1C1917"/>
                                <w:spacing w:val="5"/>
                                <w:sz w:val="16"/>
                                <w:szCs w:val="16"/>
                              </w:rPr>
                              <w:t>单位</w:t>
                            </w:r>
                          </w:p>
                        </w:txbxContent>
                      </v:textbox>
                      <w10:wrap type="none"/>
                      <w10:anchorlock/>
                    </v:shape>
                  </w:pict>
                </mc:Fallback>
              </mc:AlternateContent>
            </w:r>
          </w:p>
        </w:tc>
        <w:tc>
          <w:tcPr>
            <w:tcW w:w="1750" w:type="dxa"/>
            <w:tcBorders>
              <w:top w:val="single" w:color="A16207" w:sz="12" w:space="0"/>
              <w:bottom w:val="single" w:color="A8A29E" w:sz="12" w:space="0"/>
            </w:tcBorders>
            <w:vAlign w:val="top"/>
          </w:tcPr>
          <w:p w14:paraId="7F187AD4">
            <w:pPr>
              <w:pStyle w:val="20"/>
              <w:spacing w:before="156" w:line="403" w:lineRule="exact"/>
            </w:pPr>
            <w:r>
              <w:rPr>
                <w:position w:val="-9"/>
              </w:rPr>
              <mc:AlternateContent>
                <mc:Choice Requires="wps">
                  <w:drawing>
                    <wp:inline distT="0" distB="0" distL="114300" distR="114300">
                      <wp:extent cx="1111250" cy="263525"/>
                      <wp:effectExtent l="0" t="0" r="6350" b="3175"/>
                      <wp:docPr id="37" name="文本框 37"/>
                      <wp:cNvGraphicFramePr/>
                      <a:graphic xmlns:a="http://schemas.openxmlformats.org/drawingml/2006/main">
                        <a:graphicData uri="http://schemas.microsoft.com/office/word/2010/wordprocessingShape">
                          <wps:wsp>
                            <wps:cNvSpPr txBox="1"/>
                            <wps:spPr>
                              <a:xfrm>
                                <a:off x="0" y="0"/>
                                <a:ext cx="1111250" cy="263525"/>
                              </a:xfrm>
                              <a:prstGeom prst="rect">
                                <a:avLst/>
                              </a:prstGeom>
                              <a:solidFill>
                                <a:srgbClr val="E7E5E4"/>
                              </a:solidFill>
                              <a:ln>
                                <a:noFill/>
                              </a:ln>
                            </wps:spPr>
                            <wps:txbx>
                              <w:txbxContent>
                                <w:p w14:paraId="66EC68A4">
                                  <w:pPr>
                                    <w:spacing w:before="119" w:line="187" w:lineRule="auto"/>
                                    <w:ind w:left="708"/>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数量</w:t>
                                  </w:r>
                                </w:p>
                              </w:txbxContent>
                            </wps:txbx>
                            <wps:bodyPr lIns="0" tIns="0" rIns="0" bIns="0" upright="1"/>
                          </wps:wsp>
                        </a:graphicData>
                      </a:graphic>
                    </wp:inline>
                  </w:drawing>
                </mc:Choice>
                <mc:Fallback>
                  <w:pict>
                    <v:shape id="_x0000_s1026" o:spid="_x0000_s1026" o:spt="202" type="#_x0000_t202" style="height:20.75pt;width:87.5pt;" fillcolor="#E7E5E4" filled="t" stroked="f" coordsize="21600,21600" o:gfxdata="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&#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0tS9/TAAAABAEAAA8AAAAAAAAAAQAgAAAAIgAAAGRy&#10;cy9kb3ducmV2LnhtbFBLAQIUABQAAAAIAIdO4kAiAFDB0QEAAJ0DAAAOAAAAAAAAAAEAIAAAACIB&#10;AABkcnMvZTJvRG9jLnhtbFBLBQYAAAAABgAGAFkBAABlBQAAAAA=&#10;">
                      <v:fill on="t" focussize="0,0"/>
                      <v:stroke on="f"/>
                      <v:imagedata o:title=""/>
                      <o:lock v:ext="edit" aspectratio="f"/>
                      <v:textbox inset="0mm,0mm,0mm,0mm">
                        <w:txbxContent>
                          <w:p w14:paraId="66EC68A4">
                            <w:pPr>
                              <w:spacing w:before="119" w:line="187" w:lineRule="auto"/>
                              <w:ind w:left="708"/>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数量</w:t>
                            </w:r>
                          </w:p>
                        </w:txbxContent>
                      </v:textbox>
                      <w10:wrap type="none"/>
                      <w10:anchorlock/>
                    </v:shape>
                  </w:pict>
                </mc:Fallback>
              </mc:AlternateContent>
            </w:r>
          </w:p>
        </w:tc>
        <w:tc>
          <w:tcPr>
            <w:tcW w:w="1750" w:type="dxa"/>
            <w:tcBorders>
              <w:top w:val="single" w:color="A16207" w:sz="12" w:space="0"/>
              <w:bottom w:val="single" w:color="A8A29E" w:sz="12" w:space="0"/>
            </w:tcBorders>
            <w:vAlign w:val="top"/>
          </w:tcPr>
          <w:p w14:paraId="7132ACFE">
            <w:pPr>
              <w:pStyle w:val="20"/>
              <w:spacing w:before="156" w:line="403" w:lineRule="exact"/>
            </w:pPr>
            <w:r>
              <w:rPr>
                <w:position w:val="-9"/>
              </w:rPr>
              <mc:AlternateContent>
                <mc:Choice Requires="wps">
                  <w:drawing>
                    <wp:inline distT="0" distB="0" distL="114300" distR="114300">
                      <wp:extent cx="1111250" cy="263525"/>
                      <wp:effectExtent l="0" t="0" r="6350" b="3175"/>
                      <wp:docPr id="38" name="文本框 38"/>
                      <wp:cNvGraphicFramePr/>
                      <a:graphic xmlns:a="http://schemas.openxmlformats.org/drawingml/2006/main">
                        <a:graphicData uri="http://schemas.microsoft.com/office/word/2010/wordprocessingShape">
                          <wps:wsp>
                            <wps:cNvSpPr txBox="1"/>
                            <wps:spPr>
                              <a:xfrm>
                                <a:off x="0" y="0"/>
                                <a:ext cx="1111250" cy="263525"/>
                              </a:xfrm>
                              <a:prstGeom prst="rect">
                                <a:avLst/>
                              </a:prstGeom>
                              <a:solidFill>
                                <a:srgbClr val="E7E5E4"/>
                              </a:solidFill>
                              <a:ln>
                                <a:noFill/>
                              </a:ln>
                            </wps:spPr>
                            <wps:txbx>
                              <w:txbxContent>
                                <w:p w14:paraId="19D9EB2C">
                                  <w:pPr>
                                    <w:spacing w:before="118" w:line="188" w:lineRule="auto"/>
                                    <w:ind w:left="116"/>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备注</w:t>
                                  </w:r>
                                </w:p>
                              </w:txbxContent>
                            </wps:txbx>
                            <wps:bodyPr lIns="0" tIns="0" rIns="0" bIns="0" upright="1"/>
                          </wps:wsp>
                        </a:graphicData>
                      </a:graphic>
                    </wp:inline>
                  </w:drawing>
                </mc:Choice>
                <mc:Fallback>
                  <w:pict>
                    <v:shape id="_x0000_s1026" o:spid="_x0000_s1026" o:spt="202" type="#_x0000_t202" style="height:20.75pt;width:87.5pt;" fillcolor="#E7E5E4" filled="t" stroked="f" coordsize="21600,21600" o:gfxdata="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bS1L39MAAAAEAQAADwAAAAAAAAABACAAAAAiAAAAZHJz&#10;L2Rvd25yZXYueG1sUEsBAhQAFAAAAAgAh07iQAWG8vvQAQAAnQMAAA4AAAAAAAAAAQAgAAAAIgEA&#10;AGRycy9lMm9Eb2MueG1sUEsFBgAAAAAGAAYAWQEAAGQFAAAAAA==&#10;">
                      <v:fill on="t" focussize="0,0"/>
                      <v:stroke on="f"/>
                      <v:imagedata o:title=""/>
                      <o:lock v:ext="edit" aspectratio="f"/>
                      <v:textbox inset="0mm,0mm,0mm,0mm">
                        <w:txbxContent>
                          <w:p w14:paraId="19D9EB2C">
                            <w:pPr>
                              <w:spacing w:before="118" w:line="188" w:lineRule="auto"/>
                              <w:ind w:left="116"/>
                              <w:rPr>
                                <w:rFonts w:ascii="微软雅黑" w:hAnsi="微软雅黑" w:eastAsia="微软雅黑" w:cs="微软雅黑"/>
                                <w:sz w:val="16"/>
                                <w:szCs w:val="16"/>
                              </w:rPr>
                            </w:pPr>
                            <w:r>
                              <w:rPr>
                                <w:rFonts w:ascii="微软雅黑" w:hAnsi="微软雅黑" w:eastAsia="微软雅黑" w:cs="微软雅黑"/>
                                <w:b/>
                                <w:bCs/>
                                <w:color w:val="1C1917"/>
                                <w:spacing w:val="8"/>
                                <w:sz w:val="16"/>
                                <w:szCs w:val="16"/>
                              </w:rPr>
                              <w:t>备注</w:t>
                            </w:r>
                          </w:p>
                        </w:txbxContent>
                      </v:textbox>
                      <w10:wrap type="none"/>
                      <w10:anchorlock/>
                    </v:shape>
                  </w:pict>
                </mc:Fallback>
              </mc:AlternateContent>
            </w:r>
          </w:p>
        </w:tc>
      </w:tr>
      <w:tr w14:paraId="7A6577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93" w:hRule="atLeast"/>
        </w:trPr>
        <w:tc>
          <w:tcPr>
            <w:tcW w:w="1750" w:type="dxa"/>
            <w:tcBorders>
              <w:top w:val="single" w:color="A8A29E" w:sz="12" w:space="0"/>
              <w:bottom w:val="single" w:color="E7E5E4" w:sz="2" w:space="0"/>
            </w:tcBorders>
            <w:vAlign w:val="top"/>
          </w:tcPr>
          <w:p w14:paraId="07D59AB3">
            <w:pPr>
              <w:spacing w:before="114"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2624" w:type="dxa"/>
            <w:tcBorders>
              <w:top w:val="single" w:color="A8A29E" w:sz="12" w:space="0"/>
              <w:bottom w:val="single" w:color="E7E5E4" w:sz="2" w:space="0"/>
            </w:tcBorders>
            <w:vAlign w:val="top"/>
          </w:tcPr>
          <w:p w14:paraId="7CC2679D">
            <w:pPr>
              <w:pStyle w:val="20"/>
              <w:spacing w:before="96" w:line="184" w:lineRule="auto"/>
              <w:ind w:left="120"/>
              <w:rPr>
                <w:sz w:val="16"/>
                <w:szCs w:val="16"/>
              </w:rPr>
            </w:pPr>
            <w:r>
              <w:rPr>
                <w:color w:val="292524"/>
                <w:spacing w:val="9"/>
                <w:sz w:val="16"/>
                <w:szCs w:val="16"/>
              </w:rPr>
              <w:t>故障录波装置探针安装及加固</w:t>
            </w:r>
          </w:p>
        </w:tc>
        <w:tc>
          <w:tcPr>
            <w:tcW w:w="1750" w:type="dxa"/>
            <w:tcBorders>
              <w:top w:val="single" w:color="A8A29E" w:sz="12" w:space="0"/>
              <w:bottom w:val="single" w:color="E7E5E4" w:sz="2" w:space="0"/>
            </w:tcBorders>
            <w:vAlign w:val="top"/>
          </w:tcPr>
          <w:p w14:paraId="3E98FEDD">
            <w:pPr>
              <w:pStyle w:val="20"/>
              <w:spacing w:before="96" w:line="185" w:lineRule="auto"/>
              <w:ind w:left="807"/>
              <w:rPr>
                <w:sz w:val="16"/>
                <w:szCs w:val="16"/>
              </w:rPr>
            </w:pPr>
            <w:r>
              <w:rPr>
                <w:color w:val="292524"/>
                <w:sz w:val="16"/>
                <w:szCs w:val="16"/>
              </w:rPr>
              <w:t>台</w:t>
            </w:r>
          </w:p>
        </w:tc>
        <w:tc>
          <w:tcPr>
            <w:tcW w:w="1750" w:type="dxa"/>
            <w:tcBorders>
              <w:top w:val="single" w:color="A8A29E" w:sz="12" w:space="0"/>
              <w:bottom w:val="single" w:color="E7E5E4" w:sz="2" w:space="0"/>
            </w:tcBorders>
            <w:vAlign w:val="top"/>
          </w:tcPr>
          <w:p w14:paraId="120C51E3">
            <w:pPr>
              <w:spacing w:before="112" w:line="190" w:lineRule="auto"/>
              <w:ind w:left="797"/>
              <w:rPr>
                <w:rFonts w:ascii="Cambria" w:hAnsi="Cambria" w:eastAsia="Cambria" w:cs="Cambria"/>
                <w:sz w:val="16"/>
                <w:szCs w:val="16"/>
              </w:rPr>
            </w:pPr>
            <w:r>
              <w:rPr>
                <w:rFonts w:ascii="Cambria" w:hAnsi="Cambria" w:eastAsia="Cambria" w:cs="Cambria"/>
                <w:color w:val="292524"/>
                <w:spacing w:val="-6"/>
                <w:sz w:val="16"/>
                <w:szCs w:val="16"/>
              </w:rPr>
              <w:t>23</w:t>
            </w:r>
          </w:p>
        </w:tc>
        <w:tc>
          <w:tcPr>
            <w:tcW w:w="1750" w:type="dxa"/>
            <w:tcBorders>
              <w:top w:val="single" w:color="A8A29E" w:sz="12" w:space="0"/>
              <w:bottom w:val="single" w:color="E7E5E4" w:sz="2" w:space="0"/>
            </w:tcBorders>
            <w:vAlign w:val="top"/>
          </w:tcPr>
          <w:p w14:paraId="664404D9">
            <w:pPr>
              <w:pStyle w:val="20"/>
              <w:spacing w:before="97" w:line="229" w:lineRule="auto"/>
              <w:ind w:left="123" w:right="276" w:hanging="3"/>
              <w:rPr>
                <w:sz w:val="16"/>
                <w:szCs w:val="16"/>
              </w:rPr>
            </w:pPr>
            <w:r>
              <w:rPr>
                <w:color w:val="292524"/>
                <w:spacing w:val="5"/>
                <w:sz w:val="16"/>
                <w:szCs w:val="16"/>
              </w:rPr>
              <w:t>含探针软件安装、</w:t>
            </w:r>
            <w:r>
              <w:rPr>
                <w:color w:val="292524"/>
                <w:spacing w:val="8"/>
                <w:sz w:val="16"/>
                <w:szCs w:val="16"/>
              </w:rPr>
              <w:t>主机加固、白名单</w:t>
            </w:r>
            <w:r>
              <w:rPr>
                <w:color w:val="292524"/>
                <w:spacing w:val="5"/>
                <w:sz w:val="16"/>
                <w:szCs w:val="16"/>
              </w:rPr>
              <w:t>配置</w:t>
            </w:r>
          </w:p>
        </w:tc>
      </w:tr>
      <w:tr w14:paraId="7907F8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8" w:hRule="atLeast"/>
        </w:trPr>
        <w:tc>
          <w:tcPr>
            <w:tcW w:w="1750" w:type="dxa"/>
            <w:tcBorders>
              <w:top w:val="single" w:color="E7E5E4" w:sz="2" w:space="0"/>
              <w:bottom w:val="single" w:color="E7E5E4" w:sz="2" w:space="0"/>
            </w:tcBorders>
            <w:vAlign w:val="top"/>
          </w:tcPr>
          <w:p w14:paraId="51BF5439">
            <w:pPr>
              <w:spacing w:before="127" w:line="189" w:lineRule="auto"/>
              <w:ind w:left="839"/>
              <w:rPr>
                <w:rFonts w:ascii="Cambria" w:hAnsi="Cambria" w:eastAsia="Cambria" w:cs="Cambria"/>
                <w:sz w:val="16"/>
                <w:szCs w:val="16"/>
              </w:rPr>
            </w:pPr>
            <w:r>
              <w:rPr>
                <w:rFonts w:ascii="Cambria" w:hAnsi="Cambria" w:eastAsia="Cambria" w:cs="Cambria"/>
                <w:color w:val="292524"/>
                <w:sz w:val="16"/>
                <w:szCs w:val="16"/>
              </w:rPr>
              <w:t>2</w:t>
            </w:r>
          </w:p>
        </w:tc>
        <w:tc>
          <w:tcPr>
            <w:tcW w:w="2624" w:type="dxa"/>
            <w:tcBorders>
              <w:top w:val="single" w:color="E7E5E4" w:sz="2" w:space="0"/>
              <w:bottom w:val="single" w:color="E7E5E4" w:sz="2" w:space="0"/>
            </w:tcBorders>
            <w:vAlign w:val="top"/>
          </w:tcPr>
          <w:p w14:paraId="0163FD55">
            <w:pPr>
              <w:pStyle w:val="20"/>
              <w:spacing w:before="111" w:line="185" w:lineRule="auto"/>
              <w:ind w:left="134"/>
              <w:rPr>
                <w:sz w:val="16"/>
                <w:szCs w:val="16"/>
              </w:rPr>
            </w:pPr>
            <w:r>
              <w:rPr>
                <w:color w:val="292524"/>
                <w:spacing w:val="8"/>
                <w:sz w:val="16"/>
                <w:szCs w:val="16"/>
              </w:rPr>
              <w:t>电能量采集终端探针安装及加固</w:t>
            </w:r>
          </w:p>
        </w:tc>
        <w:tc>
          <w:tcPr>
            <w:tcW w:w="1750" w:type="dxa"/>
            <w:tcBorders>
              <w:top w:val="single" w:color="E7E5E4" w:sz="2" w:space="0"/>
              <w:bottom w:val="single" w:color="E7E5E4" w:sz="2" w:space="0"/>
            </w:tcBorders>
            <w:vAlign w:val="top"/>
          </w:tcPr>
          <w:p w14:paraId="75377D8B">
            <w:pPr>
              <w:pStyle w:val="20"/>
              <w:spacing w:before="111" w:line="184" w:lineRule="auto"/>
              <w:ind w:left="797"/>
              <w:rPr>
                <w:sz w:val="16"/>
                <w:szCs w:val="16"/>
              </w:rPr>
            </w:pPr>
            <w:r>
              <w:rPr>
                <w:color w:val="292524"/>
                <w:spacing w:val="3"/>
                <w:sz w:val="16"/>
                <w:szCs w:val="16"/>
              </w:rPr>
              <w:t>套</w:t>
            </w:r>
          </w:p>
        </w:tc>
        <w:tc>
          <w:tcPr>
            <w:tcW w:w="1750" w:type="dxa"/>
            <w:tcBorders>
              <w:top w:val="single" w:color="E7E5E4" w:sz="2" w:space="0"/>
              <w:bottom w:val="single" w:color="E7E5E4" w:sz="2" w:space="0"/>
            </w:tcBorders>
            <w:vAlign w:val="top"/>
          </w:tcPr>
          <w:p w14:paraId="336D120E">
            <w:pPr>
              <w:spacing w:before="130"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E7E5E4" w:sz="2" w:space="0"/>
              <w:bottom w:val="single" w:color="E7E5E4" w:sz="2" w:space="0"/>
            </w:tcBorders>
            <w:vAlign w:val="top"/>
          </w:tcPr>
          <w:p w14:paraId="6E00BB46">
            <w:pPr>
              <w:pStyle w:val="20"/>
              <w:spacing w:before="112" w:line="229" w:lineRule="auto"/>
              <w:ind w:left="123" w:right="276" w:hanging="3"/>
              <w:rPr>
                <w:sz w:val="16"/>
                <w:szCs w:val="16"/>
              </w:rPr>
            </w:pPr>
            <w:r>
              <w:rPr>
                <w:color w:val="292524"/>
                <w:spacing w:val="5"/>
                <w:sz w:val="16"/>
                <w:szCs w:val="16"/>
              </w:rPr>
              <w:t>含探针软件安装、</w:t>
            </w:r>
            <w:r>
              <w:rPr>
                <w:color w:val="292524"/>
                <w:spacing w:val="8"/>
                <w:sz w:val="16"/>
                <w:szCs w:val="16"/>
              </w:rPr>
              <w:t>主机加固、白名单</w:t>
            </w:r>
            <w:r>
              <w:rPr>
                <w:color w:val="292524"/>
                <w:spacing w:val="5"/>
                <w:sz w:val="16"/>
                <w:szCs w:val="16"/>
              </w:rPr>
              <w:t>配置</w:t>
            </w:r>
          </w:p>
        </w:tc>
      </w:tr>
      <w:tr w14:paraId="118AB1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8" w:hRule="atLeast"/>
        </w:trPr>
        <w:tc>
          <w:tcPr>
            <w:tcW w:w="1750" w:type="dxa"/>
            <w:tcBorders>
              <w:top w:val="single" w:color="E7E5E4" w:sz="2" w:space="0"/>
              <w:bottom w:val="single" w:color="E7E5E4" w:sz="4" w:space="0"/>
            </w:tcBorders>
            <w:vAlign w:val="top"/>
          </w:tcPr>
          <w:p w14:paraId="5A88E6A3">
            <w:pPr>
              <w:spacing w:before="127" w:line="190" w:lineRule="auto"/>
              <w:ind w:left="837"/>
              <w:rPr>
                <w:rFonts w:ascii="Cambria" w:hAnsi="Cambria" w:eastAsia="Cambria" w:cs="Cambria"/>
                <w:sz w:val="16"/>
                <w:szCs w:val="16"/>
              </w:rPr>
            </w:pPr>
            <w:r>
              <w:rPr>
                <w:rFonts w:ascii="Cambria" w:hAnsi="Cambria" w:eastAsia="Cambria" w:cs="Cambria"/>
                <w:color w:val="292524"/>
                <w:sz w:val="16"/>
                <w:szCs w:val="16"/>
              </w:rPr>
              <w:t>3</w:t>
            </w:r>
          </w:p>
        </w:tc>
        <w:tc>
          <w:tcPr>
            <w:tcW w:w="2624" w:type="dxa"/>
            <w:tcBorders>
              <w:top w:val="single" w:color="E7E5E4" w:sz="2" w:space="0"/>
              <w:bottom w:val="single" w:color="E7E5E4" w:sz="4" w:space="0"/>
            </w:tcBorders>
            <w:vAlign w:val="top"/>
          </w:tcPr>
          <w:p w14:paraId="6D3B4298">
            <w:pPr>
              <w:pStyle w:val="20"/>
              <w:spacing w:before="110" w:line="186" w:lineRule="auto"/>
              <w:ind w:left="122"/>
              <w:rPr>
                <w:sz w:val="16"/>
                <w:szCs w:val="16"/>
              </w:rPr>
            </w:pPr>
            <w:r>
              <w:rPr>
                <w:color w:val="292524"/>
                <w:spacing w:val="9"/>
                <w:sz w:val="16"/>
                <w:szCs w:val="16"/>
              </w:rPr>
              <w:t>五防安全主机探针安装及加固</w:t>
            </w:r>
          </w:p>
        </w:tc>
        <w:tc>
          <w:tcPr>
            <w:tcW w:w="1750" w:type="dxa"/>
            <w:tcBorders>
              <w:top w:val="single" w:color="E7E5E4" w:sz="2" w:space="0"/>
              <w:bottom w:val="single" w:color="E7E5E4" w:sz="4" w:space="0"/>
            </w:tcBorders>
            <w:vAlign w:val="top"/>
          </w:tcPr>
          <w:p w14:paraId="3B214B5E">
            <w:pPr>
              <w:pStyle w:val="20"/>
              <w:spacing w:before="112" w:line="184" w:lineRule="auto"/>
              <w:ind w:left="797"/>
              <w:rPr>
                <w:sz w:val="16"/>
                <w:szCs w:val="16"/>
              </w:rPr>
            </w:pPr>
            <w:r>
              <w:rPr>
                <w:color w:val="292524"/>
                <w:spacing w:val="3"/>
                <w:sz w:val="16"/>
                <w:szCs w:val="16"/>
              </w:rPr>
              <w:t>套</w:t>
            </w:r>
          </w:p>
        </w:tc>
        <w:tc>
          <w:tcPr>
            <w:tcW w:w="1750" w:type="dxa"/>
            <w:tcBorders>
              <w:top w:val="single" w:color="E7E5E4" w:sz="2" w:space="0"/>
              <w:bottom w:val="single" w:color="E7E5E4" w:sz="4" w:space="0"/>
            </w:tcBorders>
            <w:vAlign w:val="top"/>
          </w:tcPr>
          <w:p w14:paraId="61825FF9">
            <w:pPr>
              <w:spacing w:before="130"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E7E5E4" w:sz="2" w:space="0"/>
              <w:bottom w:val="single" w:color="E7E5E4" w:sz="4" w:space="0"/>
            </w:tcBorders>
            <w:vAlign w:val="top"/>
          </w:tcPr>
          <w:p w14:paraId="3E7730AD">
            <w:pPr>
              <w:pStyle w:val="20"/>
              <w:spacing w:before="112" w:line="229" w:lineRule="auto"/>
              <w:ind w:left="123" w:right="276" w:hanging="3"/>
              <w:rPr>
                <w:sz w:val="16"/>
                <w:szCs w:val="16"/>
              </w:rPr>
            </w:pPr>
            <w:r>
              <w:rPr>
                <w:color w:val="292524"/>
                <w:spacing w:val="5"/>
                <w:sz w:val="16"/>
                <w:szCs w:val="16"/>
              </w:rPr>
              <w:t>含探针软件安装、</w:t>
            </w:r>
            <w:r>
              <w:rPr>
                <w:color w:val="292524"/>
                <w:spacing w:val="8"/>
                <w:sz w:val="16"/>
                <w:szCs w:val="16"/>
              </w:rPr>
              <w:t>主机加固、白名单</w:t>
            </w:r>
            <w:r>
              <w:rPr>
                <w:color w:val="292524"/>
                <w:spacing w:val="5"/>
                <w:sz w:val="16"/>
                <w:szCs w:val="16"/>
              </w:rPr>
              <w:t>配置</w:t>
            </w:r>
          </w:p>
        </w:tc>
      </w:tr>
      <w:tr w14:paraId="08E5E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9" w:hRule="atLeast"/>
        </w:trPr>
        <w:tc>
          <w:tcPr>
            <w:tcW w:w="1750" w:type="dxa"/>
            <w:tcBorders>
              <w:top w:val="single" w:color="E7E5E4" w:sz="4" w:space="0"/>
              <w:bottom w:val="single" w:color="E7E5E4" w:sz="2" w:space="0"/>
            </w:tcBorders>
            <w:vAlign w:val="top"/>
          </w:tcPr>
          <w:p w14:paraId="685A0E9A">
            <w:pPr>
              <w:spacing w:before="125" w:line="186" w:lineRule="auto"/>
              <w:ind w:left="835"/>
              <w:rPr>
                <w:rFonts w:ascii="Cambria" w:hAnsi="Cambria" w:eastAsia="Cambria" w:cs="Cambria"/>
                <w:sz w:val="16"/>
                <w:szCs w:val="16"/>
              </w:rPr>
            </w:pPr>
            <w:r>
              <w:rPr>
                <w:rFonts w:ascii="Cambria" w:hAnsi="Cambria" w:eastAsia="Cambria" w:cs="Cambria"/>
                <w:color w:val="292524"/>
                <w:sz w:val="16"/>
                <w:szCs w:val="16"/>
              </w:rPr>
              <w:t>4</w:t>
            </w:r>
          </w:p>
        </w:tc>
        <w:tc>
          <w:tcPr>
            <w:tcW w:w="2624" w:type="dxa"/>
            <w:tcBorders>
              <w:top w:val="single" w:color="E7E5E4" w:sz="4" w:space="0"/>
              <w:bottom w:val="single" w:color="E7E5E4" w:sz="2" w:space="0"/>
            </w:tcBorders>
            <w:vAlign w:val="top"/>
          </w:tcPr>
          <w:p w14:paraId="2516F639">
            <w:pPr>
              <w:pStyle w:val="20"/>
              <w:spacing w:before="105" w:line="186" w:lineRule="auto"/>
              <w:ind w:left="122"/>
              <w:rPr>
                <w:sz w:val="16"/>
                <w:szCs w:val="16"/>
              </w:rPr>
            </w:pPr>
            <w:r>
              <w:rPr>
                <w:color w:val="292524"/>
                <w:spacing w:val="9"/>
                <w:sz w:val="16"/>
                <w:szCs w:val="16"/>
              </w:rPr>
              <w:t>正向隔离装置安全监测接入</w:t>
            </w:r>
          </w:p>
        </w:tc>
        <w:tc>
          <w:tcPr>
            <w:tcW w:w="1750" w:type="dxa"/>
            <w:tcBorders>
              <w:top w:val="single" w:color="E7E5E4" w:sz="4" w:space="0"/>
              <w:bottom w:val="single" w:color="E7E5E4" w:sz="2" w:space="0"/>
            </w:tcBorders>
            <w:vAlign w:val="top"/>
          </w:tcPr>
          <w:p w14:paraId="4A9CBBA9">
            <w:pPr>
              <w:pStyle w:val="20"/>
              <w:spacing w:before="107" w:line="184" w:lineRule="auto"/>
              <w:ind w:left="797"/>
              <w:rPr>
                <w:sz w:val="16"/>
                <w:szCs w:val="16"/>
              </w:rPr>
            </w:pPr>
            <w:r>
              <w:rPr>
                <w:color w:val="292524"/>
                <w:spacing w:val="3"/>
                <w:sz w:val="16"/>
                <w:szCs w:val="16"/>
              </w:rPr>
              <w:t>套</w:t>
            </w:r>
          </w:p>
        </w:tc>
        <w:tc>
          <w:tcPr>
            <w:tcW w:w="1750" w:type="dxa"/>
            <w:tcBorders>
              <w:top w:val="single" w:color="E7E5E4" w:sz="4" w:space="0"/>
              <w:bottom w:val="single" w:color="E7E5E4" w:sz="2" w:space="0"/>
            </w:tcBorders>
            <w:vAlign w:val="top"/>
          </w:tcPr>
          <w:p w14:paraId="42CA673F">
            <w:pPr>
              <w:spacing w:before="125"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E7E5E4" w:sz="4" w:space="0"/>
              <w:bottom w:val="single" w:color="E7E5E4" w:sz="2" w:space="0"/>
            </w:tcBorders>
            <w:vAlign w:val="top"/>
          </w:tcPr>
          <w:p w14:paraId="47A25B37">
            <w:pPr>
              <w:pStyle w:val="20"/>
              <w:spacing w:before="105" w:line="229" w:lineRule="auto"/>
              <w:ind w:left="126" w:right="276" w:hanging="6"/>
              <w:rPr>
                <w:sz w:val="16"/>
                <w:szCs w:val="16"/>
              </w:rPr>
            </w:pPr>
            <w:r>
              <w:rPr>
                <w:color w:val="292524"/>
                <w:spacing w:val="9"/>
                <w:sz w:val="16"/>
                <w:szCs w:val="16"/>
              </w:rPr>
              <w:t>探针安装或旁路监</w:t>
            </w:r>
            <w:r>
              <w:rPr>
                <w:color w:val="292524"/>
                <w:spacing w:val="8"/>
                <w:sz w:val="16"/>
                <w:szCs w:val="16"/>
              </w:rPr>
              <w:t>听，含白名单配置</w:t>
            </w:r>
          </w:p>
        </w:tc>
      </w:tr>
      <w:tr w14:paraId="4EE1B8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5" w:hRule="atLeast"/>
        </w:trPr>
        <w:tc>
          <w:tcPr>
            <w:tcW w:w="1750" w:type="dxa"/>
            <w:tcBorders>
              <w:top w:val="single" w:color="E7E5E4" w:sz="2" w:space="0"/>
              <w:bottom w:val="single" w:color="E7E5E4" w:sz="2" w:space="0"/>
            </w:tcBorders>
            <w:vAlign w:val="top"/>
          </w:tcPr>
          <w:p w14:paraId="3DEEC47B">
            <w:pPr>
              <w:spacing w:before="131" w:line="187" w:lineRule="auto"/>
              <w:ind w:left="836"/>
              <w:rPr>
                <w:rFonts w:ascii="Cambria" w:hAnsi="Cambria" w:eastAsia="Cambria" w:cs="Cambria"/>
                <w:sz w:val="16"/>
                <w:szCs w:val="16"/>
              </w:rPr>
            </w:pPr>
            <w:r>
              <w:rPr>
                <w:rFonts w:ascii="Cambria" w:hAnsi="Cambria" w:eastAsia="Cambria" w:cs="Cambria"/>
                <w:color w:val="292524"/>
                <w:sz w:val="16"/>
                <w:szCs w:val="16"/>
              </w:rPr>
              <w:t>5</w:t>
            </w:r>
          </w:p>
        </w:tc>
        <w:tc>
          <w:tcPr>
            <w:tcW w:w="2624" w:type="dxa"/>
            <w:tcBorders>
              <w:top w:val="single" w:color="E7E5E4" w:sz="2" w:space="0"/>
              <w:bottom w:val="single" w:color="E7E5E4" w:sz="2" w:space="0"/>
            </w:tcBorders>
            <w:vAlign w:val="top"/>
          </w:tcPr>
          <w:p w14:paraId="4BA2148D">
            <w:pPr>
              <w:pStyle w:val="20"/>
              <w:spacing w:before="111" w:line="186" w:lineRule="auto"/>
              <w:ind w:left="122"/>
              <w:rPr>
                <w:sz w:val="16"/>
                <w:szCs w:val="16"/>
              </w:rPr>
            </w:pPr>
            <w:r>
              <w:rPr>
                <w:color w:val="292524"/>
                <w:spacing w:val="9"/>
                <w:sz w:val="16"/>
                <w:szCs w:val="16"/>
              </w:rPr>
              <w:t>反向隔离装置安全监测接入</w:t>
            </w:r>
          </w:p>
        </w:tc>
        <w:tc>
          <w:tcPr>
            <w:tcW w:w="1750" w:type="dxa"/>
            <w:tcBorders>
              <w:top w:val="single" w:color="E7E5E4" w:sz="2" w:space="0"/>
              <w:bottom w:val="single" w:color="E7E5E4" w:sz="2" w:space="0"/>
            </w:tcBorders>
            <w:vAlign w:val="top"/>
          </w:tcPr>
          <w:p w14:paraId="3309B1B6">
            <w:pPr>
              <w:pStyle w:val="20"/>
              <w:spacing w:before="113" w:line="184" w:lineRule="auto"/>
              <w:ind w:left="797"/>
              <w:rPr>
                <w:sz w:val="16"/>
                <w:szCs w:val="16"/>
              </w:rPr>
            </w:pPr>
            <w:r>
              <w:rPr>
                <w:color w:val="292524"/>
                <w:spacing w:val="3"/>
                <w:sz w:val="16"/>
                <w:szCs w:val="16"/>
              </w:rPr>
              <w:t>套</w:t>
            </w:r>
          </w:p>
        </w:tc>
        <w:tc>
          <w:tcPr>
            <w:tcW w:w="1750" w:type="dxa"/>
            <w:tcBorders>
              <w:top w:val="single" w:color="E7E5E4" w:sz="2" w:space="0"/>
              <w:bottom w:val="single" w:color="E7E5E4" w:sz="2" w:space="0"/>
            </w:tcBorders>
            <w:vAlign w:val="top"/>
          </w:tcPr>
          <w:p w14:paraId="6FE94087">
            <w:pPr>
              <w:spacing w:before="131"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E7E5E4" w:sz="2" w:space="0"/>
              <w:bottom w:val="single" w:color="E7E5E4" w:sz="2" w:space="0"/>
            </w:tcBorders>
            <w:vAlign w:val="top"/>
          </w:tcPr>
          <w:p w14:paraId="0AA23254">
            <w:pPr>
              <w:pStyle w:val="20"/>
              <w:spacing w:before="111" w:line="229" w:lineRule="auto"/>
              <w:ind w:left="126" w:right="276" w:hanging="6"/>
              <w:rPr>
                <w:sz w:val="16"/>
                <w:szCs w:val="16"/>
              </w:rPr>
            </w:pPr>
            <w:r>
              <w:rPr>
                <w:color w:val="292524"/>
                <w:spacing w:val="9"/>
                <w:sz w:val="16"/>
                <w:szCs w:val="16"/>
              </w:rPr>
              <w:t>探针安装或旁路监</w:t>
            </w:r>
            <w:r>
              <w:rPr>
                <w:color w:val="292524"/>
                <w:spacing w:val="8"/>
                <w:sz w:val="16"/>
                <w:szCs w:val="16"/>
              </w:rPr>
              <w:t>听，含白名单配置</w:t>
            </w:r>
          </w:p>
        </w:tc>
      </w:tr>
      <w:tr w14:paraId="26EC27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1" w:hRule="atLeast"/>
        </w:trPr>
        <w:tc>
          <w:tcPr>
            <w:tcW w:w="1750" w:type="dxa"/>
            <w:tcBorders>
              <w:top w:val="single" w:color="E7E5E4" w:sz="2" w:space="0"/>
              <w:bottom w:val="single" w:color="E7E5E4" w:sz="2" w:space="0"/>
            </w:tcBorders>
            <w:vAlign w:val="top"/>
          </w:tcPr>
          <w:p w14:paraId="106C24A6">
            <w:pPr>
              <w:spacing w:before="129" w:line="190" w:lineRule="auto"/>
              <w:ind w:left="840"/>
              <w:rPr>
                <w:rFonts w:ascii="Cambria" w:hAnsi="Cambria" w:eastAsia="Cambria" w:cs="Cambria"/>
                <w:sz w:val="16"/>
                <w:szCs w:val="16"/>
              </w:rPr>
            </w:pPr>
            <w:r>
              <w:rPr>
                <w:rFonts w:ascii="Cambria" w:hAnsi="Cambria" w:eastAsia="Cambria" w:cs="Cambria"/>
                <w:color w:val="292524"/>
                <w:sz w:val="16"/>
                <w:szCs w:val="16"/>
              </w:rPr>
              <w:t>6</w:t>
            </w:r>
          </w:p>
        </w:tc>
        <w:tc>
          <w:tcPr>
            <w:tcW w:w="2624" w:type="dxa"/>
            <w:tcBorders>
              <w:top w:val="single" w:color="E7E5E4" w:sz="2" w:space="0"/>
              <w:bottom w:val="single" w:color="E7E5E4" w:sz="2" w:space="0"/>
            </w:tcBorders>
            <w:vAlign w:val="top"/>
          </w:tcPr>
          <w:p w14:paraId="0FE4BD3F">
            <w:pPr>
              <w:pStyle w:val="20"/>
              <w:spacing w:before="111" w:line="186" w:lineRule="auto"/>
              <w:ind w:left="117"/>
              <w:rPr>
                <w:sz w:val="16"/>
                <w:szCs w:val="16"/>
              </w:rPr>
            </w:pPr>
            <w:r>
              <w:rPr>
                <w:color w:val="292524"/>
                <w:spacing w:val="9"/>
                <w:sz w:val="16"/>
                <w:szCs w:val="16"/>
              </w:rPr>
              <w:t>保信子站防火墙安全监测接入</w:t>
            </w:r>
          </w:p>
        </w:tc>
        <w:tc>
          <w:tcPr>
            <w:tcW w:w="1750" w:type="dxa"/>
            <w:tcBorders>
              <w:top w:val="single" w:color="E7E5E4" w:sz="2" w:space="0"/>
              <w:bottom w:val="single" w:color="E7E5E4" w:sz="2" w:space="0"/>
            </w:tcBorders>
            <w:vAlign w:val="top"/>
          </w:tcPr>
          <w:p w14:paraId="401E5943">
            <w:pPr>
              <w:pStyle w:val="20"/>
              <w:spacing w:before="113" w:line="184" w:lineRule="auto"/>
              <w:ind w:left="797"/>
              <w:rPr>
                <w:sz w:val="16"/>
                <w:szCs w:val="16"/>
              </w:rPr>
            </w:pPr>
            <w:r>
              <w:rPr>
                <w:color w:val="292524"/>
                <w:spacing w:val="3"/>
                <w:sz w:val="16"/>
                <w:szCs w:val="16"/>
              </w:rPr>
              <w:t>套</w:t>
            </w:r>
          </w:p>
        </w:tc>
        <w:tc>
          <w:tcPr>
            <w:tcW w:w="1750" w:type="dxa"/>
            <w:tcBorders>
              <w:top w:val="single" w:color="E7E5E4" w:sz="2" w:space="0"/>
              <w:bottom w:val="single" w:color="E7E5E4" w:sz="2" w:space="0"/>
            </w:tcBorders>
            <w:vAlign w:val="top"/>
          </w:tcPr>
          <w:p w14:paraId="5C302C48">
            <w:pPr>
              <w:spacing w:before="131"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E7E5E4" w:sz="2" w:space="0"/>
              <w:bottom w:val="single" w:color="E7E5E4" w:sz="2" w:space="0"/>
            </w:tcBorders>
            <w:vAlign w:val="top"/>
          </w:tcPr>
          <w:p w14:paraId="73AA6C96">
            <w:pPr>
              <w:pStyle w:val="20"/>
              <w:spacing w:before="109" w:line="228" w:lineRule="auto"/>
              <w:ind w:left="123" w:right="153" w:hanging="3"/>
              <w:rPr>
                <w:sz w:val="16"/>
                <w:szCs w:val="16"/>
              </w:rPr>
            </w:pPr>
            <w:r>
              <w:rPr>
                <w:color w:val="292524"/>
                <w:spacing w:val="4"/>
                <w:sz w:val="16"/>
                <w:szCs w:val="16"/>
              </w:rPr>
              <w:t xml:space="preserve">探针安装、 </w:t>
            </w:r>
            <w:r>
              <w:rPr>
                <w:rFonts w:ascii="Cambria" w:hAnsi="Cambria" w:eastAsia="Cambria" w:cs="Cambria"/>
                <w:color w:val="292524"/>
                <w:sz w:val="16"/>
                <w:szCs w:val="16"/>
              </w:rPr>
              <w:t>Syslog</w:t>
            </w:r>
            <w:r>
              <w:rPr>
                <w:color w:val="292524"/>
                <w:spacing w:val="4"/>
                <w:sz w:val="16"/>
                <w:szCs w:val="16"/>
              </w:rPr>
              <w:t>配</w:t>
            </w:r>
            <w:r>
              <w:rPr>
                <w:color w:val="292524"/>
                <w:spacing w:val="8"/>
                <w:sz w:val="16"/>
                <w:szCs w:val="16"/>
              </w:rPr>
              <w:t>置、白名单配置</w:t>
            </w:r>
          </w:p>
        </w:tc>
      </w:tr>
      <w:tr w14:paraId="64EB79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8" w:hRule="atLeast"/>
        </w:trPr>
        <w:tc>
          <w:tcPr>
            <w:tcW w:w="1750" w:type="dxa"/>
            <w:tcBorders>
              <w:top w:val="single" w:color="E7E5E4" w:sz="2" w:space="0"/>
              <w:bottom w:val="single" w:color="E7E5E4" w:sz="2" w:space="0"/>
            </w:tcBorders>
            <w:vAlign w:val="top"/>
          </w:tcPr>
          <w:p w14:paraId="7F33D8A6">
            <w:pPr>
              <w:spacing w:before="131" w:line="186" w:lineRule="auto"/>
              <w:ind w:left="840"/>
              <w:rPr>
                <w:rFonts w:ascii="Cambria" w:hAnsi="Cambria" w:eastAsia="Cambria" w:cs="Cambria"/>
                <w:sz w:val="16"/>
                <w:szCs w:val="16"/>
              </w:rPr>
            </w:pPr>
            <w:r>
              <w:rPr>
                <w:rFonts w:ascii="Cambria" w:hAnsi="Cambria" w:eastAsia="Cambria" w:cs="Cambria"/>
                <w:color w:val="292524"/>
                <w:sz w:val="16"/>
                <w:szCs w:val="16"/>
              </w:rPr>
              <w:t>7</w:t>
            </w:r>
          </w:p>
        </w:tc>
        <w:tc>
          <w:tcPr>
            <w:tcW w:w="2624" w:type="dxa"/>
            <w:tcBorders>
              <w:top w:val="single" w:color="E7E5E4" w:sz="2" w:space="0"/>
              <w:bottom w:val="single" w:color="E7E5E4" w:sz="2" w:space="0"/>
            </w:tcBorders>
            <w:vAlign w:val="top"/>
          </w:tcPr>
          <w:p w14:paraId="0D8FA8A3">
            <w:pPr>
              <w:pStyle w:val="20"/>
              <w:spacing w:before="113" w:line="184" w:lineRule="auto"/>
              <w:ind w:left="120"/>
              <w:rPr>
                <w:sz w:val="16"/>
                <w:szCs w:val="16"/>
              </w:rPr>
            </w:pPr>
            <w:r>
              <w:rPr>
                <w:color w:val="292524"/>
                <w:spacing w:val="9"/>
                <w:sz w:val="16"/>
                <w:szCs w:val="16"/>
              </w:rPr>
              <w:t>故障录波子站探针安装及加固</w:t>
            </w:r>
          </w:p>
        </w:tc>
        <w:tc>
          <w:tcPr>
            <w:tcW w:w="1750" w:type="dxa"/>
            <w:tcBorders>
              <w:top w:val="single" w:color="E7E5E4" w:sz="2" w:space="0"/>
              <w:bottom w:val="single" w:color="E7E5E4" w:sz="2" w:space="0"/>
            </w:tcBorders>
            <w:vAlign w:val="top"/>
          </w:tcPr>
          <w:p w14:paraId="7162F511">
            <w:pPr>
              <w:pStyle w:val="20"/>
              <w:spacing w:before="114" w:line="184" w:lineRule="auto"/>
              <w:ind w:left="797"/>
              <w:rPr>
                <w:sz w:val="16"/>
                <w:szCs w:val="16"/>
              </w:rPr>
            </w:pPr>
            <w:r>
              <w:rPr>
                <w:color w:val="292524"/>
                <w:spacing w:val="3"/>
                <w:sz w:val="16"/>
                <w:szCs w:val="16"/>
              </w:rPr>
              <w:t>套</w:t>
            </w:r>
          </w:p>
        </w:tc>
        <w:tc>
          <w:tcPr>
            <w:tcW w:w="1750" w:type="dxa"/>
            <w:tcBorders>
              <w:top w:val="single" w:color="E7E5E4" w:sz="2" w:space="0"/>
              <w:bottom w:val="single" w:color="E7E5E4" w:sz="2" w:space="0"/>
            </w:tcBorders>
            <w:vAlign w:val="top"/>
          </w:tcPr>
          <w:p w14:paraId="397FC460">
            <w:pPr>
              <w:spacing w:before="132"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E7E5E4" w:sz="2" w:space="0"/>
              <w:bottom w:val="single" w:color="E7E5E4" w:sz="2" w:space="0"/>
            </w:tcBorders>
            <w:vAlign w:val="top"/>
          </w:tcPr>
          <w:p w14:paraId="7A009740">
            <w:pPr>
              <w:pStyle w:val="20"/>
              <w:spacing w:before="112" w:line="229" w:lineRule="auto"/>
              <w:ind w:left="123" w:right="276" w:hanging="3"/>
              <w:rPr>
                <w:sz w:val="16"/>
                <w:szCs w:val="16"/>
              </w:rPr>
            </w:pPr>
            <w:r>
              <w:rPr>
                <w:color w:val="292524"/>
                <w:spacing w:val="5"/>
                <w:sz w:val="16"/>
                <w:szCs w:val="16"/>
              </w:rPr>
              <w:t>含探针软件安装、</w:t>
            </w:r>
            <w:r>
              <w:rPr>
                <w:color w:val="292524"/>
                <w:spacing w:val="8"/>
                <w:sz w:val="16"/>
                <w:szCs w:val="16"/>
              </w:rPr>
              <w:t>主机加固、白名单</w:t>
            </w:r>
            <w:r>
              <w:rPr>
                <w:color w:val="292524"/>
                <w:spacing w:val="5"/>
                <w:sz w:val="16"/>
                <w:szCs w:val="16"/>
              </w:rPr>
              <w:t>配置</w:t>
            </w:r>
          </w:p>
        </w:tc>
      </w:tr>
      <w:tr w14:paraId="59206A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13" w:hRule="atLeast"/>
        </w:trPr>
        <w:tc>
          <w:tcPr>
            <w:tcW w:w="1750" w:type="dxa"/>
            <w:tcBorders>
              <w:top w:val="single" w:color="E7E5E4" w:sz="2" w:space="0"/>
              <w:bottom w:val="single" w:color="E7E5E4" w:sz="2" w:space="0"/>
            </w:tcBorders>
            <w:vAlign w:val="top"/>
          </w:tcPr>
          <w:p w14:paraId="68B673BD">
            <w:pPr>
              <w:spacing w:before="130" w:line="190" w:lineRule="auto"/>
              <w:ind w:left="839"/>
              <w:rPr>
                <w:rFonts w:ascii="Cambria" w:hAnsi="Cambria" w:eastAsia="Cambria" w:cs="Cambria"/>
                <w:sz w:val="16"/>
                <w:szCs w:val="16"/>
              </w:rPr>
            </w:pPr>
            <w:r>
              <w:rPr>
                <w:rFonts w:ascii="Cambria" w:hAnsi="Cambria" w:eastAsia="Cambria" w:cs="Cambria"/>
                <w:color w:val="292524"/>
                <w:sz w:val="16"/>
                <w:szCs w:val="16"/>
              </w:rPr>
              <w:t>8</w:t>
            </w:r>
          </w:p>
        </w:tc>
        <w:tc>
          <w:tcPr>
            <w:tcW w:w="2624" w:type="dxa"/>
            <w:tcBorders>
              <w:top w:val="single" w:color="E7E5E4" w:sz="2" w:space="0"/>
              <w:bottom w:val="single" w:color="E7E5E4" w:sz="2" w:space="0"/>
            </w:tcBorders>
            <w:vAlign w:val="top"/>
          </w:tcPr>
          <w:p w14:paraId="4CA08611">
            <w:pPr>
              <w:pStyle w:val="20"/>
              <w:spacing w:before="113" w:line="185" w:lineRule="auto"/>
              <w:ind w:left="119"/>
              <w:rPr>
                <w:sz w:val="16"/>
                <w:szCs w:val="16"/>
              </w:rPr>
            </w:pPr>
            <w:r>
              <w:rPr>
                <w:color w:val="292524"/>
                <w:spacing w:val="9"/>
                <w:sz w:val="16"/>
                <w:szCs w:val="16"/>
              </w:rPr>
              <w:t>远程浏览工作站探针安装及加固</w:t>
            </w:r>
          </w:p>
        </w:tc>
        <w:tc>
          <w:tcPr>
            <w:tcW w:w="1750" w:type="dxa"/>
            <w:tcBorders>
              <w:top w:val="single" w:color="E7E5E4" w:sz="2" w:space="0"/>
              <w:bottom w:val="single" w:color="E7E5E4" w:sz="2" w:space="0"/>
            </w:tcBorders>
            <w:vAlign w:val="top"/>
          </w:tcPr>
          <w:p w14:paraId="7B942DE0">
            <w:pPr>
              <w:pStyle w:val="20"/>
              <w:spacing w:before="114" w:line="184" w:lineRule="auto"/>
              <w:ind w:left="797"/>
              <w:rPr>
                <w:sz w:val="16"/>
                <w:szCs w:val="16"/>
              </w:rPr>
            </w:pPr>
            <w:r>
              <w:rPr>
                <w:color w:val="292524"/>
                <w:spacing w:val="3"/>
                <w:sz w:val="16"/>
                <w:szCs w:val="16"/>
              </w:rPr>
              <w:t>套</w:t>
            </w:r>
          </w:p>
        </w:tc>
        <w:tc>
          <w:tcPr>
            <w:tcW w:w="1750" w:type="dxa"/>
            <w:tcBorders>
              <w:top w:val="single" w:color="E7E5E4" w:sz="2" w:space="0"/>
              <w:bottom w:val="single" w:color="E7E5E4" w:sz="2" w:space="0"/>
            </w:tcBorders>
            <w:vAlign w:val="top"/>
          </w:tcPr>
          <w:p w14:paraId="05FB9EEF">
            <w:pPr>
              <w:spacing w:before="132"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E7E5E4" w:sz="2" w:space="0"/>
              <w:bottom w:val="single" w:color="E7E5E4" w:sz="2" w:space="0"/>
            </w:tcBorders>
            <w:vAlign w:val="top"/>
          </w:tcPr>
          <w:p w14:paraId="2EA1AF09">
            <w:pPr>
              <w:pStyle w:val="20"/>
              <w:spacing w:before="113" w:line="230" w:lineRule="auto"/>
              <w:ind w:left="123" w:right="276" w:hanging="3"/>
              <w:rPr>
                <w:sz w:val="16"/>
                <w:szCs w:val="16"/>
              </w:rPr>
            </w:pPr>
            <w:r>
              <w:rPr>
                <w:color w:val="292524"/>
                <w:spacing w:val="5"/>
                <w:sz w:val="16"/>
                <w:szCs w:val="16"/>
              </w:rPr>
              <w:t>含探针软件安装、</w:t>
            </w:r>
            <w:r>
              <w:rPr>
                <w:color w:val="292524"/>
                <w:spacing w:val="8"/>
                <w:sz w:val="16"/>
                <w:szCs w:val="16"/>
              </w:rPr>
              <w:t>主机加固、白名单</w:t>
            </w:r>
            <w:r>
              <w:rPr>
                <w:color w:val="292524"/>
                <w:spacing w:val="5"/>
                <w:sz w:val="16"/>
                <w:szCs w:val="16"/>
              </w:rPr>
              <w:t>配置</w:t>
            </w:r>
          </w:p>
        </w:tc>
      </w:tr>
      <w:tr w14:paraId="27B68C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84" w:hRule="atLeast"/>
        </w:trPr>
        <w:tc>
          <w:tcPr>
            <w:tcW w:w="1750" w:type="dxa"/>
            <w:tcBorders>
              <w:top w:val="single" w:color="A8A29E" w:sz="12" w:space="0"/>
              <w:bottom w:val="single" w:color="D6D3D1" w:sz="8" w:space="0"/>
            </w:tcBorders>
            <w:vAlign w:val="top"/>
          </w:tcPr>
          <w:p w14:paraId="085767BC">
            <w:pPr>
              <w:spacing w:before="106" w:line="190" w:lineRule="auto"/>
              <w:ind w:left="839"/>
              <w:rPr>
                <w:rFonts w:ascii="Cambria" w:hAnsi="Cambria" w:eastAsia="Cambria" w:cs="Cambria"/>
                <w:sz w:val="16"/>
                <w:szCs w:val="16"/>
              </w:rPr>
            </w:pPr>
            <w:r>
              <w:rPr>
                <w:rFonts w:ascii="Cambria" w:hAnsi="Cambria" w:eastAsia="Cambria" w:cs="Cambria"/>
                <w:color w:val="292524"/>
                <w:sz w:val="16"/>
                <w:szCs w:val="16"/>
              </w:rPr>
              <w:t>9</w:t>
            </w:r>
          </w:p>
        </w:tc>
        <w:tc>
          <w:tcPr>
            <w:tcW w:w="2624" w:type="dxa"/>
            <w:tcBorders>
              <w:top w:val="single" w:color="A8A29E" w:sz="12" w:space="0"/>
              <w:bottom w:val="single" w:color="D6D3D1" w:sz="8" w:space="0"/>
            </w:tcBorders>
            <w:vAlign w:val="top"/>
          </w:tcPr>
          <w:p w14:paraId="232D9BEF">
            <w:pPr>
              <w:pStyle w:val="20"/>
              <w:spacing w:before="90" w:line="186" w:lineRule="auto"/>
              <w:ind w:left="119"/>
              <w:rPr>
                <w:sz w:val="16"/>
                <w:szCs w:val="16"/>
              </w:rPr>
            </w:pPr>
            <w:r>
              <w:rPr>
                <w:color w:val="292524"/>
                <w:spacing w:val="9"/>
                <w:sz w:val="16"/>
                <w:szCs w:val="16"/>
              </w:rPr>
              <w:t>通讯及告警联调测试</w:t>
            </w:r>
          </w:p>
        </w:tc>
        <w:tc>
          <w:tcPr>
            <w:tcW w:w="1750" w:type="dxa"/>
            <w:tcBorders>
              <w:top w:val="single" w:color="A8A29E" w:sz="12" w:space="0"/>
              <w:bottom w:val="single" w:color="D6D3D1" w:sz="8" w:space="0"/>
            </w:tcBorders>
            <w:vAlign w:val="top"/>
          </w:tcPr>
          <w:p w14:paraId="34B8F1E3">
            <w:pPr>
              <w:pStyle w:val="20"/>
              <w:spacing w:before="91" w:line="184" w:lineRule="auto"/>
              <w:ind w:left="797"/>
              <w:rPr>
                <w:sz w:val="16"/>
                <w:szCs w:val="16"/>
              </w:rPr>
            </w:pPr>
            <w:r>
              <w:rPr>
                <w:color w:val="292524"/>
                <w:spacing w:val="2"/>
                <w:sz w:val="16"/>
                <w:szCs w:val="16"/>
              </w:rPr>
              <w:t>次</w:t>
            </w:r>
          </w:p>
        </w:tc>
        <w:tc>
          <w:tcPr>
            <w:tcW w:w="1750" w:type="dxa"/>
            <w:tcBorders>
              <w:top w:val="single" w:color="A8A29E" w:sz="12" w:space="0"/>
              <w:bottom w:val="single" w:color="D6D3D1" w:sz="8" w:space="0"/>
            </w:tcBorders>
            <w:vAlign w:val="top"/>
          </w:tcPr>
          <w:p w14:paraId="5CDCC44C">
            <w:pPr>
              <w:spacing w:before="108" w:line="186" w:lineRule="auto"/>
              <w:ind w:left="846"/>
              <w:rPr>
                <w:rFonts w:ascii="Cambria" w:hAnsi="Cambria" w:eastAsia="Cambria" w:cs="Cambria"/>
                <w:sz w:val="16"/>
                <w:szCs w:val="16"/>
              </w:rPr>
            </w:pPr>
            <w:r>
              <w:rPr>
                <w:rFonts w:ascii="Cambria" w:hAnsi="Cambria" w:eastAsia="Cambria" w:cs="Cambria"/>
                <w:color w:val="292524"/>
                <w:sz w:val="16"/>
                <w:szCs w:val="16"/>
              </w:rPr>
              <w:t>1</w:t>
            </w:r>
          </w:p>
        </w:tc>
        <w:tc>
          <w:tcPr>
            <w:tcW w:w="1750" w:type="dxa"/>
            <w:tcBorders>
              <w:top w:val="single" w:color="A8A29E" w:sz="12" w:space="0"/>
              <w:bottom w:val="single" w:color="D6D3D1" w:sz="8" w:space="0"/>
            </w:tcBorders>
            <w:vAlign w:val="top"/>
          </w:tcPr>
          <w:p w14:paraId="09460A88">
            <w:pPr>
              <w:pStyle w:val="20"/>
              <w:spacing w:before="88" w:line="229" w:lineRule="auto"/>
              <w:ind w:left="120" w:right="276"/>
              <w:rPr>
                <w:sz w:val="16"/>
                <w:szCs w:val="16"/>
              </w:rPr>
            </w:pPr>
            <w:r>
              <w:rPr>
                <w:color w:val="292524"/>
                <w:spacing w:val="9"/>
                <w:sz w:val="16"/>
                <w:szCs w:val="16"/>
              </w:rPr>
              <w:t>含全部设备的通讯</w:t>
            </w:r>
            <w:r>
              <w:rPr>
                <w:color w:val="292524"/>
                <w:spacing w:val="5"/>
                <w:sz w:val="16"/>
                <w:szCs w:val="16"/>
              </w:rPr>
              <w:t>测试、告警验证、</w:t>
            </w:r>
            <w:r>
              <w:rPr>
                <w:color w:val="292524"/>
                <w:spacing w:val="8"/>
                <w:sz w:val="16"/>
                <w:szCs w:val="16"/>
              </w:rPr>
              <w:t>平台联调</w:t>
            </w:r>
          </w:p>
        </w:tc>
      </w:tr>
    </w:tbl>
    <w:p w14:paraId="5F7F089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合计： 31套设备接入改造+ 1次全站联调测试</w:t>
      </w:r>
    </w:p>
    <w:p w14:paraId="6A153144">
      <w:pPr>
        <w:spacing w:line="360" w:lineRule="auto"/>
        <w:ind w:firstLine="480"/>
        <w:rPr>
          <w:rFonts w:hint="eastAsia" w:ascii="宋体" w:hAnsi="宋体" w:eastAsia="宋体" w:cs="宋体"/>
          <w:sz w:val="24"/>
          <w:szCs w:val="24"/>
        </w:rPr>
      </w:pPr>
    </w:p>
    <w:p w14:paraId="1057412D">
      <w:pPr>
        <w:spacing w:line="360" w:lineRule="auto"/>
        <w:ind w:firstLine="480"/>
        <w:outlineLvl w:val="3"/>
        <w:rPr>
          <w:rFonts w:hint="eastAsia" w:ascii="宋体" w:hAnsi="宋体" w:eastAsia="宋体" w:cs="宋体"/>
          <w:sz w:val="24"/>
          <w:szCs w:val="24"/>
        </w:rPr>
      </w:pPr>
      <w:r>
        <w:rPr>
          <w:rFonts w:hint="eastAsia" w:ascii="宋体" w:hAnsi="宋体" w:cs="宋体"/>
          <w:sz w:val="24"/>
          <w:szCs w:val="24"/>
          <w:lang w:val="en-US" w:eastAsia="zh-CN"/>
        </w:rPr>
        <w:t>2.3.3</w:t>
      </w:r>
      <w:r>
        <w:rPr>
          <w:rFonts w:hint="eastAsia" w:ascii="宋体" w:hAnsi="宋体" w:eastAsia="宋体" w:cs="宋体"/>
          <w:sz w:val="24"/>
          <w:szCs w:val="24"/>
        </w:rPr>
        <w:t>工程边界说明</w:t>
      </w:r>
    </w:p>
    <w:p w14:paraId="4ECFDA1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工程范围内（施工方负责）：</w:t>
      </w:r>
    </w:p>
    <w:p w14:paraId="5262814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全部31套目标设备上的探针软件安装</w:t>
      </w:r>
    </w:p>
    <w:p w14:paraId="3DCA7DF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主机加固（含账号策略、端口管控、服务最小化、安全补丁）</w:t>
      </w:r>
    </w:p>
    <w:p w14:paraId="02F916E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白名单配置（四类白名单：网络连接、服务端口、关键文件/目录、危险操作命令）</w:t>
      </w:r>
    </w:p>
    <w:p w14:paraId="2B04E9E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通讯联调测试及告警验证测试</w:t>
      </w:r>
    </w:p>
    <w:p w14:paraId="7D61D77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全套竣工资料的编制与提交</w:t>
      </w:r>
    </w:p>
    <w:p w14:paraId="3D1B280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工程范围外（业主方配合）：</w:t>
      </w:r>
    </w:p>
    <w:p w14:paraId="6D4CDC9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提供目标设备操作系统账号和密码（或提供专职运维人员配合操作）</w:t>
      </w:r>
    </w:p>
    <w:p w14:paraId="6E9BC9B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提供网络安全监测装置的管理访问权限（用于联调测试）</w:t>
      </w:r>
    </w:p>
    <w:p w14:paraId="4B280A2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提供换流站网络拓扑图及IP地址规划文档</w:t>
      </w:r>
    </w:p>
    <w:p w14:paraId="13D8DD0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安排检修窗口并提供运维人员全程陪同</w:t>
      </w:r>
    </w:p>
    <w:p w14:paraId="18C7CC2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参与白名单联合审核</w:t>
      </w:r>
    </w:p>
    <w:p w14:paraId="06E7676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参与联调测试并签字确认</w:t>
      </w:r>
    </w:p>
    <w:p w14:paraId="464F4FA8">
      <w:pPr>
        <w:spacing w:line="360" w:lineRule="auto"/>
        <w:ind w:firstLine="480"/>
        <w:outlineLvl w:val="3"/>
        <w:rPr>
          <w:rFonts w:hint="eastAsia" w:ascii="宋体" w:hAnsi="宋体" w:eastAsia="宋体" w:cs="宋体"/>
          <w:sz w:val="24"/>
          <w:szCs w:val="24"/>
        </w:rPr>
      </w:pPr>
      <w:r>
        <w:rPr>
          <w:rFonts w:hint="eastAsia" w:ascii="宋体" w:hAnsi="宋体" w:cs="宋体"/>
          <w:sz w:val="24"/>
          <w:szCs w:val="24"/>
          <w:lang w:val="en-US" w:eastAsia="zh-CN"/>
        </w:rPr>
        <w:t>2.3</w:t>
      </w:r>
      <w:r>
        <w:rPr>
          <w:rFonts w:hint="eastAsia" w:ascii="宋体" w:hAnsi="宋体" w:eastAsia="宋体" w:cs="宋体"/>
          <w:sz w:val="24"/>
          <w:szCs w:val="24"/>
        </w:rPr>
        <w:t>.4 工程量复核说明</w:t>
      </w:r>
    </w:p>
    <w:p w14:paraId="00AFF46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施工前，我方将与业主方对以上工程量清单进行现场复核，若实际设备数量与规范书存在出入，须以双方书面确认的现场复核结果为准，并按实际工程量调整施工计划。</w:t>
      </w:r>
    </w:p>
    <w:p w14:paraId="626E8FD0">
      <w:pPr>
        <w:spacing w:line="360" w:lineRule="auto"/>
        <w:ind w:firstLine="480"/>
        <w:rPr>
          <w:rFonts w:hint="eastAsia" w:ascii="宋体" w:hAnsi="宋体" w:eastAsia="宋体" w:cs="宋体"/>
          <w:sz w:val="24"/>
          <w:szCs w:val="24"/>
        </w:rPr>
      </w:pPr>
      <w:r>
        <w:rPr>
          <w:rFonts w:hint="eastAsia" w:ascii="宋体" w:hAnsi="宋体" w:cs="宋体"/>
          <w:sz w:val="24"/>
          <w:szCs w:val="24"/>
          <w:lang w:val="en-US" w:eastAsia="zh-CN"/>
        </w:rPr>
        <w:t>2.3.5</w:t>
      </w:r>
      <w:r>
        <w:rPr>
          <w:rFonts w:hint="eastAsia" w:ascii="宋体" w:hAnsi="宋体" w:eastAsia="宋体" w:cs="宋体"/>
          <w:sz w:val="24"/>
          <w:szCs w:val="24"/>
        </w:rPr>
        <w:t xml:space="preserve"> 施工边界说明</w:t>
      </w:r>
    </w:p>
    <w:p w14:paraId="3FE504D5">
      <w:pPr>
        <w:spacing w:line="360" w:lineRule="auto"/>
        <w:ind w:firstLine="480"/>
        <w:outlineLvl w:val="4"/>
        <w:rPr>
          <w:rFonts w:hint="eastAsia" w:ascii="宋体" w:hAnsi="宋体" w:eastAsia="宋体" w:cs="宋体"/>
          <w:sz w:val="24"/>
          <w:szCs w:val="24"/>
        </w:rPr>
      </w:pPr>
      <w:r>
        <w:rPr>
          <w:rFonts w:hint="eastAsia" w:ascii="宋体" w:hAnsi="宋体" w:cs="宋体"/>
          <w:sz w:val="24"/>
          <w:szCs w:val="24"/>
          <w:lang w:val="en-US" w:eastAsia="zh-CN"/>
        </w:rPr>
        <w:t>2.3.5.1</w:t>
      </w:r>
      <w:r>
        <w:rPr>
          <w:rFonts w:hint="eastAsia" w:ascii="宋体" w:hAnsi="宋体" w:eastAsia="宋体" w:cs="宋体"/>
          <w:sz w:val="24"/>
          <w:szCs w:val="24"/>
        </w:rPr>
        <w:t>本次工程包含的内容</w:t>
      </w:r>
    </w:p>
    <w:p w14:paraId="3E1729E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本次工程实施范围明确包括以下内容：</w:t>
      </w:r>
    </w:p>
    <w:p w14:paraId="5144C2E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探针安装与配置：31套故障录波及稳控装置的安全监测探针采购、安装、初始化配置及与监测平台的数据对接。</w:t>
      </w:r>
    </w:p>
    <w:p w14:paraId="4086E09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主机安全加固：上述31套装置及相关工控主机的账号管理、服务精简、补丁评估、审计策略配置。</w:t>
      </w:r>
    </w:p>
    <w:p w14:paraId="282F2BF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白名单策略部署：进程白名单、端口白名单、  IP白名单、 USB白名单四项策略的配置与验证。</w:t>
      </w:r>
    </w:p>
    <w:p w14:paraId="10D32F2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网络边界设备接入：站内隔离装置、防火墙完成与网络安全监测平台的联动配置。</w:t>
      </w:r>
    </w:p>
    <w:p w14:paraId="26A4243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联调测试与验收：通讯测试、告警测试、功能验证及竣工验收资料编制。</w:t>
      </w:r>
    </w:p>
    <w:p w14:paraId="42CEB64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6. 技术文档编制：施工记录、加固报告、测试报告、验收资料等全套技术文档。</w:t>
      </w:r>
    </w:p>
    <w:p w14:paraId="433A5E8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7. 远程核查支持：在质保期内提供支持监管机构远程核查的技术配合服务。</w:t>
      </w:r>
    </w:p>
    <w:p w14:paraId="0882AFB0">
      <w:pPr>
        <w:spacing w:line="360" w:lineRule="auto"/>
        <w:ind w:firstLine="480"/>
        <w:outlineLvl w:val="4"/>
        <w:rPr>
          <w:rFonts w:hint="eastAsia" w:ascii="宋体" w:hAnsi="宋体" w:eastAsia="宋体" w:cs="宋体"/>
          <w:sz w:val="24"/>
          <w:szCs w:val="24"/>
        </w:rPr>
      </w:pPr>
      <w:r>
        <w:rPr>
          <w:rFonts w:hint="eastAsia" w:ascii="宋体" w:hAnsi="宋体" w:cs="宋体"/>
          <w:sz w:val="24"/>
          <w:szCs w:val="24"/>
          <w:lang w:val="en-US" w:eastAsia="zh-CN"/>
        </w:rPr>
        <w:t>2.3.5.2</w:t>
      </w:r>
      <w:r>
        <w:rPr>
          <w:rFonts w:hint="eastAsia" w:ascii="宋体" w:hAnsi="宋体" w:eastAsia="宋体" w:cs="宋体"/>
          <w:sz w:val="24"/>
          <w:szCs w:val="24"/>
        </w:rPr>
        <w:t>本次工程不包含的内容</w:t>
      </w:r>
    </w:p>
    <w:p w14:paraId="4157637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以下内容不在本次工程实施范围之内，如后续有需要，须另行立项或签订补充协议：</w:t>
      </w:r>
    </w:p>
    <w:p w14:paraId="4F45468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监测平台本体建设：网络安全监测平台的软件平台建设、服务器采购及机房配套不在本次范围，由业主侧负责。</w:t>
      </w:r>
    </w:p>
    <w:p w14:paraId="57B158D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站内其他系统改造：除故障录波及稳控装置外，其他二次系统（如保护装置、测控装置）的安全改造不在本次范围。</w:t>
      </w:r>
    </w:p>
    <w:p w14:paraId="10F0B0C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网络通道建设：站内新增网络布线、光缆敷设等基础网络改造工程不在本次范围（利用现有通信资源）。</w:t>
      </w:r>
    </w:p>
    <w:p w14:paraId="24CE0C6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设备替换升级：本次工程为安全接入改造，不涉及故障录波及稳控装置本体的更换或功能升级。</w:t>
      </w:r>
    </w:p>
    <w:p w14:paraId="77C718F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培训服务：除竣工移交时的基本操作说明外，系统性安全运维培训不在本次合同范围内。</w:t>
      </w:r>
    </w:p>
    <w:p w14:paraId="5624556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5FCBFE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2.3.1</w:t>
      </w:r>
      <w:r>
        <w:rPr>
          <w:rFonts w:hint="eastAsia" w:ascii="宋体" w:hAnsi="宋体" w:eastAsia="宋体"/>
          <w:sz w:val="24"/>
        </w:rPr>
        <w:t>项目来源</w:t>
      </w:r>
    </w:p>
    <w:p w14:paraId="452DC1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本项目依据以下政策文件立项：</w:t>
      </w:r>
    </w:p>
    <w:p w14:paraId="47E83A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一是《国网设备部关于印发公司电网生产技术改造和设备大修原则的通知》（设备计划〔2020〕 72号），该通知明确了电力监控系统网络安全改造属于技术改造工程范畴，为本项目提供了资金来源和立项依据。</w:t>
      </w:r>
    </w:p>
    <w:p w14:paraId="23685E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二是《国调中心关于开展电力监控系统网络安全监测能力验证评估的通知》（调网安〔2022〕 7号），该通知要求各省（区）调度机构组织所辖厂站开展网络安全监测能力专项验证，天山换流站被纳入评估范围，需完成监测接入改造。</w:t>
      </w:r>
    </w:p>
    <w:p w14:paraId="6B491F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三是国家电网公司《厂站侧网络安全监测接入原则及监测对象》，明确了故障录波装置、电能量采集终端、五防安全主机、隔离装置、防火墙等设备作为重点监测对象的接入技术要求，为本项目的技术路线提供了规范指引。</w:t>
      </w:r>
    </w:p>
    <w:p w14:paraId="1B5475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sz w:val="24"/>
          <w:lang w:val="en-US" w:eastAsia="zh-CN"/>
        </w:rPr>
        <w:t>2.3.2</w:t>
      </w:r>
      <w:r>
        <w:rPr>
          <w:rFonts w:hint="eastAsia" w:ascii="宋体" w:hAnsi="宋体" w:eastAsia="宋体"/>
          <w:sz w:val="24"/>
        </w:rPr>
        <w:t>项目必要性</w:t>
      </w:r>
    </w:p>
    <w:p w14:paraId="0B01F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一、弥补安全监测盲区的迫切需要。天山换流站现有网络安全防护体系以边界防护为主，站内工控设备运行状态缺乏实时监测， 一旦发生内部威胁或边界突破，难以及时发现和处置。本项目通过在31套关键设备上部署探针软件、建立白名单机制，实现对设备运行状态、网络访问行为、危险操作指令的实时监测，有效填补监测盲区。</w:t>
      </w:r>
    </w:p>
    <w:p w14:paraId="2FA8E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二、满足上级监管要求的合规需要。调网安〔2022〕 7号文要求完成监测能力验证，未按期完成的单位将面临考核和整改压力。本项目的实施是天山换流站满足上级合规要求的必要举措。</w:t>
      </w:r>
    </w:p>
    <w:p w14:paraId="2584F9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三、支撑直流输电安全稳定运行的战略需要。天山换流站作为”疆电外送”关键节点，其二次系统的安全直接关系到直流通道稳定性。通过本项目建立的监测能力，可为运维人员提供安全态势感知依据，降低网络安全事件引发电力事故的风险。</w:t>
      </w:r>
    </w:p>
    <w:p w14:paraId="6EB947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四、促进网络安全管理精细化的发展需要。通过白名单”最小化”原则的落地，推动天山换流站建立规范化、精细化的网络安全管理机制，为后续持续优化安全防护水平奠定坚实基础。</w:t>
      </w:r>
    </w:p>
    <w:p w14:paraId="78768E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sz w:val="24"/>
        </w:rPr>
        <w:t>综上所述，实施国网新疆超高压分公司±800kV天山换流站故障录波等装置接入网络安全监测平台项目，既是落实国家和国网公司网络安全部署要求的政治任务，更是保障天山换流站乃至整个”疆电外送”通道安全稳定运行的现实需要，其重要性不言而喻</w:t>
      </w:r>
    </w:p>
    <w:p w14:paraId="47A67792">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6E001C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2.4.1</w:t>
      </w: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安全可靠目标</w:t>
      </w:r>
    </w:p>
    <w:p w14:paraId="3BACC3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本项目服务的首要目标是安全可靠。安全性体现在两个层面：  一是施工安全，确保全部施工过程严格遵守换流站现场安全规程，实现人身安全零事故、设备损坏零事故；二是信息安全，确保探针软件安装和主机加固操作不引入新的安全风险，不降低目标设备的安全防护水平。</w:t>
      </w:r>
    </w:p>
    <w:p w14:paraId="03F89F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可靠性目标要求探针软件部署后稳定持续运行，不因探针故障影响目标设备主业务功能；白名单配置准确，误报率和漏报率均控制在可接受范围内；告警上送链路可靠，事件信息完整无丢失。具体量化指标：探针软件年度可用率≥99.9%   （即全年非计划停运时间不超过8.76小时）；告警上送成功率≥99.9%；白名单误报率≤1%。</w:t>
      </w:r>
    </w:p>
    <w:p w14:paraId="11288A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2.4.2</w:t>
      </w: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按时交付目标</w:t>
      </w:r>
    </w:p>
    <w:p w14:paraId="545EAD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我方承诺严格按照合同规定的工期节点完成各阶段工作。具体承诺：</w:t>
      </w:r>
    </w:p>
    <w:p w14:paraId="30B296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（1）合同签订后5个工作日内，提交施工作业面方案（初稿）；</w:t>
      </w:r>
    </w:p>
    <w:p w14:paraId="68D957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（2）现场勘查完成后10个工作日内，提交设备信息台账和施工计划（含各设备施工窗口安排）；</w:t>
      </w:r>
    </w:p>
    <w:p w14:paraId="42B9D5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（3）在业主方确认的工期内，完成全部31套设备的探针部署、主机加固和白名单配置；</w:t>
      </w:r>
    </w:p>
    <w:p w14:paraId="2A5936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（4）现场施工完成后5个工作日内，完成通讯及告警联调测试；</w:t>
      </w:r>
    </w:p>
    <w:p w14:paraId="23ADFD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（5）联调测试通过后3个工作日内，提交完整竣工验收资料，申请竣工验收。</w:t>
      </w:r>
    </w:p>
    <w:p w14:paraId="1722B5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若因业主方原因（如检修窗口延期、设备临时故障等）导致工期顺延，我方将及时调整计划并书面通知业主方，确保在条件具备后尽快恢复施工进度。。</w:t>
      </w:r>
    </w:p>
    <w:p w14:paraId="1A7AF7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p w14:paraId="430E08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2.5.1</w:t>
      </w:r>
      <w:r>
        <w:rPr>
          <w:rFonts w:hint="eastAsia" w:ascii="宋体" w:hAnsi="宋体" w:eastAsia="宋体" w:cs="宋体"/>
          <w:b w:val="0"/>
          <w:bCs/>
          <w:color w:val="000000" w:themeColor="text1"/>
          <w:sz w:val="24"/>
          <w:szCs w:val="28"/>
          <w:highlight w:val="none"/>
          <w14:textFill>
            <w14:solidFill>
              <w14:schemeClr w14:val="tx1"/>
            </w14:solidFill>
          </w14:textFill>
        </w:rPr>
        <w:t>施工服务</w:t>
      </w:r>
    </w:p>
    <w:p w14:paraId="5C297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（一）现场勘查服务</w:t>
      </w:r>
    </w:p>
    <w:p w14:paraId="0C7B0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合同签订后，我方将在约定时间内赴天山换流站开展现场勘查，主要工作包括：核实31套目标设备的实际位置和安装状态；收集设备操作系统版本、  IP地址、网络配置等技术信息；核查施工通道和安全条件；与换流站运维人员对接，了解检修计划和特殊运行要求；形成现场勘查报告提交业主方。</w:t>
      </w:r>
    </w:p>
    <w:p w14:paraId="12215D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（二）施工前技术交底</w:t>
      </w:r>
    </w:p>
    <w:p w14:paraId="533293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在正式施工前，我方将组织技术交底会议，向业主方运维人员详细说明：施工技术方案和操作步骤；白名单配置原则和审核流程；可能影响设备功能的操作环节及防护措施；施工应急预案；验收资料清单和交付要求。技术交底须经业主方签字确认，形成书面记录。</w:t>
      </w:r>
    </w:p>
    <w:p w14:paraId="4BAF9A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（三）标准化施工服务</w:t>
      </w:r>
    </w:p>
    <w:p w14:paraId="094CFD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所有现场施工按照审定的标准化作业卡逐步执行，每步操作有对应的验证和记录要求，确保操作过程可追溯。施工人员严格执行”一人操作、 一人监护”制度，重要操作须经运维人员确认。施工全过程留存照片记录（含安装前状态、安装过程、安装后验证）。</w:t>
      </w:r>
    </w:p>
    <w:p w14:paraId="2545A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（四）竣工整体交付</w:t>
      </w:r>
    </w:p>
    <w:p w14:paraId="646486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施工完成后，我方负责：组织通讯及告警联调测试，获得测试通过确认；整理全套竣工资料（见第十二章）；配合业主方开展竣工验收检查；完成工程移交手续。</w:t>
      </w:r>
    </w:p>
    <w:p w14:paraId="10368C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2.5.2 技术支持服务</w:t>
      </w:r>
    </w:p>
    <w:p w14:paraId="652E9A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（一）项目实施期间的技术支持</w:t>
      </w:r>
    </w:p>
    <w:p w14:paraId="70D43B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在项目实施过程中，若遇到技术问题（如特定型号设备探针安装异常、白名单规则误报等），我方提供以下技术支持：</w:t>
      </w:r>
    </w:p>
    <w:p w14:paraId="640C0F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工作时间（9:00-18:00）：接到报告后1小时内响应，提供解决方案；</w:t>
      </w:r>
    </w:p>
    <w:p w14:paraId="4B359A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工作时间外：接到报告后2小时内响应，重大问题4小时内到场（或远程处置）；</w:t>
      </w:r>
    </w:p>
    <w:p w14:paraId="51FEC1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无法当场解决的复杂技术问题：提交厂商协调，  48小时内给出处置方案。</w:t>
      </w:r>
    </w:p>
    <w:p w14:paraId="16C9BC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（二）远程技术支持</w:t>
      </w:r>
    </w:p>
    <w:p w14:paraId="65CED6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探针部署完成后，我方提供远程技术咨询支持，协助业主方运维人员处理探针运行过程中遇到的配置问题、告警理解问题等，远程支持响应时间不超过4小时。</w:t>
      </w:r>
    </w:p>
    <w:p w14:paraId="016366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2.5.3 培训服务</w:t>
      </w:r>
    </w:p>
    <w:p w14:paraId="499A6D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为确保业主方运维人员能够独立操作和维护本次接入改造成果，我方将提供以下培训服务：</w:t>
      </w:r>
    </w:p>
    <w:p w14:paraId="27BBF2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（一）操作培训</w:t>
      </w:r>
    </w:p>
    <w:p w14:paraId="5D26B4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1B4867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F9693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2CE54E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培训内容涵盖：</w:t>
      </w:r>
    </w:p>
    <w:p w14:paraId="474F06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网络安全监测平台的基本操作（告警查看、设备状态查询、报表导出）；</w:t>
      </w:r>
    </w:p>
    <w:p w14:paraId="015F0E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白名单管理操作（白名单条目的增删改查、变更审批流程）；</w:t>
      </w:r>
    </w:p>
    <w:p w14:paraId="19C00A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探针运行状态的日常检查方法（如何判断探针是否正常运行）；</w:t>
      </w:r>
    </w:p>
    <w:p w14:paraId="030D20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常见告警类型的识别和初步处置建议。</w:t>
      </w:r>
    </w:p>
    <w:p w14:paraId="2BBB4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培训方式：集中课堂培训（理论讲授+演示操作） + 现场实操练习。培训时间：竣工验收前完成，培训学时不少于4学时。培训结束后提供培训教材（电子版）。</w:t>
      </w:r>
    </w:p>
    <w:p w14:paraId="07D91C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（二）资料移交</w:t>
      </w:r>
    </w:p>
    <w:p w14:paraId="3A408B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项目竣工时，向业主方移交以下技术资料：全套竣工归档资料、白名单配置清单（电子版）、探针软件操作手册、主机加固操作记录（含加固前后对比）、测试报告。</w:t>
      </w:r>
    </w:p>
    <w:p w14:paraId="7B5F99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2.5.4 质保服务</w:t>
      </w:r>
    </w:p>
    <w:p w14:paraId="2463B6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（一）质保期承诺</w:t>
      </w:r>
    </w:p>
    <w:p w14:paraId="31CADE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自竣工验收合格之日起，我方提供不少于12个月的质保期服务。质保期内，因我方施工原因导致的探针软件异常、白名单配置错误、主机加固引起的功能故障等问题，我方免费负责修复。</w:t>
      </w:r>
    </w:p>
    <w:p w14:paraId="6CBF2B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（二）质保期服务响应</w:t>
      </w:r>
    </w:p>
    <w:p w14:paraId="140A59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质保期内，业主方报告质保问题后：</w:t>
      </w:r>
    </w:p>
    <w:p w14:paraId="5C280C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一般问题： 8小时内响应， 48小时内解决；</w:t>
      </w:r>
    </w:p>
    <w:p w14:paraId="73C110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 影响设备正常运行的紧急问题：  2小时内响应， 24小时内解决（必要时派员到场）。</w:t>
      </w:r>
    </w:p>
    <w:p w14:paraId="50264B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（三）白名单维护支持</w:t>
      </w:r>
    </w:p>
    <w:p w14:paraId="2F96A0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质保期内，若因换流站设备升级、业务变化等原因需要更新白名单配置，我方提供免费的白名单更新技术支持服务，确保白名单配置始终与实际运行状态一致。</w:t>
      </w:r>
    </w:p>
    <w:p w14:paraId="77CF7F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（四）软件版本升级支持</w:t>
      </w:r>
    </w:p>
    <w:p w14:paraId="0B20F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cs="宋体"/>
          <w:b w:val="0"/>
          <w:bCs/>
          <w:color w:val="000000" w:themeColor="text1"/>
          <w:sz w:val="24"/>
          <w:szCs w:val="28"/>
          <w:highlight w:val="none"/>
          <w14:textFill>
            <w14:solidFill>
              <w14:schemeClr w14:val="tx1"/>
            </w14:solidFill>
          </w14:textFill>
        </w:rPr>
        <w:t>若探针软件厂商在质保期内发布安全补丁或新版本，我方将及时通知业主方，并提供版本升级的技术方案和实施支持，确保探针软件保持在安全可用状态。</w:t>
      </w:r>
    </w:p>
    <w:p w14:paraId="251B76F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15FBD79E">
      <w:pPr>
        <w:pStyle w:val="4"/>
        <w:numPr>
          <w:ilvl w:val="2"/>
          <w:numId w:val="6"/>
        </w:numPr>
        <w:spacing w:line="360" w:lineRule="auto"/>
        <w:ind w:left="720" w:leftChars="0" w:hanging="720" w:firstLineChars="0"/>
        <w:rPr>
          <w:rFonts w:hint="eastAsia" w:ascii="宋体" w:hAnsi="宋体" w:eastAsia="宋体" w:cs="宋体"/>
          <w:sz w:val="24"/>
          <w:szCs w:val="24"/>
        </w:rPr>
      </w:pPr>
      <w:bookmarkStart w:id="8" w:name="_Toc6007"/>
      <w:bookmarkStart w:id="9" w:name="_Toc589"/>
      <w:bookmarkStart w:id="10" w:name="_Toc20220"/>
      <w:r>
        <w:rPr>
          <w:rFonts w:hint="eastAsia" w:ascii="宋体" w:hAnsi="宋体" w:eastAsia="宋体" w:cs="宋体"/>
          <w:sz w:val="24"/>
          <w:szCs w:val="24"/>
        </w:rPr>
        <w:t>工作进度</w:t>
      </w:r>
      <w:bookmarkEnd w:id="8"/>
      <w:bookmarkEnd w:id="9"/>
      <w:r>
        <w:rPr>
          <w:rFonts w:hint="eastAsia" w:ascii="宋体" w:hAnsi="宋体" w:eastAsia="宋体" w:cs="宋体"/>
          <w:sz w:val="24"/>
          <w:szCs w:val="24"/>
        </w:rPr>
        <w:t>安排</w:t>
      </w:r>
      <w:bookmarkEnd w:id="10"/>
    </w:p>
    <w:p w14:paraId="643A1FA2">
      <w:pPr>
        <w:pStyle w:val="18"/>
        <w:spacing w:line="360" w:lineRule="auto"/>
        <w:rPr>
          <w:rFonts w:hint="eastAsia" w:ascii="宋体" w:hAnsi="宋体" w:eastAsia="宋体" w:cs="宋体"/>
          <w:sz w:val="24"/>
          <w:szCs w:val="24"/>
        </w:rPr>
      </w:pPr>
      <w:r>
        <w:rPr>
          <w:rFonts w:hint="eastAsia" w:ascii="宋体" w:hAnsi="宋体" w:eastAsia="宋体" w:cs="宋体"/>
          <w:sz w:val="24"/>
          <w:szCs w:val="24"/>
        </w:rPr>
        <w:t>本项目计划工期分为三个阶段：施工准备阶段、现场实施阶段、测试验收阶段，总工期按合同约定执行。以下以合同签订日为”第0天” ，给出各阶段工作的时间安排参考（实际工期以合同为准，以下为典型工期示例）。</w:t>
      </w:r>
    </w:p>
    <w:p w14:paraId="4E30EEFF">
      <w:pPr>
        <w:pStyle w:val="18"/>
        <w:spacing w:line="360" w:lineRule="auto"/>
        <w:rPr>
          <w:rFonts w:hint="eastAsia" w:ascii="宋体" w:hAnsi="宋体" w:eastAsia="宋体" w:cs="宋体"/>
          <w:sz w:val="24"/>
          <w:szCs w:val="24"/>
        </w:rPr>
      </w:pPr>
      <w:r>
        <w:rPr>
          <w:rFonts w:hint="eastAsia" w:ascii="宋体" w:hAnsi="宋体" w:cs="宋体"/>
          <w:sz w:val="24"/>
          <w:szCs w:val="24"/>
          <w:lang w:val="en-US" w:eastAsia="zh-CN"/>
        </w:rPr>
        <w:t>(1)</w:t>
      </w:r>
      <w:r>
        <w:rPr>
          <w:rFonts w:hint="eastAsia" w:ascii="宋体" w:hAnsi="宋体" w:eastAsia="宋体" w:cs="宋体"/>
          <w:sz w:val="24"/>
          <w:szCs w:val="24"/>
        </w:rPr>
        <w:t>第一阶段：施工准备阶段（第1</w:t>
      </w:r>
      <w:r>
        <w:rPr>
          <w:rFonts w:hint="eastAsia" w:ascii="宋体" w:hAnsi="宋体" w:cs="宋体"/>
          <w:sz w:val="24"/>
          <w:szCs w:val="24"/>
          <w:lang w:val="en-US" w:eastAsia="zh-CN"/>
        </w:rPr>
        <w:t>-</w:t>
      </w:r>
      <w:r>
        <w:rPr>
          <w:rFonts w:hint="eastAsia" w:ascii="宋体" w:hAnsi="宋体" w:eastAsia="宋体" w:cs="宋体"/>
          <w:sz w:val="24"/>
          <w:szCs w:val="24"/>
        </w:rPr>
        <w:t>15天）</w:t>
      </w:r>
    </w:p>
    <w:p w14:paraId="3CEC64ED">
      <w:pPr>
        <w:pStyle w:val="18"/>
        <w:spacing w:line="360" w:lineRule="auto"/>
        <w:rPr>
          <w:rFonts w:hint="eastAsia" w:ascii="宋体" w:hAnsi="宋体" w:eastAsia="宋体" w:cs="宋体"/>
          <w:sz w:val="24"/>
          <w:szCs w:val="24"/>
        </w:rPr>
      </w:pPr>
      <w:r>
        <w:rPr>
          <w:rFonts w:hint="eastAsia" w:ascii="宋体" w:hAnsi="宋体" w:cs="宋体"/>
          <w:sz w:val="24"/>
          <w:szCs w:val="24"/>
          <w:lang w:val="en-US" w:eastAsia="zh-CN"/>
        </w:rPr>
        <w:t>1)</w:t>
      </w:r>
      <w:r>
        <w:rPr>
          <w:rFonts w:hint="eastAsia" w:ascii="宋体" w:hAnsi="宋体" w:eastAsia="宋体" w:cs="宋体"/>
          <w:sz w:val="24"/>
          <w:szCs w:val="24"/>
        </w:rPr>
        <w:t>阶段工作内容</w:t>
      </w:r>
    </w:p>
    <w:p w14:paraId="7E4A3982">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第1-5天：项目启动与资料收集</w:t>
      </w:r>
    </w:p>
    <w:p w14:paraId="7229C54E">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项目经理组建项目团队，召开项目启动会，明确分工和工作计划；</w:t>
      </w:r>
    </w:p>
    <w:p w14:paraId="6F2B5096">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向业主方提交项目组成员名单及资质证明；</w:t>
      </w:r>
    </w:p>
    <w:p w14:paraId="37C892F0">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向业主方提交施工进站申请和人员安全培训申请；</w:t>
      </w:r>
    </w:p>
    <w:p w14:paraId="3AB6341B">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收集业主方提供的技术资料（网络拓扑图、设备清单、现行安全策略等）；</w:t>
      </w:r>
    </w:p>
    <w:p w14:paraId="4F2D1585">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着手编制施工作业面方案（初稿）并提交业主方审核。</w:t>
      </w:r>
    </w:p>
    <w:p w14:paraId="4F6C4B8E">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第6-10天：现场勘查</w:t>
      </w:r>
    </w:p>
    <w:p w14:paraId="6BF3B10F">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组织现场勘查小组赴天山换流站开展踏勘；</w:t>
      </w:r>
    </w:p>
    <w:p w14:paraId="47492A86">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核实31套目标设备信息（型号、操作系统、位置、  IP地址），建立设备信息台账；</w:t>
      </w:r>
    </w:p>
    <w:p w14:paraId="75E65ABA">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绘制施工安全作业地图，识别高风险区域；</w:t>
      </w:r>
    </w:p>
    <w:p w14:paraId="5D5D9A09">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与换流站运维人员对接检修计划，确定各设备施工窗口；</w:t>
      </w:r>
    </w:p>
    <w:p w14:paraId="146C4868">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形成现场勘查报告提交业主方。</w:t>
      </w:r>
    </w:p>
    <w:p w14:paraId="6AFDDB58">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第11-15天：方案评审与准备</w:t>
      </w:r>
    </w:p>
    <w:p w14:paraId="50E7F374">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根据勘查结果完善施工作业面方案、标准化作业卡；</w:t>
      </w:r>
    </w:p>
    <w:p w14:paraId="7155D400">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组织方案评审会（业主方参与），形成审定版施工方案；</w:t>
      </w:r>
    </w:p>
    <w:p w14:paraId="33CEF2E4">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根据设备信息台账准备对应版本探针软件包，完成实验室预验证；</w:t>
      </w:r>
    </w:p>
    <w:p w14:paraId="7E30537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完成施工人员进站手续办理和安全教育培训；</w:t>
      </w:r>
    </w:p>
    <w:p w14:paraId="429959EC">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准备施工工器具、测试设备、安全防护用品。</w:t>
      </w:r>
    </w:p>
    <w:p w14:paraId="438129EB">
      <w:pPr>
        <w:pStyle w:val="18"/>
        <w:spacing w:line="360" w:lineRule="auto"/>
        <w:rPr>
          <w:rFonts w:hint="eastAsia" w:ascii="宋体" w:hAnsi="宋体" w:eastAsia="宋体" w:cs="宋体"/>
          <w:sz w:val="24"/>
          <w:szCs w:val="24"/>
        </w:rPr>
      </w:pPr>
      <w:r>
        <w:rPr>
          <w:rFonts w:hint="eastAsia" w:ascii="宋体" w:hAnsi="宋体" w:eastAsia="宋体" w:cs="宋体"/>
          <w:sz w:val="24"/>
          <w:szCs w:val="24"/>
        </w:rPr>
        <w:t>阶段成果： 设备信息台账（31套）、施工作业面方案（审定版）、标准化作业卡（审定版）、探针版本兼容性验证报告、施工人员进站证明。</w:t>
      </w:r>
    </w:p>
    <w:p w14:paraId="1206DBEE">
      <w:pPr>
        <w:pStyle w:val="18"/>
        <w:spacing w:line="360" w:lineRule="auto"/>
        <w:rPr>
          <w:rFonts w:hint="eastAsia" w:ascii="宋体" w:hAnsi="宋体" w:eastAsia="宋体" w:cs="宋体"/>
          <w:sz w:val="24"/>
          <w:szCs w:val="24"/>
        </w:rPr>
      </w:pPr>
      <w:r>
        <w:rPr>
          <w:rFonts w:hint="eastAsia" w:ascii="宋体" w:hAnsi="宋体" w:eastAsia="宋体" w:cs="宋体"/>
          <w:sz w:val="24"/>
          <w:szCs w:val="24"/>
        </w:rPr>
        <w:t>阶段责任人</w:t>
      </w:r>
      <w:r>
        <w:rPr>
          <w:rFonts w:hint="eastAsia" w:ascii="宋体" w:hAnsi="宋体" w:cs="宋体"/>
          <w:sz w:val="24"/>
          <w:szCs w:val="24"/>
          <w:lang w:val="en-US" w:eastAsia="zh-CN"/>
        </w:rPr>
        <w:t>:</w:t>
      </w:r>
      <w:r>
        <w:rPr>
          <w:rFonts w:hint="eastAsia" w:ascii="宋体" w:hAnsi="宋体" w:eastAsia="宋体" w:cs="宋体"/>
          <w:sz w:val="24"/>
          <w:szCs w:val="24"/>
        </w:rPr>
        <w:t>项目经理（整体协调）、技术负责人（方案编制与评审）、安全员（进站手续与安全培训）。</w:t>
      </w:r>
    </w:p>
    <w:p w14:paraId="2ECB0CC5">
      <w:pPr>
        <w:pStyle w:val="18"/>
        <w:spacing w:line="360" w:lineRule="auto"/>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hint="eastAsia" w:ascii="宋体" w:hAnsi="宋体" w:eastAsia="宋体" w:cs="宋体"/>
          <w:sz w:val="24"/>
          <w:szCs w:val="24"/>
        </w:rPr>
        <w:t>第二阶段：现场实施阶段（第16.50天）</w:t>
      </w:r>
    </w:p>
    <w:p w14:paraId="39DA15E9">
      <w:pPr>
        <w:pStyle w:val="18"/>
        <w:spacing w:line="360" w:lineRule="auto"/>
        <w:rPr>
          <w:rFonts w:hint="eastAsia" w:ascii="宋体" w:hAnsi="宋体" w:eastAsia="宋体" w:cs="宋体"/>
          <w:sz w:val="24"/>
          <w:szCs w:val="24"/>
        </w:rPr>
      </w:pPr>
      <w:r>
        <w:rPr>
          <w:rFonts w:hint="eastAsia" w:ascii="宋体" w:hAnsi="宋体" w:cs="宋体"/>
          <w:sz w:val="24"/>
          <w:szCs w:val="24"/>
          <w:lang w:val="en-US" w:eastAsia="zh-CN"/>
        </w:rPr>
        <w:t>2）</w:t>
      </w:r>
      <w:r>
        <w:rPr>
          <w:rFonts w:hint="eastAsia" w:ascii="宋体" w:hAnsi="宋体" w:eastAsia="宋体" w:cs="宋体"/>
          <w:sz w:val="24"/>
          <w:szCs w:val="24"/>
        </w:rPr>
        <w:t>阶段工作内容</w:t>
      </w:r>
    </w:p>
    <w:p w14:paraId="0BBB2AD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第16-45天：探针软件部署</w:t>
      </w:r>
    </w:p>
    <w:p w14:paraId="040EE124">
      <w:pPr>
        <w:pStyle w:val="18"/>
        <w:spacing w:line="360" w:lineRule="auto"/>
        <w:rPr>
          <w:rFonts w:hint="eastAsia" w:ascii="宋体" w:hAnsi="宋体" w:eastAsia="宋体" w:cs="宋体"/>
          <w:sz w:val="24"/>
          <w:szCs w:val="24"/>
        </w:rPr>
      </w:pPr>
      <w:r>
        <w:rPr>
          <w:rFonts w:hint="eastAsia" w:ascii="宋体" w:hAnsi="宋体" w:eastAsia="宋体" w:cs="宋体"/>
          <w:sz w:val="24"/>
          <w:szCs w:val="24"/>
        </w:rPr>
        <w:t>根据各设备的检修窗口安排，分批次完成探针安装：</w:t>
      </w:r>
    </w:p>
    <w:p w14:paraId="57C9A775">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第一批：故障录波子站（1台） + 远程浏览工作站（1台） + 保信子站防火墙（1台） ——优先处理集中安装于主控室/通信机房的设备；</w:t>
      </w:r>
    </w:p>
    <w:p w14:paraId="094863D5">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第二批：故障录波装置（按间隔分组，每次处理4-6台） ——共分4-6个工作日完成；</w:t>
      </w:r>
    </w:p>
    <w:p w14:paraId="4F7B981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第三批：电能量采集终端（1台） + 五防安全主机（1台） ——需专门申请检修窗口；</w:t>
      </w:r>
    </w:p>
    <w:p w14:paraId="3E84EEFC">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第四批：正向隔离装置（1台） + 反向隔离装置（1台） ——协调厂商配合。</w:t>
      </w:r>
    </w:p>
    <w:p w14:paraId="6B7936E4">
      <w:pPr>
        <w:pStyle w:val="18"/>
        <w:spacing w:line="360" w:lineRule="auto"/>
        <w:rPr>
          <w:rFonts w:hint="eastAsia" w:ascii="宋体" w:hAnsi="宋体" w:eastAsia="宋体" w:cs="宋体"/>
          <w:sz w:val="24"/>
          <w:szCs w:val="24"/>
        </w:rPr>
      </w:pPr>
      <w:r>
        <w:rPr>
          <w:rFonts w:hint="eastAsia" w:ascii="宋体" w:hAnsi="宋体" w:eastAsia="宋体" w:cs="宋体"/>
          <w:sz w:val="24"/>
          <w:szCs w:val="24"/>
        </w:rPr>
        <w:t>每台设备探针安装完成后，立即进入”学习模式”运行，连续运行7天采集网络行为基线数据。</w:t>
      </w:r>
    </w:p>
    <w:p w14:paraId="1FD0E03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第30-45天（与探针部署并行/顺序）：主机加固</w:t>
      </w:r>
    </w:p>
    <w:p w14:paraId="468B5A91">
      <w:pPr>
        <w:pStyle w:val="18"/>
        <w:spacing w:line="360" w:lineRule="auto"/>
        <w:rPr>
          <w:rFonts w:hint="eastAsia" w:ascii="宋体" w:hAnsi="宋体" w:eastAsia="宋体" w:cs="宋体"/>
          <w:sz w:val="24"/>
          <w:szCs w:val="24"/>
        </w:rPr>
      </w:pPr>
      <w:r>
        <w:rPr>
          <w:rFonts w:hint="eastAsia" w:ascii="宋体" w:hAnsi="宋体" w:eastAsia="宋体" w:cs="宋体"/>
          <w:sz w:val="24"/>
          <w:szCs w:val="24"/>
        </w:rPr>
        <w:t>利用各设备检修窗口，在探针已部署的设备上依次执行主机加固操作：</w:t>
      </w:r>
    </w:p>
    <w:p w14:paraId="0411ADD5">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按账号策略、端口管控、服务最小化、补丁管理的顺序逐项执行；</w:t>
      </w:r>
    </w:p>
    <w:p w14:paraId="2CE30BD6">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每项加固操作前记录原始状态、操作后验证业务功能；</w:t>
      </w:r>
    </w:p>
    <w:p w14:paraId="1DAF32E9">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加固记录实时填写，每台设备形成独立加固记录单。</w:t>
      </w:r>
    </w:p>
    <w:p w14:paraId="178CEF02">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第46-50天：白名单配置与精化</w:t>
      </w:r>
    </w:p>
    <w:p w14:paraId="20961C60">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汇总31套设备探针学习模式采集的基线数据；</w:t>
      </w:r>
    </w:p>
    <w:p w14:paraId="5800F795">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生成白名单草稿，与业主方技术人员联合审核；</w:t>
      </w:r>
    </w:p>
    <w:p w14:paraId="2F467999">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将审定版白名单配置到各设备探针，切换为防护模式；</w:t>
      </w:r>
    </w:p>
    <w:p w14:paraId="5A6DEF02">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观察运行72小时，统计误报情况，微调白名单直至达标。</w:t>
      </w:r>
    </w:p>
    <w:p w14:paraId="19FD99A9">
      <w:pPr>
        <w:pStyle w:val="18"/>
        <w:spacing w:line="360" w:lineRule="auto"/>
        <w:rPr>
          <w:rFonts w:hint="eastAsia" w:ascii="宋体" w:hAnsi="宋体" w:eastAsia="宋体" w:cs="宋体"/>
          <w:sz w:val="24"/>
          <w:szCs w:val="24"/>
        </w:rPr>
      </w:pPr>
      <w:r>
        <w:rPr>
          <w:rFonts w:hint="eastAsia" w:ascii="宋体" w:hAnsi="宋体" w:eastAsia="宋体" w:cs="宋体"/>
          <w:sz w:val="24"/>
          <w:szCs w:val="24"/>
        </w:rPr>
        <w:t>阶段成果： 施工工作票（31份）、探针安装施工照片（每台不少于5张）、探针安装验收记录（31份）、主机加固记录表（27台）、各设备白名单清单（31套，审定版）。</w:t>
      </w:r>
    </w:p>
    <w:p w14:paraId="00253DB5">
      <w:pPr>
        <w:pStyle w:val="18"/>
        <w:spacing w:line="360" w:lineRule="auto"/>
        <w:rPr>
          <w:rFonts w:hint="eastAsia" w:ascii="宋体" w:hAnsi="宋体" w:eastAsia="宋体" w:cs="宋体"/>
          <w:sz w:val="24"/>
          <w:szCs w:val="24"/>
        </w:rPr>
      </w:pPr>
      <w:r>
        <w:rPr>
          <w:rFonts w:hint="eastAsia" w:ascii="宋体" w:hAnsi="宋体" w:eastAsia="宋体" w:cs="宋体"/>
          <w:sz w:val="24"/>
          <w:szCs w:val="24"/>
        </w:rPr>
        <w:t>阶段责任人</w:t>
      </w:r>
      <w:r>
        <w:rPr>
          <w:rFonts w:hint="eastAsia" w:ascii="宋体" w:hAnsi="宋体" w:cs="宋体"/>
          <w:sz w:val="24"/>
          <w:szCs w:val="24"/>
          <w:lang w:eastAsia="zh-CN"/>
        </w:rPr>
        <w:t>：</w:t>
      </w:r>
      <w:r>
        <w:rPr>
          <w:rFonts w:hint="eastAsia" w:ascii="宋体" w:hAnsi="宋体" w:eastAsia="宋体" w:cs="宋体"/>
          <w:sz w:val="24"/>
          <w:szCs w:val="24"/>
        </w:rPr>
        <w:t>施工组负责人（施工统筹）、各专业施工员（具体操作）、安全监护员（全程陪同）、技术负责人（白名单审核）。</w:t>
      </w:r>
    </w:p>
    <w:p w14:paraId="75387B94">
      <w:pPr>
        <w:pStyle w:val="18"/>
        <w:spacing w:line="360" w:lineRule="auto"/>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hint="eastAsia" w:ascii="宋体" w:hAnsi="宋体" w:cs="宋体"/>
          <w:sz w:val="24"/>
          <w:szCs w:val="24"/>
          <w:lang w:eastAsia="zh-CN"/>
        </w:rPr>
        <w:t>）</w:t>
      </w:r>
      <w:r>
        <w:rPr>
          <w:rFonts w:hint="eastAsia" w:ascii="宋体" w:hAnsi="宋体" w:eastAsia="宋体" w:cs="宋体"/>
          <w:sz w:val="24"/>
          <w:szCs w:val="24"/>
        </w:rPr>
        <w:t>第三阶段：测试验收阶段（第51.60天）</w:t>
      </w:r>
    </w:p>
    <w:p w14:paraId="4558E94F">
      <w:pPr>
        <w:pStyle w:val="18"/>
        <w:spacing w:line="360" w:lineRule="auto"/>
        <w:rPr>
          <w:rFonts w:hint="eastAsia" w:ascii="宋体" w:hAnsi="宋体" w:eastAsia="宋体" w:cs="宋体"/>
          <w:sz w:val="24"/>
          <w:szCs w:val="24"/>
        </w:rPr>
      </w:pPr>
      <w:r>
        <w:rPr>
          <w:rFonts w:hint="eastAsia" w:ascii="宋体" w:hAnsi="宋体" w:cs="宋体"/>
          <w:sz w:val="24"/>
          <w:szCs w:val="24"/>
          <w:lang w:val="en-US" w:eastAsia="zh-CN"/>
        </w:rPr>
        <w:t>3）</w:t>
      </w:r>
      <w:r>
        <w:rPr>
          <w:rFonts w:hint="eastAsia" w:ascii="宋体" w:hAnsi="宋体" w:eastAsia="宋体" w:cs="宋体"/>
          <w:sz w:val="24"/>
          <w:szCs w:val="24"/>
        </w:rPr>
        <w:t xml:space="preserve"> 阶段工作内容</w:t>
      </w:r>
    </w:p>
    <w:p w14:paraId="1AE073FF">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第51-55天：通讯及告警测试</w:t>
      </w:r>
    </w:p>
    <w:p w14:paraId="5FCB345C">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按测试用例清单逐一执行通讯完整性测试、告警功能测试；</w:t>
      </w:r>
    </w:p>
    <w:p w14:paraId="79E32D24">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记录每个测试用例的执行结果；</w:t>
      </w:r>
    </w:p>
    <w:p w14:paraId="55993229">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对未通过的测试项进行整改，整改完成后重测，直至全部通过；</w:t>
      </w:r>
    </w:p>
    <w:p w14:paraId="4552606F">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与业主方联合确认测试结果，签署测试验收报告。</w:t>
      </w:r>
    </w:p>
    <w:p w14:paraId="783A999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第56-57天：平台联调</w:t>
      </w:r>
    </w:p>
    <w:p w14:paraId="2E724479">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与业主方网络安全管理平台管理人员联合开展告警上送联调测试；</w:t>
      </w:r>
    </w:p>
    <w:p w14:paraId="6B289E61">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确认告警链路畅通、告警内容准确、告警分级正确；</w:t>
      </w:r>
    </w:p>
    <w:p w14:paraId="14F11ABA">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签署联调测试确认单。</w:t>
      </w:r>
    </w:p>
    <w:p w14:paraId="3E96B55C">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第58-59天：竣工资料整理</w:t>
      </w:r>
    </w:p>
    <w:p w14:paraId="66567A9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汇总整理全套竣工资料（作业面方案、标准化作业卡、施工工作票、施工照片、竣工验收报告、测试报告等）；</w:t>
      </w:r>
    </w:p>
    <w:p w14:paraId="5B8D284B">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检查资料完整性和规范性，按目录装订成册；</w:t>
      </w:r>
    </w:p>
    <w:p w14:paraId="25FE88C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提交业主方审核。</w:t>
      </w:r>
    </w:p>
    <w:p w14:paraId="74AE7259">
      <w:pPr>
        <w:pStyle w:val="18"/>
        <w:spacing w:line="360" w:lineRule="auto"/>
        <w:rPr>
          <w:rFonts w:hint="eastAsia" w:ascii="宋体" w:hAnsi="宋体" w:eastAsia="宋体" w:cs="宋体"/>
          <w:sz w:val="24"/>
          <w:szCs w:val="24"/>
        </w:rPr>
      </w:pPr>
      <w:r>
        <w:rPr>
          <w:rFonts w:hint="eastAsia" w:ascii="宋体" w:hAnsi="宋体" w:eastAsia="宋体" w:cs="宋体"/>
          <w:sz w:val="24"/>
          <w:szCs w:val="24"/>
        </w:rPr>
        <w:t>第60天：竣工验收</w:t>
      </w:r>
    </w:p>
    <w:p w14:paraId="7BE9FAAE">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组织竣工验收会议；</w:t>
      </w:r>
    </w:p>
    <w:p w14:paraId="23C209D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向业主方汇报项目实施情况，演示监测告警效果；</w:t>
      </w:r>
    </w:p>
    <w:p w14:paraId="1CF51724">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提交全套验收资料；</w:t>
      </w:r>
    </w:p>
    <w:p w14:paraId="2897AC53">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完成验收资料整改（如有）；</w:t>
      </w:r>
    </w:p>
    <w:p w14:paraId="005F540A">
      <w:pPr>
        <w:pStyle w:val="18"/>
        <w:spacing w:line="360" w:lineRule="auto"/>
        <w:rPr>
          <w:rFonts w:hint="eastAsia" w:ascii="宋体" w:hAnsi="宋体" w:eastAsia="宋体" w:cs="宋体"/>
          <w:sz w:val="24"/>
          <w:szCs w:val="24"/>
        </w:rPr>
      </w:pPr>
      <w:r>
        <w:rPr>
          <w:rFonts w:hint="eastAsia" w:ascii="宋体" w:hAnsi="宋体" w:eastAsia="宋体" w:cs="宋体"/>
          <w:sz w:val="24"/>
          <w:szCs w:val="24"/>
        </w:rPr>
        <w:t>• 取得业主方盖章的竣工验收报告，完成项目交付。</w:t>
      </w:r>
    </w:p>
    <w:p w14:paraId="00E932FC">
      <w:pPr>
        <w:pStyle w:val="18"/>
        <w:spacing w:line="360" w:lineRule="auto"/>
        <w:rPr>
          <w:rFonts w:hint="eastAsia" w:ascii="宋体" w:hAnsi="宋体" w:eastAsia="宋体" w:cs="宋体"/>
          <w:sz w:val="24"/>
          <w:szCs w:val="24"/>
        </w:rPr>
      </w:pPr>
      <w:r>
        <w:rPr>
          <w:rFonts w:hint="eastAsia" w:ascii="宋体" w:hAnsi="宋体" w:eastAsia="宋体" w:cs="宋体"/>
          <w:sz w:val="24"/>
          <w:szCs w:val="24"/>
        </w:rPr>
        <w:t>阶段成果： 测试用例清单及执行记录、测试验收报告（业主方签字）、联调测试确认单、竣工验收报告（业主方盖章）、全套归档资料（纸质+ 电子版）。</w:t>
      </w:r>
    </w:p>
    <w:tbl>
      <w:tblPr>
        <w:tblStyle w:val="21"/>
        <w:tblW w:w="962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73"/>
        <w:gridCol w:w="2259"/>
        <w:gridCol w:w="2946"/>
        <w:gridCol w:w="1473"/>
        <w:gridCol w:w="1473"/>
      </w:tblGrid>
      <w:tr w14:paraId="7EA585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1473" w:type="dxa"/>
            <w:tcBorders>
              <w:bottom w:val="single" w:color="A8A29E" w:sz="12" w:space="0"/>
            </w:tcBorders>
            <w:shd w:val="clear" w:color="auto" w:fill="E7E5E4"/>
            <w:vAlign w:val="top"/>
          </w:tcPr>
          <w:p w14:paraId="0ACF0DFA">
            <w:pPr>
              <w:pStyle w:val="20"/>
              <w:spacing w:before="117" w:line="189" w:lineRule="auto"/>
              <w:ind w:left="125"/>
              <w:rPr>
                <w:sz w:val="16"/>
                <w:szCs w:val="16"/>
              </w:rPr>
            </w:pPr>
            <w:r>
              <w:rPr>
                <w:b/>
                <w:bCs/>
                <w:color w:val="1C1917"/>
                <w:spacing w:val="4"/>
                <w:sz w:val="16"/>
                <w:szCs w:val="16"/>
              </w:rPr>
              <w:t>阶段</w:t>
            </w:r>
          </w:p>
        </w:tc>
        <w:tc>
          <w:tcPr>
            <w:tcW w:w="2259" w:type="dxa"/>
            <w:tcBorders>
              <w:bottom w:val="single" w:color="A8A29E" w:sz="12" w:space="0"/>
            </w:tcBorders>
            <w:shd w:val="clear" w:color="auto" w:fill="E7E5E4"/>
            <w:vAlign w:val="top"/>
          </w:tcPr>
          <w:p w14:paraId="4BAEC673">
            <w:pPr>
              <w:pStyle w:val="20"/>
              <w:spacing w:before="117" w:line="189" w:lineRule="auto"/>
              <w:ind w:left="121"/>
              <w:rPr>
                <w:sz w:val="16"/>
                <w:szCs w:val="16"/>
              </w:rPr>
            </w:pPr>
            <w:r>
              <w:rPr>
                <w:b/>
                <w:bCs/>
                <w:color w:val="1C1917"/>
                <w:spacing w:val="8"/>
                <w:sz w:val="16"/>
                <w:szCs w:val="16"/>
              </w:rPr>
              <w:t>工作内容</w:t>
            </w:r>
          </w:p>
        </w:tc>
        <w:tc>
          <w:tcPr>
            <w:tcW w:w="2946" w:type="dxa"/>
            <w:tcBorders>
              <w:bottom w:val="single" w:color="A8A29E" w:sz="12" w:space="0"/>
            </w:tcBorders>
            <w:shd w:val="clear" w:color="auto" w:fill="E7E5E4"/>
            <w:vAlign w:val="top"/>
          </w:tcPr>
          <w:p w14:paraId="309E2681">
            <w:pPr>
              <w:pStyle w:val="20"/>
              <w:spacing w:before="118" w:line="185" w:lineRule="auto"/>
              <w:ind w:left="884"/>
              <w:rPr>
                <w:sz w:val="16"/>
                <w:szCs w:val="16"/>
              </w:rPr>
            </w:pPr>
            <w:r>
              <w:rPr>
                <w:b/>
                <w:bCs/>
                <w:color w:val="1C1917"/>
                <w:spacing w:val="4"/>
                <w:sz w:val="16"/>
                <w:szCs w:val="16"/>
              </w:rPr>
              <w:t>计划时间（天）</w:t>
            </w:r>
          </w:p>
        </w:tc>
        <w:tc>
          <w:tcPr>
            <w:tcW w:w="1473" w:type="dxa"/>
            <w:tcBorders>
              <w:bottom w:val="single" w:color="A8A29E" w:sz="12" w:space="0"/>
            </w:tcBorders>
            <w:shd w:val="clear" w:color="auto" w:fill="E7E5E4"/>
            <w:vAlign w:val="top"/>
          </w:tcPr>
          <w:p w14:paraId="6FA66CF1">
            <w:pPr>
              <w:pStyle w:val="20"/>
              <w:spacing w:before="119" w:line="188" w:lineRule="auto"/>
              <w:ind w:left="121"/>
              <w:rPr>
                <w:sz w:val="16"/>
                <w:szCs w:val="16"/>
              </w:rPr>
            </w:pPr>
            <w:r>
              <w:rPr>
                <w:b/>
                <w:bCs/>
                <w:color w:val="1C1917"/>
                <w:spacing w:val="7"/>
                <w:sz w:val="16"/>
                <w:szCs w:val="16"/>
              </w:rPr>
              <w:t>责任人</w:t>
            </w:r>
          </w:p>
        </w:tc>
        <w:tc>
          <w:tcPr>
            <w:tcW w:w="1473" w:type="dxa"/>
            <w:tcBorders>
              <w:bottom w:val="single" w:color="A8A29E" w:sz="12" w:space="0"/>
            </w:tcBorders>
            <w:shd w:val="clear" w:color="auto" w:fill="E7E5E4"/>
            <w:vAlign w:val="top"/>
          </w:tcPr>
          <w:p w14:paraId="0604970B">
            <w:pPr>
              <w:pStyle w:val="20"/>
              <w:spacing w:before="119" w:line="188" w:lineRule="auto"/>
              <w:ind w:left="116"/>
              <w:rPr>
                <w:sz w:val="16"/>
                <w:szCs w:val="16"/>
              </w:rPr>
            </w:pPr>
            <w:r>
              <w:rPr>
                <w:b/>
                <w:bCs/>
                <w:color w:val="1C1917"/>
                <w:spacing w:val="8"/>
                <w:sz w:val="16"/>
                <w:szCs w:val="16"/>
              </w:rPr>
              <w:t>备注</w:t>
            </w:r>
          </w:p>
        </w:tc>
      </w:tr>
      <w:tr w14:paraId="1AF9F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8" w:hRule="atLeast"/>
        </w:trPr>
        <w:tc>
          <w:tcPr>
            <w:tcW w:w="1473" w:type="dxa"/>
            <w:tcBorders>
              <w:top w:val="single" w:color="A8A29E" w:sz="12" w:space="0"/>
              <w:bottom w:val="single" w:color="E7E5E4" w:sz="4" w:space="0"/>
            </w:tcBorders>
            <w:vAlign w:val="top"/>
          </w:tcPr>
          <w:p w14:paraId="0FD6601B">
            <w:pPr>
              <w:pStyle w:val="20"/>
              <w:spacing w:before="95" w:line="185" w:lineRule="auto"/>
              <w:ind w:left="118"/>
              <w:rPr>
                <w:sz w:val="16"/>
                <w:szCs w:val="16"/>
              </w:rPr>
            </w:pPr>
            <w:r>
              <w:rPr>
                <w:color w:val="292524"/>
                <w:spacing w:val="8"/>
                <w:sz w:val="16"/>
                <w:szCs w:val="16"/>
              </w:rPr>
              <w:t>施工准备</w:t>
            </w:r>
          </w:p>
        </w:tc>
        <w:tc>
          <w:tcPr>
            <w:tcW w:w="2259" w:type="dxa"/>
            <w:tcBorders>
              <w:top w:val="single" w:color="A8A29E" w:sz="12" w:space="0"/>
              <w:bottom w:val="single" w:color="E7E5E4" w:sz="4" w:space="0"/>
            </w:tcBorders>
            <w:vAlign w:val="top"/>
          </w:tcPr>
          <w:p w14:paraId="5A801D28">
            <w:pPr>
              <w:pStyle w:val="20"/>
              <w:spacing w:before="96" w:line="183" w:lineRule="auto"/>
              <w:ind w:left="118"/>
              <w:rPr>
                <w:sz w:val="16"/>
                <w:szCs w:val="16"/>
              </w:rPr>
            </w:pPr>
            <w:r>
              <w:rPr>
                <w:color w:val="292524"/>
                <w:spacing w:val="9"/>
                <w:sz w:val="16"/>
                <w:szCs w:val="16"/>
              </w:rPr>
              <w:t>项目启动与资料收集</w:t>
            </w:r>
          </w:p>
        </w:tc>
        <w:tc>
          <w:tcPr>
            <w:tcW w:w="2946" w:type="dxa"/>
            <w:tcBorders>
              <w:top w:val="single" w:color="A8A29E" w:sz="12" w:space="0"/>
              <w:bottom w:val="single" w:color="E7E5E4" w:sz="4" w:space="0"/>
            </w:tcBorders>
            <w:vAlign w:val="top"/>
          </w:tcPr>
          <w:p w14:paraId="509E04FC">
            <w:pPr>
              <w:pStyle w:val="20"/>
              <w:spacing w:before="92" w:line="185" w:lineRule="auto"/>
              <w:ind w:left="1200"/>
              <w:rPr>
                <w:sz w:val="16"/>
                <w:szCs w:val="16"/>
              </w:rPr>
            </w:pPr>
            <w:r>
              <w:rPr>
                <w:color w:val="292524"/>
                <w:sz w:val="16"/>
                <w:szCs w:val="16"/>
              </w:rPr>
              <w:t>第</w:t>
            </w:r>
            <w:r>
              <w:rPr>
                <w:rFonts w:ascii="Cambria" w:hAnsi="Cambria" w:eastAsia="Cambria" w:cs="Cambria"/>
                <w:color w:val="292524"/>
                <w:sz w:val="16"/>
                <w:szCs w:val="16"/>
              </w:rPr>
              <w:t>1-5</w:t>
            </w:r>
            <w:r>
              <w:rPr>
                <w:color w:val="292524"/>
                <w:sz w:val="16"/>
                <w:szCs w:val="16"/>
              </w:rPr>
              <w:t>天</w:t>
            </w:r>
          </w:p>
        </w:tc>
        <w:tc>
          <w:tcPr>
            <w:tcW w:w="1473" w:type="dxa"/>
            <w:tcBorders>
              <w:top w:val="single" w:color="A8A29E" w:sz="12" w:space="0"/>
              <w:bottom w:val="single" w:color="E7E5E4" w:sz="4" w:space="0"/>
            </w:tcBorders>
            <w:vAlign w:val="top"/>
          </w:tcPr>
          <w:p w14:paraId="18A89463">
            <w:pPr>
              <w:pStyle w:val="20"/>
              <w:spacing w:before="95" w:line="183" w:lineRule="auto"/>
              <w:ind w:left="118"/>
              <w:rPr>
                <w:sz w:val="16"/>
                <w:szCs w:val="16"/>
              </w:rPr>
            </w:pPr>
            <w:r>
              <w:rPr>
                <w:color w:val="292524"/>
                <w:spacing w:val="8"/>
                <w:sz w:val="16"/>
                <w:szCs w:val="16"/>
              </w:rPr>
              <w:t>项目经理</w:t>
            </w:r>
          </w:p>
        </w:tc>
        <w:tc>
          <w:tcPr>
            <w:tcW w:w="1473" w:type="dxa"/>
            <w:tcBorders>
              <w:top w:val="single" w:color="A8A29E" w:sz="12" w:space="0"/>
              <w:bottom w:val="single" w:color="E7E5E4" w:sz="4" w:space="0"/>
            </w:tcBorders>
            <w:vAlign w:val="top"/>
          </w:tcPr>
          <w:p w14:paraId="2EBBDC16">
            <w:pPr>
              <w:pStyle w:val="20"/>
              <w:spacing w:before="96" w:line="228" w:lineRule="auto"/>
              <w:ind w:left="120" w:right="169" w:hanging="1"/>
              <w:rPr>
                <w:sz w:val="16"/>
                <w:szCs w:val="16"/>
              </w:rPr>
            </w:pPr>
            <w:r>
              <w:rPr>
                <w:color w:val="292524"/>
                <w:spacing w:val="9"/>
                <w:sz w:val="16"/>
                <w:szCs w:val="16"/>
              </w:rPr>
              <w:t>含团队组建、进</w:t>
            </w:r>
            <w:r>
              <w:rPr>
                <w:color w:val="292524"/>
                <w:spacing w:val="7"/>
                <w:sz w:val="16"/>
                <w:szCs w:val="16"/>
              </w:rPr>
              <w:t>站申请</w:t>
            </w:r>
          </w:p>
        </w:tc>
      </w:tr>
      <w:tr w14:paraId="3D7489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473" w:type="dxa"/>
            <w:tcBorders>
              <w:top w:val="single" w:color="E7E5E4" w:sz="4" w:space="0"/>
              <w:bottom w:val="single" w:color="E7E5E4" w:sz="4" w:space="0"/>
            </w:tcBorders>
            <w:vAlign w:val="top"/>
          </w:tcPr>
          <w:p w14:paraId="54E7ACB9">
            <w:pPr>
              <w:pStyle w:val="20"/>
              <w:spacing w:before="107" w:line="185" w:lineRule="auto"/>
              <w:ind w:left="118"/>
              <w:rPr>
                <w:sz w:val="16"/>
                <w:szCs w:val="16"/>
              </w:rPr>
            </w:pPr>
            <w:r>
              <w:rPr>
                <w:color w:val="292524"/>
                <w:spacing w:val="8"/>
                <w:sz w:val="16"/>
                <w:szCs w:val="16"/>
              </w:rPr>
              <w:t>施工准备</w:t>
            </w:r>
          </w:p>
        </w:tc>
        <w:tc>
          <w:tcPr>
            <w:tcW w:w="2259" w:type="dxa"/>
            <w:tcBorders>
              <w:top w:val="single" w:color="E7E5E4" w:sz="4" w:space="0"/>
              <w:bottom w:val="single" w:color="E7E5E4" w:sz="4" w:space="0"/>
            </w:tcBorders>
            <w:vAlign w:val="top"/>
          </w:tcPr>
          <w:p w14:paraId="13BF51E4">
            <w:pPr>
              <w:pStyle w:val="20"/>
              <w:spacing w:before="107" w:line="185" w:lineRule="auto"/>
              <w:ind w:left="120"/>
              <w:rPr>
                <w:sz w:val="16"/>
                <w:szCs w:val="16"/>
              </w:rPr>
            </w:pPr>
            <w:r>
              <w:rPr>
                <w:color w:val="292524"/>
                <w:spacing w:val="9"/>
                <w:sz w:val="16"/>
                <w:szCs w:val="16"/>
              </w:rPr>
              <w:t>现场勘查与台账建立</w:t>
            </w:r>
          </w:p>
        </w:tc>
        <w:tc>
          <w:tcPr>
            <w:tcW w:w="2946" w:type="dxa"/>
            <w:tcBorders>
              <w:top w:val="single" w:color="E7E5E4" w:sz="4" w:space="0"/>
              <w:bottom w:val="single" w:color="E7E5E4" w:sz="4" w:space="0"/>
            </w:tcBorders>
            <w:vAlign w:val="top"/>
          </w:tcPr>
          <w:p w14:paraId="114F302C">
            <w:pPr>
              <w:pStyle w:val="20"/>
              <w:spacing w:before="104" w:line="185" w:lineRule="auto"/>
              <w:ind w:left="1157"/>
              <w:rPr>
                <w:sz w:val="16"/>
                <w:szCs w:val="16"/>
              </w:rPr>
            </w:pPr>
            <w:r>
              <w:rPr>
                <w:color w:val="292524"/>
                <w:spacing w:val="-1"/>
                <w:sz w:val="16"/>
                <w:szCs w:val="16"/>
              </w:rPr>
              <w:t>第</w:t>
            </w:r>
            <w:r>
              <w:rPr>
                <w:rFonts w:ascii="Cambria" w:hAnsi="Cambria" w:eastAsia="Cambria" w:cs="Cambria"/>
                <w:color w:val="292524"/>
                <w:spacing w:val="-1"/>
                <w:sz w:val="16"/>
                <w:szCs w:val="16"/>
              </w:rPr>
              <w:t>6-10</w:t>
            </w:r>
            <w:r>
              <w:rPr>
                <w:color w:val="292524"/>
                <w:spacing w:val="-1"/>
                <w:sz w:val="16"/>
                <w:szCs w:val="16"/>
              </w:rPr>
              <w:t>天</w:t>
            </w:r>
          </w:p>
        </w:tc>
        <w:tc>
          <w:tcPr>
            <w:tcW w:w="1473" w:type="dxa"/>
            <w:tcBorders>
              <w:top w:val="single" w:color="E7E5E4" w:sz="4" w:space="0"/>
              <w:bottom w:val="single" w:color="E7E5E4" w:sz="4" w:space="0"/>
            </w:tcBorders>
            <w:vAlign w:val="top"/>
          </w:tcPr>
          <w:p w14:paraId="6117258A">
            <w:pPr>
              <w:pStyle w:val="20"/>
              <w:spacing w:before="108" w:line="184" w:lineRule="auto"/>
              <w:ind w:left="119"/>
              <w:rPr>
                <w:sz w:val="16"/>
                <w:szCs w:val="16"/>
              </w:rPr>
            </w:pPr>
            <w:r>
              <w:rPr>
                <w:color w:val="292524"/>
                <w:spacing w:val="8"/>
                <w:sz w:val="16"/>
                <w:szCs w:val="16"/>
              </w:rPr>
              <w:t>技术负责人</w:t>
            </w:r>
          </w:p>
        </w:tc>
        <w:tc>
          <w:tcPr>
            <w:tcW w:w="1473" w:type="dxa"/>
            <w:tcBorders>
              <w:top w:val="single" w:color="E7E5E4" w:sz="4" w:space="0"/>
              <w:bottom w:val="single" w:color="E7E5E4" w:sz="4" w:space="0"/>
            </w:tcBorders>
            <w:vAlign w:val="top"/>
          </w:tcPr>
          <w:p w14:paraId="34C79435">
            <w:pPr>
              <w:pStyle w:val="20"/>
              <w:spacing w:before="108" w:line="184" w:lineRule="auto"/>
              <w:ind w:left="117"/>
              <w:rPr>
                <w:sz w:val="16"/>
                <w:szCs w:val="16"/>
              </w:rPr>
            </w:pPr>
            <w:r>
              <w:rPr>
                <w:color w:val="292524"/>
                <w:spacing w:val="9"/>
                <w:sz w:val="16"/>
                <w:szCs w:val="16"/>
              </w:rPr>
              <w:t>赴换流站现场</w:t>
            </w:r>
          </w:p>
        </w:tc>
      </w:tr>
      <w:tr w14:paraId="58DCFF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8" w:hRule="atLeast"/>
        </w:trPr>
        <w:tc>
          <w:tcPr>
            <w:tcW w:w="1473" w:type="dxa"/>
            <w:tcBorders>
              <w:top w:val="single" w:color="E7E5E4" w:sz="4" w:space="0"/>
              <w:bottom w:val="single" w:color="E7E5E4" w:sz="4" w:space="0"/>
            </w:tcBorders>
            <w:vAlign w:val="top"/>
          </w:tcPr>
          <w:p w14:paraId="0FE35714">
            <w:pPr>
              <w:pStyle w:val="20"/>
              <w:spacing w:before="108" w:line="185" w:lineRule="auto"/>
              <w:ind w:left="118"/>
              <w:rPr>
                <w:sz w:val="16"/>
                <w:szCs w:val="16"/>
              </w:rPr>
            </w:pPr>
            <w:r>
              <w:rPr>
                <w:color w:val="292524"/>
                <w:spacing w:val="8"/>
                <w:sz w:val="16"/>
                <w:szCs w:val="16"/>
              </w:rPr>
              <w:t>施工准备</w:t>
            </w:r>
          </w:p>
        </w:tc>
        <w:tc>
          <w:tcPr>
            <w:tcW w:w="2259" w:type="dxa"/>
            <w:tcBorders>
              <w:top w:val="single" w:color="E7E5E4" w:sz="4" w:space="0"/>
              <w:bottom w:val="single" w:color="E7E5E4" w:sz="4" w:space="0"/>
            </w:tcBorders>
            <w:vAlign w:val="top"/>
          </w:tcPr>
          <w:p w14:paraId="66BEEFF7">
            <w:pPr>
              <w:pStyle w:val="20"/>
              <w:spacing w:before="108" w:line="185" w:lineRule="auto"/>
              <w:ind w:left="121"/>
              <w:rPr>
                <w:sz w:val="16"/>
                <w:szCs w:val="16"/>
              </w:rPr>
            </w:pPr>
            <w:r>
              <w:rPr>
                <w:color w:val="292524"/>
                <w:spacing w:val="9"/>
                <w:sz w:val="16"/>
                <w:szCs w:val="16"/>
              </w:rPr>
              <w:t>方案评审与施工准备</w:t>
            </w:r>
          </w:p>
        </w:tc>
        <w:tc>
          <w:tcPr>
            <w:tcW w:w="2946" w:type="dxa"/>
            <w:tcBorders>
              <w:top w:val="single" w:color="E7E5E4" w:sz="4" w:space="0"/>
              <w:bottom w:val="single" w:color="E7E5E4" w:sz="4" w:space="0"/>
            </w:tcBorders>
            <w:vAlign w:val="top"/>
          </w:tcPr>
          <w:p w14:paraId="66D862E3">
            <w:pPr>
              <w:pStyle w:val="20"/>
              <w:spacing w:before="104"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11-15</w:t>
            </w:r>
            <w:r>
              <w:rPr>
                <w:color w:val="292524"/>
                <w:spacing w:val="-1"/>
                <w:sz w:val="16"/>
                <w:szCs w:val="16"/>
              </w:rPr>
              <w:t>天</w:t>
            </w:r>
          </w:p>
        </w:tc>
        <w:tc>
          <w:tcPr>
            <w:tcW w:w="1473" w:type="dxa"/>
            <w:tcBorders>
              <w:top w:val="single" w:color="E7E5E4" w:sz="4" w:space="0"/>
              <w:bottom w:val="single" w:color="E7E5E4" w:sz="4" w:space="0"/>
            </w:tcBorders>
            <w:vAlign w:val="top"/>
          </w:tcPr>
          <w:p w14:paraId="162E4015">
            <w:pPr>
              <w:pStyle w:val="20"/>
              <w:spacing w:before="80" w:line="234" w:lineRule="auto"/>
              <w:ind w:left="122" w:right="254" w:hanging="4"/>
              <w:rPr>
                <w:sz w:val="16"/>
                <w:szCs w:val="16"/>
              </w:rPr>
            </w:pPr>
            <w:r>
              <w:rPr>
                <w:color w:val="292524"/>
                <w:spacing w:val="7"/>
                <w:sz w:val="16"/>
                <w:szCs w:val="16"/>
              </w:rPr>
              <w:t>项目经理</w:t>
            </w:r>
            <w:r>
              <w:rPr>
                <w:rFonts w:ascii="Cambria" w:hAnsi="Cambria" w:eastAsia="Cambria" w:cs="Cambria"/>
                <w:color w:val="292524"/>
                <w:spacing w:val="7"/>
                <w:sz w:val="16"/>
                <w:szCs w:val="16"/>
              </w:rPr>
              <w:t>+</w:t>
            </w:r>
            <w:r>
              <w:rPr>
                <w:color w:val="292524"/>
                <w:spacing w:val="7"/>
                <w:sz w:val="16"/>
                <w:szCs w:val="16"/>
              </w:rPr>
              <w:t>技术</w:t>
            </w:r>
            <w:r>
              <w:rPr>
                <w:color w:val="292524"/>
                <w:spacing w:val="6"/>
                <w:sz w:val="16"/>
                <w:szCs w:val="16"/>
              </w:rPr>
              <w:t>负责人</w:t>
            </w:r>
          </w:p>
        </w:tc>
        <w:tc>
          <w:tcPr>
            <w:tcW w:w="1473" w:type="dxa"/>
            <w:tcBorders>
              <w:top w:val="single" w:color="E7E5E4" w:sz="4" w:space="0"/>
              <w:bottom w:val="single" w:color="E7E5E4" w:sz="4" w:space="0"/>
            </w:tcBorders>
            <w:vAlign w:val="top"/>
          </w:tcPr>
          <w:p w14:paraId="3C9BC613">
            <w:pPr>
              <w:pStyle w:val="20"/>
              <w:spacing w:before="108" w:line="227" w:lineRule="auto"/>
              <w:ind w:left="121" w:right="169" w:hanging="2"/>
              <w:rPr>
                <w:sz w:val="16"/>
                <w:szCs w:val="16"/>
              </w:rPr>
            </w:pPr>
            <w:r>
              <w:rPr>
                <w:color w:val="292524"/>
                <w:spacing w:val="9"/>
                <w:sz w:val="16"/>
                <w:szCs w:val="16"/>
              </w:rPr>
              <w:t>含探针版本预验</w:t>
            </w:r>
            <w:r>
              <w:rPr>
                <w:color w:val="292524"/>
                <w:spacing w:val="1"/>
                <w:sz w:val="16"/>
                <w:szCs w:val="16"/>
              </w:rPr>
              <w:t>证</w:t>
            </w:r>
          </w:p>
        </w:tc>
      </w:tr>
      <w:tr w14:paraId="275EB4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4" w:hRule="atLeast"/>
        </w:trPr>
        <w:tc>
          <w:tcPr>
            <w:tcW w:w="1473" w:type="dxa"/>
            <w:tcBorders>
              <w:top w:val="single" w:color="E7E5E4" w:sz="4" w:space="0"/>
              <w:bottom w:val="single" w:color="E7E5E4" w:sz="4" w:space="0"/>
            </w:tcBorders>
            <w:vAlign w:val="top"/>
          </w:tcPr>
          <w:p w14:paraId="3B98E59C">
            <w:pPr>
              <w:pStyle w:val="20"/>
              <w:spacing w:before="109" w:line="185" w:lineRule="auto"/>
              <w:ind w:left="120"/>
              <w:rPr>
                <w:sz w:val="16"/>
                <w:szCs w:val="16"/>
              </w:rPr>
            </w:pPr>
            <w:r>
              <w:rPr>
                <w:color w:val="292524"/>
                <w:spacing w:val="8"/>
                <w:sz w:val="16"/>
                <w:szCs w:val="16"/>
              </w:rPr>
              <w:t>现场实施</w:t>
            </w:r>
          </w:p>
        </w:tc>
        <w:tc>
          <w:tcPr>
            <w:tcW w:w="2259" w:type="dxa"/>
            <w:tcBorders>
              <w:top w:val="single" w:color="E7E5E4" w:sz="4" w:space="0"/>
              <w:bottom w:val="single" w:color="E7E5E4" w:sz="4" w:space="0"/>
            </w:tcBorders>
            <w:vAlign w:val="top"/>
          </w:tcPr>
          <w:p w14:paraId="045F67B0">
            <w:pPr>
              <w:pStyle w:val="20"/>
              <w:spacing w:before="110" w:line="185" w:lineRule="auto"/>
              <w:ind w:left="121"/>
              <w:rPr>
                <w:sz w:val="16"/>
                <w:szCs w:val="16"/>
              </w:rPr>
            </w:pPr>
            <w:r>
              <w:rPr>
                <w:color w:val="292524"/>
                <w:spacing w:val="9"/>
                <w:sz w:val="16"/>
                <w:szCs w:val="16"/>
              </w:rPr>
              <w:t>第一批设备探针部署</w:t>
            </w:r>
          </w:p>
        </w:tc>
        <w:tc>
          <w:tcPr>
            <w:tcW w:w="2946" w:type="dxa"/>
            <w:tcBorders>
              <w:top w:val="single" w:color="E7E5E4" w:sz="4" w:space="0"/>
              <w:bottom w:val="single" w:color="E7E5E4" w:sz="4" w:space="0"/>
            </w:tcBorders>
            <w:vAlign w:val="top"/>
          </w:tcPr>
          <w:p w14:paraId="2CA6261F">
            <w:pPr>
              <w:pStyle w:val="20"/>
              <w:spacing w:before="106"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16-22</w:t>
            </w:r>
            <w:r>
              <w:rPr>
                <w:color w:val="292524"/>
                <w:spacing w:val="-1"/>
                <w:sz w:val="16"/>
                <w:szCs w:val="16"/>
              </w:rPr>
              <w:t>天</w:t>
            </w:r>
          </w:p>
        </w:tc>
        <w:tc>
          <w:tcPr>
            <w:tcW w:w="1473" w:type="dxa"/>
            <w:tcBorders>
              <w:top w:val="single" w:color="E7E5E4" w:sz="4" w:space="0"/>
              <w:bottom w:val="single" w:color="E7E5E4" w:sz="4" w:space="0"/>
            </w:tcBorders>
            <w:vAlign w:val="top"/>
          </w:tcPr>
          <w:p w14:paraId="1982ABFC">
            <w:pPr>
              <w:pStyle w:val="20"/>
              <w:spacing w:before="111" w:line="186" w:lineRule="auto"/>
              <w:ind w:left="119"/>
              <w:rPr>
                <w:sz w:val="16"/>
                <w:szCs w:val="16"/>
              </w:rPr>
            </w:pPr>
            <w:r>
              <w:rPr>
                <w:color w:val="292524"/>
                <w:spacing w:val="8"/>
                <w:sz w:val="16"/>
                <w:szCs w:val="16"/>
              </w:rPr>
              <w:t>施工组</w:t>
            </w:r>
          </w:p>
        </w:tc>
        <w:tc>
          <w:tcPr>
            <w:tcW w:w="1473" w:type="dxa"/>
            <w:tcBorders>
              <w:top w:val="single" w:color="E7E5E4" w:sz="4" w:space="0"/>
              <w:bottom w:val="single" w:color="E7E5E4" w:sz="4" w:space="0"/>
            </w:tcBorders>
            <w:vAlign w:val="top"/>
          </w:tcPr>
          <w:p w14:paraId="1FBD6EE5">
            <w:pPr>
              <w:pStyle w:val="20"/>
              <w:spacing w:before="83" w:line="234" w:lineRule="auto"/>
              <w:ind w:left="122" w:right="170"/>
              <w:rPr>
                <w:sz w:val="16"/>
                <w:szCs w:val="16"/>
              </w:rPr>
            </w:pPr>
            <w:r>
              <w:rPr>
                <w:color w:val="292524"/>
                <w:spacing w:val="5"/>
                <w:sz w:val="16"/>
                <w:szCs w:val="16"/>
              </w:rPr>
              <w:t>子站</w:t>
            </w:r>
            <w:r>
              <w:rPr>
                <w:rFonts w:ascii="Cambria" w:hAnsi="Cambria" w:eastAsia="Cambria" w:cs="Cambria"/>
                <w:color w:val="292524"/>
                <w:spacing w:val="5"/>
                <w:sz w:val="16"/>
                <w:szCs w:val="16"/>
              </w:rPr>
              <w:t>+</w:t>
            </w:r>
            <w:r>
              <w:rPr>
                <w:color w:val="292524"/>
                <w:spacing w:val="5"/>
                <w:sz w:val="16"/>
                <w:szCs w:val="16"/>
              </w:rPr>
              <w:t>工作站</w:t>
            </w:r>
            <w:r>
              <w:rPr>
                <w:rFonts w:ascii="Cambria" w:hAnsi="Cambria" w:eastAsia="Cambria" w:cs="Cambria"/>
                <w:color w:val="292524"/>
                <w:spacing w:val="5"/>
                <w:sz w:val="16"/>
                <w:szCs w:val="16"/>
              </w:rPr>
              <w:t>+</w:t>
            </w:r>
            <w:r>
              <w:rPr>
                <w:color w:val="292524"/>
                <w:spacing w:val="5"/>
                <w:sz w:val="16"/>
                <w:szCs w:val="16"/>
              </w:rPr>
              <w:t>防火墙</w:t>
            </w:r>
          </w:p>
        </w:tc>
      </w:tr>
      <w:tr w14:paraId="7F9104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8" w:hRule="atLeast"/>
        </w:trPr>
        <w:tc>
          <w:tcPr>
            <w:tcW w:w="1473" w:type="dxa"/>
            <w:tcBorders>
              <w:top w:val="single" w:color="E7E5E4" w:sz="4" w:space="0"/>
              <w:bottom w:val="single" w:color="E7E5E4" w:sz="4" w:space="0"/>
            </w:tcBorders>
            <w:vAlign w:val="top"/>
          </w:tcPr>
          <w:p w14:paraId="3545BBC7">
            <w:pPr>
              <w:pStyle w:val="20"/>
              <w:spacing w:before="112" w:line="185" w:lineRule="auto"/>
              <w:ind w:left="120"/>
              <w:rPr>
                <w:sz w:val="16"/>
                <w:szCs w:val="16"/>
              </w:rPr>
            </w:pPr>
            <w:r>
              <w:rPr>
                <w:color w:val="292524"/>
                <w:spacing w:val="8"/>
                <w:sz w:val="16"/>
                <w:szCs w:val="16"/>
              </w:rPr>
              <w:t>现场实施</w:t>
            </w:r>
          </w:p>
        </w:tc>
        <w:tc>
          <w:tcPr>
            <w:tcW w:w="2259" w:type="dxa"/>
            <w:tcBorders>
              <w:top w:val="single" w:color="E7E5E4" w:sz="4" w:space="0"/>
              <w:bottom w:val="single" w:color="E7E5E4" w:sz="4" w:space="0"/>
            </w:tcBorders>
            <w:vAlign w:val="top"/>
          </w:tcPr>
          <w:p w14:paraId="2CBD0959">
            <w:pPr>
              <w:pStyle w:val="20"/>
              <w:spacing w:before="113" w:line="184" w:lineRule="auto"/>
              <w:ind w:left="120"/>
              <w:rPr>
                <w:sz w:val="16"/>
                <w:szCs w:val="16"/>
              </w:rPr>
            </w:pPr>
            <w:r>
              <w:rPr>
                <w:color w:val="292524"/>
                <w:spacing w:val="9"/>
                <w:sz w:val="16"/>
                <w:szCs w:val="16"/>
              </w:rPr>
              <w:t>故障录波装置探针部署</w:t>
            </w:r>
          </w:p>
        </w:tc>
        <w:tc>
          <w:tcPr>
            <w:tcW w:w="2946" w:type="dxa"/>
            <w:tcBorders>
              <w:top w:val="single" w:color="E7E5E4" w:sz="4" w:space="0"/>
              <w:bottom w:val="single" w:color="E7E5E4" w:sz="4" w:space="0"/>
            </w:tcBorders>
            <w:vAlign w:val="top"/>
          </w:tcPr>
          <w:p w14:paraId="5A0FE648">
            <w:pPr>
              <w:pStyle w:val="20"/>
              <w:spacing w:before="109"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23-40</w:t>
            </w:r>
            <w:r>
              <w:rPr>
                <w:color w:val="292524"/>
                <w:spacing w:val="-1"/>
                <w:sz w:val="16"/>
                <w:szCs w:val="16"/>
              </w:rPr>
              <w:t>天</w:t>
            </w:r>
          </w:p>
        </w:tc>
        <w:tc>
          <w:tcPr>
            <w:tcW w:w="1473" w:type="dxa"/>
            <w:tcBorders>
              <w:top w:val="single" w:color="E7E5E4" w:sz="4" w:space="0"/>
              <w:bottom w:val="single" w:color="E7E5E4" w:sz="4" w:space="0"/>
            </w:tcBorders>
            <w:vAlign w:val="top"/>
          </w:tcPr>
          <w:p w14:paraId="1FAFA433">
            <w:pPr>
              <w:pStyle w:val="20"/>
              <w:spacing w:before="113" w:line="186" w:lineRule="auto"/>
              <w:ind w:left="119"/>
              <w:rPr>
                <w:sz w:val="16"/>
                <w:szCs w:val="16"/>
              </w:rPr>
            </w:pPr>
            <w:r>
              <w:rPr>
                <w:color w:val="292524"/>
                <w:spacing w:val="8"/>
                <w:sz w:val="16"/>
                <w:szCs w:val="16"/>
              </w:rPr>
              <w:t>施工组</w:t>
            </w:r>
          </w:p>
        </w:tc>
        <w:tc>
          <w:tcPr>
            <w:tcW w:w="1473" w:type="dxa"/>
            <w:tcBorders>
              <w:top w:val="single" w:color="E7E5E4" w:sz="4" w:space="0"/>
              <w:bottom w:val="single" w:color="E7E5E4" w:sz="4" w:space="0"/>
            </w:tcBorders>
            <w:vAlign w:val="top"/>
          </w:tcPr>
          <w:p w14:paraId="3DCF4EBD">
            <w:pPr>
              <w:pStyle w:val="20"/>
              <w:spacing w:before="113" w:line="225" w:lineRule="auto"/>
              <w:ind w:left="119" w:right="169" w:firstLine="2"/>
              <w:rPr>
                <w:sz w:val="16"/>
                <w:szCs w:val="16"/>
              </w:rPr>
            </w:pPr>
            <w:r>
              <w:rPr>
                <w:color w:val="292524"/>
                <w:spacing w:val="8"/>
                <w:sz w:val="16"/>
                <w:szCs w:val="16"/>
              </w:rPr>
              <w:t>分批次，含学习模式运行</w:t>
            </w:r>
          </w:p>
        </w:tc>
      </w:tr>
      <w:tr w14:paraId="2965ED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4" w:hRule="atLeast"/>
        </w:trPr>
        <w:tc>
          <w:tcPr>
            <w:tcW w:w="1473" w:type="dxa"/>
            <w:tcBorders>
              <w:top w:val="single" w:color="E7E5E4" w:sz="4" w:space="0"/>
              <w:bottom w:val="single" w:color="E7E5E4" w:sz="4" w:space="0"/>
            </w:tcBorders>
            <w:vAlign w:val="top"/>
          </w:tcPr>
          <w:p w14:paraId="60793066">
            <w:pPr>
              <w:pStyle w:val="20"/>
              <w:spacing w:before="114" w:line="185" w:lineRule="auto"/>
              <w:ind w:left="120"/>
              <w:rPr>
                <w:sz w:val="16"/>
                <w:szCs w:val="16"/>
              </w:rPr>
            </w:pPr>
            <w:r>
              <w:rPr>
                <w:color w:val="292524"/>
                <w:spacing w:val="8"/>
                <w:sz w:val="16"/>
                <w:szCs w:val="16"/>
              </w:rPr>
              <w:t>现场实施</w:t>
            </w:r>
          </w:p>
        </w:tc>
        <w:tc>
          <w:tcPr>
            <w:tcW w:w="2259" w:type="dxa"/>
            <w:tcBorders>
              <w:top w:val="single" w:color="E7E5E4" w:sz="4" w:space="0"/>
              <w:bottom w:val="single" w:color="E7E5E4" w:sz="4" w:space="0"/>
            </w:tcBorders>
            <w:vAlign w:val="top"/>
          </w:tcPr>
          <w:p w14:paraId="3839B01A">
            <w:pPr>
              <w:pStyle w:val="20"/>
              <w:spacing w:before="87" w:line="234" w:lineRule="auto"/>
              <w:ind w:left="120" w:right="254" w:firstLine="2"/>
              <w:rPr>
                <w:sz w:val="16"/>
                <w:szCs w:val="16"/>
              </w:rPr>
            </w:pPr>
            <w:r>
              <w:rPr>
                <w:color w:val="292524"/>
                <w:spacing w:val="3"/>
                <w:sz w:val="16"/>
                <w:szCs w:val="16"/>
              </w:rPr>
              <w:t>重点设备（五防</w:t>
            </w:r>
            <w:r>
              <w:rPr>
                <w:rFonts w:ascii="Cambria" w:hAnsi="Cambria" w:eastAsia="Cambria" w:cs="Cambria"/>
                <w:color w:val="292524"/>
                <w:spacing w:val="3"/>
                <w:sz w:val="16"/>
                <w:szCs w:val="16"/>
              </w:rPr>
              <w:t>/</w:t>
            </w:r>
            <w:r>
              <w:rPr>
                <w:color w:val="292524"/>
                <w:spacing w:val="3"/>
                <w:sz w:val="16"/>
                <w:szCs w:val="16"/>
              </w:rPr>
              <w:t>电能量）</w:t>
            </w:r>
            <w:r>
              <w:rPr>
                <w:color w:val="292524"/>
                <w:spacing w:val="8"/>
                <w:sz w:val="16"/>
                <w:szCs w:val="16"/>
              </w:rPr>
              <w:t>探针部署</w:t>
            </w:r>
          </w:p>
        </w:tc>
        <w:tc>
          <w:tcPr>
            <w:tcW w:w="2946" w:type="dxa"/>
            <w:tcBorders>
              <w:top w:val="single" w:color="E7E5E4" w:sz="4" w:space="0"/>
              <w:bottom w:val="single" w:color="E7E5E4" w:sz="4" w:space="0"/>
            </w:tcBorders>
            <w:vAlign w:val="top"/>
          </w:tcPr>
          <w:p w14:paraId="352CE443">
            <w:pPr>
              <w:pStyle w:val="20"/>
              <w:spacing w:before="111"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36-42</w:t>
            </w:r>
            <w:r>
              <w:rPr>
                <w:color w:val="292524"/>
                <w:spacing w:val="-1"/>
                <w:sz w:val="16"/>
                <w:szCs w:val="16"/>
              </w:rPr>
              <w:t>天</w:t>
            </w:r>
          </w:p>
        </w:tc>
        <w:tc>
          <w:tcPr>
            <w:tcW w:w="1473" w:type="dxa"/>
            <w:tcBorders>
              <w:top w:val="single" w:color="E7E5E4" w:sz="4" w:space="0"/>
              <w:bottom w:val="single" w:color="E7E5E4" w:sz="4" w:space="0"/>
            </w:tcBorders>
            <w:vAlign w:val="top"/>
          </w:tcPr>
          <w:p w14:paraId="60CB7827">
            <w:pPr>
              <w:pStyle w:val="20"/>
              <w:spacing w:before="87" w:line="234" w:lineRule="auto"/>
              <w:ind w:left="123" w:right="254" w:hanging="4"/>
              <w:rPr>
                <w:sz w:val="16"/>
                <w:szCs w:val="16"/>
              </w:rPr>
            </w:pPr>
            <w:r>
              <w:rPr>
                <w:color w:val="292524"/>
                <w:spacing w:val="7"/>
                <w:sz w:val="16"/>
                <w:szCs w:val="16"/>
              </w:rPr>
              <w:t>施工组</w:t>
            </w:r>
            <w:r>
              <w:rPr>
                <w:rFonts w:ascii="Cambria" w:hAnsi="Cambria" w:eastAsia="Cambria" w:cs="Cambria"/>
                <w:color w:val="292524"/>
                <w:spacing w:val="7"/>
                <w:sz w:val="16"/>
                <w:szCs w:val="16"/>
              </w:rPr>
              <w:t>+</w:t>
            </w:r>
            <w:r>
              <w:rPr>
                <w:color w:val="292524"/>
                <w:spacing w:val="7"/>
                <w:sz w:val="16"/>
                <w:szCs w:val="16"/>
              </w:rPr>
              <w:t>技术负</w:t>
            </w:r>
            <w:r>
              <w:rPr>
                <w:color w:val="292524"/>
                <w:spacing w:val="5"/>
                <w:sz w:val="16"/>
                <w:szCs w:val="16"/>
              </w:rPr>
              <w:t>责人</w:t>
            </w:r>
          </w:p>
        </w:tc>
        <w:tc>
          <w:tcPr>
            <w:tcW w:w="1473" w:type="dxa"/>
            <w:tcBorders>
              <w:top w:val="single" w:color="E7E5E4" w:sz="4" w:space="0"/>
              <w:bottom w:val="single" w:color="E7E5E4" w:sz="4" w:space="0"/>
            </w:tcBorders>
            <w:vAlign w:val="top"/>
          </w:tcPr>
          <w:p w14:paraId="4136D110">
            <w:pPr>
              <w:pStyle w:val="20"/>
              <w:spacing w:before="114" w:line="185" w:lineRule="auto"/>
              <w:ind w:left="124"/>
              <w:rPr>
                <w:sz w:val="16"/>
                <w:szCs w:val="16"/>
              </w:rPr>
            </w:pPr>
            <w:r>
              <w:rPr>
                <w:color w:val="292524"/>
                <w:spacing w:val="8"/>
                <w:sz w:val="16"/>
                <w:szCs w:val="16"/>
              </w:rPr>
              <w:t>需专门检修窗口</w:t>
            </w:r>
          </w:p>
        </w:tc>
      </w:tr>
      <w:tr w14:paraId="55380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473" w:type="dxa"/>
            <w:tcBorders>
              <w:top w:val="single" w:color="E7E5E4" w:sz="4" w:space="0"/>
              <w:bottom w:val="single" w:color="E7E5E4" w:sz="4" w:space="0"/>
            </w:tcBorders>
            <w:vAlign w:val="top"/>
          </w:tcPr>
          <w:p w14:paraId="5AB172EC">
            <w:pPr>
              <w:pStyle w:val="20"/>
              <w:spacing w:before="116" w:line="185" w:lineRule="auto"/>
              <w:ind w:left="120"/>
              <w:rPr>
                <w:sz w:val="16"/>
                <w:szCs w:val="16"/>
              </w:rPr>
            </w:pPr>
            <w:r>
              <w:rPr>
                <w:color w:val="292524"/>
                <w:spacing w:val="8"/>
                <w:sz w:val="16"/>
                <w:szCs w:val="16"/>
              </w:rPr>
              <w:t>现场实施</w:t>
            </w:r>
          </w:p>
        </w:tc>
        <w:tc>
          <w:tcPr>
            <w:tcW w:w="2259" w:type="dxa"/>
            <w:tcBorders>
              <w:top w:val="single" w:color="E7E5E4" w:sz="4" w:space="0"/>
              <w:bottom w:val="single" w:color="E7E5E4" w:sz="4" w:space="0"/>
            </w:tcBorders>
            <w:vAlign w:val="top"/>
          </w:tcPr>
          <w:p w14:paraId="198950AE">
            <w:pPr>
              <w:pStyle w:val="20"/>
              <w:spacing w:before="116" w:line="186" w:lineRule="auto"/>
              <w:ind w:left="126"/>
              <w:rPr>
                <w:sz w:val="16"/>
                <w:szCs w:val="16"/>
              </w:rPr>
            </w:pPr>
            <w:r>
              <w:rPr>
                <w:color w:val="292524"/>
                <w:spacing w:val="7"/>
                <w:sz w:val="16"/>
                <w:szCs w:val="16"/>
              </w:rPr>
              <w:t>隔离装置接入</w:t>
            </w:r>
          </w:p>
        </w:tc>
        <w:tc>
          <w:tcPr>
            <w:tcW w:w="2946" w:type="dxa"/>
            <w:tcBorders>
              <w:top w:val="single" w:color="E7E5E4" w:sz="4" w:space="0"/>
              <w:bottom w:val="single" w:color="E7E5E4" w:sz="4" w:space="0"/>
            </w:tcBorders>
            <w:vAlign w:val="top"/>
          </w:tcPr>
          <w:p w14:paraId="206B847A">
            <w:pPr>
              <w:pStyle w:val="20"/>
              <w:spacing w:before="114"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38-44</w:t>
            </w:r>
            <w:r>
              <w:rPr>
                <w:color w:val="292524"/>
                <w:spacing w:val="-1"/>
                <w:sz w:val="16"/>
                <w:szCs w:val="16"/>
              </w:rPr>
              <w:t>天</w:t>
            </w:r>
          </w:p>
        </w:tc>
        <w:tc>
          <w:tcPr>
            <w:tcW w:w="1473" w:type="dxa"/>
            <w:tcBorders>
              <w:top w:val="single" w:color="E7E5E4" w:sz="4" w:space="0"/>
              <w:bottom w:val="single" w:color="E7E5E4" w:sz="4" w:space="0"/>
            </w:tcBorders>
            <w:vAlign w:val="top"/>
          </w:tcPr>
          <w:p w14:paraId="027B9BA0">
            <w:pPr>
              <w:pStyle w:val="20"/>
              <w:spacing w:before="90" w:line="241" w:lineRule="auto"/>
              <w:ind w:left="119"/>
              <w:rPr>
                <w:sz w:val="16"/>
                <w:szCs w:val="16"/>
              </w:rPr>
            </w:pPr>
            <w:r>
              <w:rPr>
                <w:color w:val="292524"/>
                <w:spacing w:val="6"/>
                <w:sz w:val="16"/>
                <w:szCs w:val="16"/>
              </w:rPr>
              <w:t>施工组</w:t>
            </w:r>
            <w:r>
              <w:rPr>
                <w:rFonts w:ascii="Cambria" w:hAnsi="Cambria" w:eastAsia="Cambria" w:cs="Cambria"/>
                <w:color w:val="292524"/>
                <w:spacing w:val="6"/>
                <w:sz w:val="16"/>
                <w:szCs w:val="16"/>
              </w:rPr>
              <w:t>+</w:t>
            </w:r>
            <w:r>
              <w:rPr>
                <w:color w:val="292524"/>
                <w:spacing w:val="6"/>
                <w:sz w:val="16"/>
                <w:szCs w:val="16"/>
              </w:rPr>
              <w:t>厂商</w:t>
            </w:r>
          </w:p>
        </w:tc>
        <w:tc>
          <w:tcPr>
            <w:tcW w:w="1473" w:type="dxa"/>
            <w:tcBorders>
              <w:top w:val="single" w:color="E7E5E4" w:sz="4" w:space="0"/>
              <w:bottom w:val="single" w:color="E7E5E4" w:sz="4" w:space="0"/>
            </w:tcBorders>
            <w:vAlign w:val="top"/>
          </w:tcPr>
          <w:p w14:paraId="71C1C633">
            <w:pPr>
              <w:pStyle w:val="20"/>
              <w:spacing w:before="118" w:line="184" w:lineRule="auto"/>
              <w:ind w:left="121"/>
              <w:rPr>
                <w:sz w:val="16"/>
                <w:szCs w:val="16"/>
              </w:rPr>
            </w:pPr>
            <w:r>
              <w:rPr>
                <w:color w:val="292524"/>
                <w:spacing w:val="8"/>
                <w:sz w:val="16"/>
                <w:szCs w:val="16"/>
              </w:rPr>
              <w:t>协调厂商配合</w:t>
            </w:r>
          </w:p>
        </w:tc>
      </w:tr>
      <w:tr w14:paraId="104AB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8" w:hRule="atLeast"/>
        </w:trPr>
        <w:tc>
          <w:tcPr>
            <w:tcW w:w="1473" w:type="dxa"/>
            <w:tcBorders>
              <w:top w:val="single" w:color="E7E5E4" w:sz="4" w:space="0"/>
              <w:bottom w:val="single" w:color="E7E5E4" w:sz="4" w:space="0"/>
            </w:tcBorders>
            <w:vAlign w:val="top"/>
          </w:tcPr>
          <w:p w14:paraId="1D793ECD">
            <w:pPr>
              <w:pStyle w:val="20"/>
              <w:spacing w:before="117" w:line="185" w:lineRule="auto"/>
              <w:ind w:left="120"/>
              <w:rPr>
                <w:sz w:val="16"/>
                <w:szCs w:val="16"/>
              </w:rPr>
            </w:pPr>
            <w:r>
              <w:rPr>
                <w:color w:val="292524"/>
                <w:spacing w:val="8"/>
                <w:sz w:val="16"/>
                <w:szCs w:val="16"/>
              </w:rPr>
              <w:t>现场实施</w:t>
            </w:r>
          </w:p>
        </w:tc>
        <w:tc>
          <w:tcPr>
            <w:tcW w:w="2259" w:type="dxa"/>
            <w:tcBorders>
              <w:top w:val="single" w:color="E7E5E4" w:sz="4" w:space="0"/>
              <w:bottom w:val="single" w:color="E7E5E4" w:sz="4" w:space="0"/>
            </w:tcBorders>
            <w:vAlign w:val="top"/>
          </w:tcPr>
          <w:p w14:paraId="00FD34A1">
            <w:pPr>
              <w:pStyle w:val="20"/>
              <w:spacing w:before="118" w:line="184" w:lineRule="auto"/>
              <w:ind w:left="123"/>
              <w:rPr>
                <w:sz w:val="16"/>
                <w:szCs w:val="16"/>
              </w:rPr>
            </w:pPr>
            <w:r>
              <w:rPr>
                <w:color w:val="292524"/>
                <w:spacing w:val="7"/>
                <w:sz w:val="16"/>
                <w:szCs w:val="16"/>
              </w:rPr>
              <w:t>主机加固</w:t>
            </w:r>
          </w:p>
        </w:tc>
        <w:tc>
          <w:tcPr>
            <w:tcW w:w="2946" w:type="dxa"/>
            <w:tcBorders>
              <w:top w:val="single" w:color="E7E5E4" w:sz="4" w:space="0"/>
              <w:bottom w:val="single" w:color="E7E5E4" w:sz="4" w:space="0"/>
            </w:tcBorders>
            <w:vAlign w:val="top"/>
          </w:tcPr>
          <w:p w14:paraId="78229AD3">
            <w:pPr>
              <w:pStyle w:val="20"/>
              <w:spacing w:before="114"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30-47</w:t>
            </w:r>
            <w:r>
              <w:rPr>
                <w:color w:val="292524"/>
                <w:spacing w:val="-1"/>
                <w:sz w:val="16"/>
                <w:szCs w:val="16"/>
              </w:rPr>
              <w:t>天</w:t>
            </w:r>
          </w:p>
        </w:tc>
        <w:tc>
          <w:tcPr>
            <w:tcW w:w="1473" w:type="dxa"/>
            <w:tcBorders>
              <w:top w:val="single" w:color="E7E5E4" w:sz="4" w:space="0"/>
              <w:bottom w:val="single" w:color="E7E5E4" w:sz="4" w:space="0"/>
            </w:tcBorders>
            <w:vAlign w:val="top"/>
          </w:tcPr>
          <w:p w14:paraId="2B21686F">
            <w:pPr>
              <w:pStyle w:val="20"/>
              <w:spacing w:before="119" w:line="186" w:lineRule="auto"/>
              <w:ind w:left="119"/>
              <w:rPr>
                <w:sz w:val="16"/>
                <w:szCs w:val="16"/>
              </w:rPr>
            </w:pPr>
            <w:r>
              <w:rPr>
                <w:color w:val="292524"/>
                <w:spacing w:val="8"/>
                <w:sz w:val="16"/>
                <w:szCs w:val="16"/>
              </w:rPr>
              <w:t>施工组</w:t>
            </w:r>
          </w:p>
        </w:tc>
        <w:tc>
          <w:tcPr>
            <w:tcW w:w="1473" w:type="dxa"/>
            <w:tcBorders>
              <w:top w:val="single" w:color="E7E5E4" w:sz="4" w:space="0"/>
              <w:bottom w:val="single" w:color="E7E5E4" w:sz="4" w:space="0"/>
            </w:tcBorders>
            <w:vAlign w:val="top"/>
          </w:tcPr>
          <w:p w14:paraId="168731B0">
            <w:pPr>
              <w:pStyle w:val="20"/>
              <w:spacing w:before="117" w:line="223" w:lineRule="auto"/>
              <w:ind w:left="119" w:right="169" w:firstLine="4"/>
              <w:rPr>
                <w:sz w:val="16"/>
                <w:szCs w:val="16"/>
              </w:rPr>
            </w:pPr>
            <w:r>
              <w:rPr>
                <w:color w:val="292524"/>
                <w:spacing w:val="8"/>
                <w:sz w:val="16"/>
                <w:szCs w:val="16"/>
              </w:rPr>
              <w:t>与探针部署并行</w:t>
            </w:r>
            <w:r>
              <w:rPr>
                <w:color w:val="292524"/>
                <w:spacing w:val="7"/>
                <w:sz w:val="16"/>
                <w:szCs w:val="16"/>
              </w:rPr>
              <w:t>推进</w:t>
            </w:r>
          </w:p>
        </w:tc>
      </w:tr>
      <w:tr w14:paraId="0D513F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4" w:hRule="atLeast"/>
        </w:trPr>
        <w:tc>
          <w:tcPr>
            <w:tcW w:w="1473" w:type="dxa"/>
            <w:tcBorders>
              <w:top w:val="single" w:color="E7E5E4" w:sz="4" w:space="0"/>
              <w:bottom w:val="single" w:color="E7E5E4" w:sz="4" w:space="0"/>
            </w:tcBorders>
            <w:vAlign w:val="top"/>
          </w:tcPr>
          <w:p w14:paraId="2D2E246C">
            <w:pPr>
              <w:pStyle w:val="20"/>
              <w:spacing w:before="119" w:line="185" w:lineRule="auto"/>
              <w:ind w:left="120"/>
              <w:rPr>
                <w:sz w:val="16"/>
                <w:szCs w:val="16"/>
              </w:rPr>
            </w:pPr>
            <w:r>
              <w:rPr>
                <w:color w:val="292524"/>
                <w:spacing w:val="8"/>
                <w:sz w:val="16"/>
                <w:szCs w:val="16"/>
              </w:rPr>
              <w:t>现场实施</w:t>
            </w:r>
          </w:p>
        </w:tc>
        <w:tc>
          <w:tcPr>
            <w:tcW w:w="2259" w:type="dxa"/>
            <w:tcBorders>
              <w:top w:val="single" w:color="E7E5E4" w:sz="4" w:space="0"/>
              <w:bottom w:val="single" w:color="E7E5E4" w:sz="4" w:space="0"/>
            </w:tcBorders>
            <w:vAlign w:val="top"/>
          </w:tcPr>
          <w:p w14:paraId="2102A03A">
            <w:pPr>
              <w:pStyle w:val="20"/>
              <w:spacing w:before="120" w:line="184" w:lineRule="auto"/>
              <w:ind w:left="138"/>
              <w:rPr>
                <w:sz w:val="16"/>
                <w:szCs w:val="16"/>
              </w:rPr>
            </w:pPr>
            <w:r>
              <w:rPr>
                <w:color w:val="292524"/>
                <w:spacing w:val="6"/>
                <w:sz w:val="16"/>
                <w:szCs w:val="16"/>
              </w:rPr>
              <w:t>白名单配置与精化</w:t>
            </w:r>
          </w:p>
        </w:tc>
        <w:tc>
          <w:tcPr>
            <w:tcW w:w="2946" w:type="dxa"/>
            <w:tcBorders>
              <w:top w:val="single" w:color="E7E5E4" w:sz="4" w:space="0"/>
              <w:bottom w:val="single" w:color="E7E5E4" w:sz="4" w:space="0"/>
            </w:tcBorders>
            <w:vAlign w:val="top"/>
          </w:tcPr>
          <w:p w14:paraId="5DC7C8E0">
            <w:pPr>
              <w:pStyle w:val="20"/>
              <w:spacing w:before="116"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46-50</w:t>
            </w:r>
            <w:r>
              <w:rPr>
                <w:color w:val="292524"/>
                <w:spacing w:val="-1"/>
                <w:sz w:val="16"/>
                <w:szCs w:val="16"/>
              </w:rPr>
              <w:t>天</w:t>
            </w:r>
          </w:p>
        </w:tc>
        <w:tc>
          <w:tcPr>
            <w:tcW w:w="1473" w:type="dxa"/>
            <w:tcBorders>
              <w:top w:val="single" w:color="E7E5E4" w:sz="4" w:space="0"/>
              <w:bottom w:val="single" w:color="E7E5E4" w:sz="4" w:space="0"/>
            </w:tcBorders>
            <w:vAlign w:val="top"/>
          </w:tcPr>
          <w:p w14:paraId="4D812A6B">
            <w:pPr>
              <w:pStyle w:val="20"/>
              <w:spacing w:before="93" w:line="232" w:lineRule="auto"/>
              <w:ind w:left="122" w:right="254" w:hanging="3"/>
              <w:rPr>
                <w:sz w:val="16"/>
                <w:szCs w:val="16"/>
              </w:rPr>
            </w:pPr>
            <w:r>
              <w:rPr>
                <w:color w:val="292524"/>
                <w:spacing w:val="7"/>
                <w:sz w:val="16"/>
                <w:szCs w:val="16"/>
              </w:rPr>
              <w:t>技术负责人</w:t>
            </w:r>
            <w:r>
              <w:rPr>
                <w:rFonts w:ascii="Cambria" w:hAnsi="Cambria" w:eastAsia="Cambria" w:cs="Cambria"/>
                <w:color w:val="292524"/>
                <w:spacing w:val="7"/>
                <w:sz w:val="16"/>
                <w:szCs w:val="16"/>
              </w:rPr>
              <w:t>+</w:t>
            </w:r>
            <w:r>
              <w:rPr>
                <w:color w:val="292524"/>
                <w:spacing w:val="7"/>
                <w:sz w:val="16"/>
                <w:szCs w:val="16"/>
              </w:rPr>
              <w:t>业</w:t>
            </w:r>
            <w:r>
              <w:rPr>
                <w:color w:val="292524"/>
                <w:spacing w:val="5"/>
                <w:sz w:val="16"/>
                <w:szCs w:val="16"/>
              </w:rPr>
              <w:t>主方</w:t>
            </w:r>
          </w:p>
        </w:tc>
        <w:tc>
          <w:tcPr>
            <w:tcW w:w="1473" w:type="dxa"/>
            <w:tcBorders>
              <w:top w:val="single" w:color="E7E5E4" w:sz="4" w:space="0"/>
              <w:bottom w:val="single" w:color="E7E5E4" w:sz="4" w:space="0"/>
            </w:tcBorders>
            <w:vAlign w:val="top"/>
          </w:tcPr>
          <w:p w14:paraId="23C70A53">
            <w:pPr>
              <w:pStyle w:val="20"/>
              <w:spacing w:before="119" w:line="186" w:lineRule="auto"/>
              <w:ind w:left="119"/>
              <w:rPr>
                <w:sz w:val="16"/>
                <w:szCs w:val="16"/>
              </w:rPr>
            </w:pPr>
            <w:r>
              <w:rPr>
                <w:color w:val="292524"/>
                <w:spacing w:val="8"/>
                <w:sz w:val="16"/>
                <w:szCs w:val="16"/>
              </w:rPr>
              <w:t>含联合审核</w:t>
            </w:r>
          </w:p>
        </w:tc>
      </w:tr>
      <w:tr w14:paraId="6BE54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8" w:hRule="atLeast"/>
        </w:trPr>
        <w:tc>
          <w:tcPr>
            <w:tcW w:w="1473" w:type="dxa"/>
            <w:tcBorders>
              <w:top w:val="single" w:color="E7E5E4" w:sz="4" w:space="0"/>
              <w:bottom w:val="single" w:color="E7E5E4" w:sz="2" w:space="0"/>
            </w:tcBorders>
            <w:vAlign w:val="top"/>
          </w:tcPr>
          <w:p w14:paraId="52469497">
            <w:pPr>
              <w:pStyle w:val="20"/>
              <w:spacing w:before="122" w:line="185" w:lineRule="auto"/>
              <w:ind w:left="119"/>
              <w:rPr>
                <w:sz w:val="16"/>
                <w:szCs w:val="16"/>
              </w:rPr>
            </w:pPr>
            <w:r>
              <w:rPr>
                <w:color w:val="292524"/>
                <w:spacing w:val="8"/>
                <w:sz w:val="16"/>
                <w:szCs w:val="16"/>
              </w:rPr>
              <w:t>测试验收</w:t>
            </w:r>
          </w:p>
        </w:tc>
        <w:tc>
          <w:tcPr>
            <w:tcW w:w="2259" w:type="dxa"/>
            <w:tcBorders>
              <w:top w:val="single" w:color="E7E5E4" w:sz="4" w:space="0"/>
              <w:bottom w:val="single" w:color="E7E5E4" w:sz="2" w:space="0"/>
            </w:tcBorders>
            <w:vAlign w:val="top"/>
          </w:tcPr>
          <w:p w14:paraId="30857CDB">
            <w:pPr>
              <w:pStyle w:val="20"/>
              <w:spacing w:before="123" w:line="186" w:lineRule="auto"/>
              <w:ind w:left="120"/>
              <w:rPr>
                <w:sz w:val="16"/>
                <w:szCs w:val="16"/>
              </w:rPr>
            </w:pPr>
            <w:r>
              <w:rPr>
                <w:color w:val="292524"/>
                <w:spacing w:val="9"/>
                <w:sz w:val="16"/>
                <w:szCs w:val="16"/>
              </w:rPr>
              <w:t>通讯及告警测试</w:t>
            </w:r>
          </w:p>
        </w:tc>
        <w:tc>
          <w:tcPr>
            <w:tcW w:w="2946" w:type="dxa"/>
            <w:tcBorders>
              <w:top w:val="single" w:color="E7E5E4" w:sz="4" w:space="0"/>
              <w:bottom w:val="single" w:color="E7E5E4" w:sz="2" w:space="0"/>
            </w:tcBorders>
            <w:vAlign w:val="top"/>
          </w:tcPr>
          <w:p w14:paraId="167D2555">
            <w:pPr>
              <w:pStyle w:val="20"/>
              <w:spacing w:before="119"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51-55</w:t>
            </w:r>
            <w:r>
              <w:rPr>
                <w:color w:val="292524"/>
                <w:spacing w:val="-1"/>
                <w:sz w:val="16"/>
                <w:szCs w:val="16"/>
              </w:rPr>
              <w:t>天</w:t>
            </w:r>
          </w:p>
        </w:tc>
        <w:tc>
          <w:tcPr>
            <w:tcW w:w="1473" w:type="dxa"/>
            <w:tcBorders>
              <w:top w:val="single" w:color="E7E5E4" w:sz="4" w:space="0"/>
              <w:bottom w:val="single" w:color="E7E5E4" w:sz="2" w:space="0"/>
            </w:tcBorders>
            <w:vAlign w:val="top"/>
          </w:tcPr>
          <w:p w14:paraId="7B300E90">
            <w:pPr>
              <w:pStyle w:val="20"/>
              <w:spacing w:before="95" w:line="242" w:lineRule="auto"/>
              <w:ind w:left="120"/>
              <w:rPr>
                <w:sz w:val="16"/>
                <w:szCs w:val="16"/>
              </w:rPr>
            </w:pPr>
            <w:r>
              <w:rPr>
                <w:color w:val="292524"/>
                <w:spacing w:val="7"/>
                <w:sz w:val="16"/>
                <w:szCs w:val="16"/>
              </w:rPr>
              <w:t>测试组</w:t>
            </w:r>
            <w:r>
              <w:rPr>
                <w:rFonts w:ascii="Cambria" w:hAnsi="Cambria" w:eastAsia="Cambria" w:cs="Cambria"/>
                <w:color w:val="292524"/>
                <w:spacing w:val="7"/>
                <w:sz w:val="16"/>
                <w:szCs w:val="16"/>
              </w:rPr>
              <w:t>+</w:t>
            </w:r>
            <w:r>
              <w:rPr>
                <w:color w:val="292524"/>
                <w:spacing w:val="7"/>
                <w:sz w:val="16"/>
                <w:szCs w:val="16"/>
              </w:rPr>
              <w:t>业主方</w:t>
            </w:r>
          </w:p>
        </w:tc>
        <w:tc>
          <w:tcPr>
            <w:tcW w:w="1473" w:type="dxa"/>
            <w:tcBorders>
              <w:top w:val="single" w:color="E7E5E4" w:sz="4" w:space="0"/>
              <w:bottom w:val="single" w:color="E7E5E4" w:sz="2" w:space="0"/>
            </w:tcBorders>
            <w:vAlign w:val="top"/>
          </w:tcPr>
          <w:p w14:paraId="22E42CF7">
            <w:pPr>
              <w:pStyle w:val="20"/>
              <w:spacing w:before="122" w:line="221" w:lineRule="auto"/>
              <w:ind w:left="119" w:right="169" w:hanging="1"/>
              <w:rPr>
                <w:sz w:val="16"/>
                <w:szCs w:val="16"/>
              </w:rPr>
            </w:pPr>
            <w:r>
              <w:rPr>
                <w:color w:val="292524"/>
                <w:spacing w:val="9"/>
                <w:sz w:val="16"/>
                <w:szCs w:val="16"/>
              </w:rPr>
              <w:t>全部测试用例通</w:t>
            </w:r>
            <w:r>
              <w:rPr>
                <w:color w:val="292524"/>
                <w:spacing w:val="3"/>
                <w:sz w:val="16"/>
                <w:szCs w:val="16"/>
              </w:rPr>
              <w:t>过</w:t>
            </w:r>
          </w:p>
        </w:tc>
      </w:tr>
      <w:tr w14:paraId="20F979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9" w:hRule="atLeast"/>
        </w:trPr>
        <w:tc>
          <w:tcPr>
            <w:tcW w:w="1473" w:type="dxa"/>
            <w:tcBorders>
              <w:top w:val="single" w:color="E7E5E4" w:sz="2" w:space="0"/>
              <w:bottom w:val="single" w:color="E7E5E4" w:sz="2" w:space="0"/>
            </w:tcBorders>
            <w:vAlign w:val="top"/>
          </w:tcPr>
          <w:p w14:paraId="1481990C">
            <w:pPr>
              <w:pStyle w:val="20"/>
              <w:spacing w:before="129" w:line="185" w:lineRule="auto"/>
              <w:ind w:left="119"/>
              <w:rPr>
                <w:sz w:val="16"/>
                <w:szCs w:val="16"/>
              </w:rPr>
            </w:pPr>
            <w:r>
              <w:rPr>
                <w:color w:val="292524"/>
                <w:spacing w:val="8"/>
                <w:sz w:val="16"/>
                <w:szCs w:val="16"/>
              </w:rPr>
              <w:t>测试验收</w:t>
            </w:r>
          </w:p>
        </w:tc>
        <w:tc>
          <w:tcPr>
            <w:tcW w:w="2259" w:type="dxa"/>
            <w:tcBorders>
              <w:top w:val="single" w:color="E7E5E4" w:sz="2" w:space="0"/>
              <w:bottom w:val="single" w:color="E7E5E4" w:sz="2" w:space="0"/>
            </w:tcBorders>
            <w:vAlign w:val="top"/>
          </w:tcPr>
          <w:p w14:paraId="1DF41C29">
            <w:pPr>
              <w:pStyle w:val="20"/>
              <w:spacing w:before="130" w:line="186" w:lineRule="auto"/>
              <w:ind w:left="122"/>
              <w:rPr>
                <w:sz w:val="16"/>
                <w:szCs w:val="16"/>
              </w:rPr>
            </w:pPr>
            <w:r>
              <w:rPr>
                <w:color w:val="292524"/>
                <w:spacing w:val="7"/>
                <w:sz w:val="16"/>
                <w:szCs w:val="16"/>
              </w:rPr>
              <w:t>平台联调</w:t>
            </w:r>
          </w:p>
        </w:tc>
        <w:tc>
          <w:tcPr>
            <w:tcW w:w="2946" w:type="dxa"/>
            <w:tcBorders>
              <w:top w:val="single" w:color="E7E5E4" w:sz="2" w:space="0"/>
              <w:bottom w:val="single" w:color="E7E5E4" w:sz="2" w:space="0"/>
            </w:tcBorders>
            <w:vAlign w:val="top"/>
          </w:tcPr>
          <w:p w14:paraId="4C999724">
            <w:pPr>
              <w:pStyle w:val="20"/>
              <w:spacing w:before="126"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56-57</w:t>
            </w:r>
            <w:r>
              <w:rPr>
                <w:color w:val="292524"/>
                <w:spacing w:val="-1"/>
                <w:sz w:val="16"/>
                <w:szCs w:val="16"/>
              </w:rPr>
              <w:t>天</w:t>
            </w:r>
          </w:p>
        </w:tc>
        <w:tc>
          <w:tcPr>
            <w:tcW w:w="1473" w:type="dxa"/>
            <w:tcBorders>
              <w:top w:val="single" w:color="E7E5E4" w:sz="2" w:space="0"/>
              <w:bottom w:val="single" w:color="E7E5E4" w:sz="2" w:space="0"/>
            </w:tcBorders>
            <w:vAlign w:val="top"/>
          </w:tcPr>
          <w:p w14:paraId="63E359F3">
            <w:pPr>
              <w:pStyle w:val="20"/>
              <w:spacing w:before="102" w:line="230" w:lineRule="auto"/>
              <w:ind w:left="122" w:right="254" w:hanging="2"/>
              <w:rPr>
                <w:sz w:val="16"/>
                <w:szCs w:val="16"/>
              </w:rPr>
            </w:pPr>
            <w:r>
              <w:rPr>
                <w:color w:val="292524"/>
                <w:spacing w:val="7"/>
                <w:sz w:val="16"/>
                <w:szCs w:val="16"/>
              </w:rPr>
              <w:t>测试组</w:t>
            </w:r>
            <w:r>
              <w:rPr>
                <w:rFonts w:ascii="Cambria" w:hAnsi="Cambria" w:eastAsia="Cambria" w:cs="Cambria"/>
                <w:color w:val="292524"/>
                <w:spacing w:val="7"/>
                <w:sz w:val="16"/>
                <w:szCs w:val="16"/>
              </w:rPr>
              <w:t>+</w:t>
            </w:r>
            <w:r>
              <w:rPr>
                <w:color w:val="292524"/>
                <w:spacing w:val="7"/>
                <w:sz w:val="16"/>
                <w:szCs w:val="16"/>
              </w:rPr>
              <w:t>业主方</w:t>
            </w:r>
            <w:r>
              <w:rPr>
                <w:color w:val="292524"/>
                <w:spacing w:val="8"/>
                <w:sz w:val="16"/>
                <w:szCs w:val="16"/>
              </w:rPr>
              <w:t>平台管理员</w:t>
            </w:r>
          </w:p>
        </w:tc>
        <w:tc>
          <w:tcPr>
            <w:tcW w:w="1473" w:type="dxa"/>
            <w:tcBorders>
              <w:top w:val="single" w:color="E7E5E4" w:sz="2" w:space="0"/>
              <w:bottom w:val="single" w:color="E7E5E4" w:sz="2" w:space="0"/>
            </w:tcBorders>
            <w:vAlign w:val="top"/>
          </w:tcPr>
          <w:p w14:paraId="28E5CB09">
            <w:pPr>
              <w:pStyle w:val="20"/>
              <w:spacing w:before="130" w:line="185" w:lineRule="auto"/>
              <w:ind w:left="124"/>
              <w:rPr>
                <w:sz w:val="16"/>
                <w:szCs w:val="16"/>
              </w:rPr>
            </w:pPr>
            <w:r>
              <w:rPr>
                <w:color w:val="292524"/>
                <w:spacing w:val="8"/>
                <w:sz w:val="16"/>
                <w:szCs w:val="16"/>
              </w:rPr>
              <w:t>告警上送确认</w:t>
            </w:r>
          </w:p>
        </w:tc>
      </w:tr>
      <w:tr w14:paraId="2B571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3" w:hRule="atLeast"/>
        </w:trPr>
        <w:tc>
          <w:tcPr>
            <w:tcW w:w="1473" w:type="dxa"/>
            <w:tcBorders>
              <w:top w:val="single" w:color="E7E5E4" w:sz="2" w:space="0"/>
              <w:bottom w:val="single" w:color="E7E5E4" w:sz="2" w:space="0"/>
            </w:tcBorders>
            <w:vAlign w:val="top"/>
          </w:tcPr>
          <w:p w14:paraId="77A41837">
            <w:pPr>
              <w:pStyle w:val="20"/>
              <w:spacing w:before="131" w:line="185" w:lineRule="auto"/>
              <w:ind w:left="119"/>
              <w:rPr>
                <w:sz w:val="16"/>
                <w:szCs w:val="16"/>
              </w:rPr>
            </w:pPr>
            <w:r>
              <w:rPr>
                <w:color w:val="292524"/>
                <w:spacing w:val="8"/>
                <w:sz w:val="16"/>
                <w:szCs w:val="16"/>
              </w:rPr>
              <w:t>测试验收</w:t>
            </w:r>
          </w:p>
        </w:tc>
        <w:tc>
          <w:tcPr>
            <w:tcW w:w="2259" w:type="dxa"/>
            <w:tcBorders>
              <w:top w:val="single" w:color="E7E5E4" w:sz="2" w:space="0"/>
              <w:bottom w:val="single" w:color="E7E5E4" w:sz="2" w:space="0"/>
            </w:tcBorders>
            <w:vAlign w:val="top"/>
          </w:tcPr>
          <w:p w14:paraId="7B7FBC09">
            <w:pPr>
              <w:pStyle w:val="20"/>
              <w:spacing w:before="131" w:line="185" w:lineRule="auto"/>
              <w:ind w:left="121"/>
              <w:rPr>
                <w:sz w:val="16"/>
                <w:szCs w:val="16"/>
              </w:rPr>
            </w:pPr>
            <w:r>
              <w:rPr>
                <w:color w:val="292524"/>
                <w:spacing w:val="8"/>
                <w:sz w:val="16"/>
                <w:szCs w:val="16"/>
              </w:rPr>
              <w:t>竣工资料整理</w:t>
            </w:r>
          </w:p>
        </w:tc>
        <w:tc>
          <w:tcPr>
            <w:tcW w:w="2946" w:type="dxa"/>
            <w:tcBorders>
              <w:top w:val="single" w:color="E7E5E4" w:sz="2" w:space="0"/>
              <w:bottom w:val="single" w:color="E7E5E4" w:sz="2" w:space="0"/>
            </w:tcBorders>
            <w:vAlign w:val="top"/>
          </w:tcPr>
          <w:p w14:paraId="7B2EE730">
            <w:pPr>
              <w:pStyle w:val="20"/>
              <w:spacing w:before="128" w:line="185" w:lineRule="auto"/>
              <w:ind w:left="1115"/>
              <w:rPr>
                <w:sz w:val="16"/>
                <w:szCs w:val="16"/>
              </w:rPr>
            </w:pPr>
            <w:r>
              <w:rPr>
                <w:color w:val="292524"/>
                <w:spacing w:val="-1"/>
                <w:sz w:val="16"/>
                <w:szCs w:val="16"/>
              </w:rPr>
              <w:t>第</w:t>
            </w:r>
            <w:r>
              <w:rPr>
                <w:rFonts w:ascii="Cambria" w:hAnsi="Cambria" w:eastAsia="Cambria" w:cs="Cambria"/>
                <w:color w:val="292524"/>
                <w:spacing w:val="-1"/>
                <w:sz w:val="16"/>
                <w:szCs w:val="16"/>
              </w:rPr>
              <w:t>58-59</w:t>
            </w:r>
            <w:r>
              <w:rPr>
                <w:color w:val="292524"/>
                <w:spacing w:val="-1"/>
                <w:sz w:val="16"/>
                <w:szCs w:val="16"/>
              </w:rPr>
              <w:t>天</w:t>
            </w:r>
          </w:p>
        </w:tc>
        <w:tc>
          <w:tcPr>
            <w:tcW w:w="1473" w:type="dxa"/>
            <w:tcBorders>
              <w:top w:val="single" w:color="E7E5E4" w:sz="2" w:space="0"/>
              <w:bottom w:val="single" w:color="E7E5E4" w:sz="2" w:space="0"/>
            </w:tcBorders>
            <w:vAlign w:val="top"/>
          </w:tcPr>
          <w:p w14:paraId="2C3FA52A">
            <w:pPr>
              <w:pStyle w:val="20"/>
              <w:spacing w:before="133" w:line="184" w:lineRule="auto"/>
              <w:ind w:left="121"/>
              <w:rPr>
                <w:sz w:val="16"/>
                <w:szCs w:val="16"/>
              </w:rPr>
            </w:pPr>
            <w:r>
              <w:rPr>
                <w:color w:val="292524"/>
                <w:spacing w:val="7"/>
                <w:sz w:val="16"/>
                <w:szCs w:val="16"/>
              </w:rPr>
              <w:t>资料组</w:t>
            </w:r>
          </w:p>
        </w:tc>
        <w:tc>
          <w:tcPr>
            <w:tcW w:w="1473" w:type="dxa"/>
            <w:tcBorders>
              <w:top w:val="single" w:color="E7E5E4" w:sz="2" w:space="0"/>
              <w:bottom w:val="single" w:color="E7E5E4" w:sz="2" w:space="0"/>
            </w:tcBorders>
            <w:vAlign w:val="top"/>
          </w:tcPr>
          <w:p w14:paraId="7566829B">
            <w:pPr>
              <w:pStyle w:val="20"/>
              <w:spacing w:before="131" w:line="219" w:lineRule="auto"/>
              <w:ind w:left="121" w:right="169" w:hanging="3"/>
              <w:rPr>
                <w:sz w:val="16"/>
                <w:szCs w:val="16"/>
              </w:rPr>
            </w:pPr>
            <w:r>
              <w:rPr>
                <w:color w:val="292524"/>
                <w:spacing w:val="9"/>
                <w:sz w:val="16"/>
                <w:szCs w:val="16"/>
              </w:rPr>
              <w:t>全套资料装订提</w:t>
            </w:r>
            <w:r>
              <w:rPr>
                <w:color w:val="292524"/>
                <w:spacing w:val="2"/>
                <w:sz w:val="16"/>
                <w:szCs w:val="16"/>
              </w:rPr>
              <w:t>交</w:t>
            </w:r>
          </w:p>
        </w:tc>
      </w:tr>
      <w:tr w14:paraId="2D6797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trPr>
        <w:tc>
          <w:tcPr>
            <w:tcW w:w="1473" w:type="dxa"/>
            <w:tcBorders>
              <w:top w:val="single" w:color="E7E5E4" w:sz="2" w:space="0"/>
              <w:bottom w:val="single" w:color="D6D3D1" w:sz="8" w:space="0"/>
            </w:tcBorders>
            <w:vAlign w:val="top"/>
          </w:tcPr>
          <w:p w14:paraId="33886F77">
            <w:pPr>
              <w:pStyle w:val="20"/>
              <w:spacing w:before="133" w:line="185" w:lineRule="auto"/>
              <w:ind w:left="119"/>
              <w:rPr>
                <w:sz w:val="16"/>
                <w:szCs w:val="16"/>
              </w:rPr>
            </w:pPr>
            <w:r>
              <w:rPr>
                <w:color w:val="292524"/>
                <w:spacing w:val="8"/>
                <w:sz w:val="16"/>
                <w:szCs w:val="16"/>
              </w:rPr>
              <w:t>测试验收</w:t>
            </w:r>
          </w:p>
        </w:tc>
        <w:tc>
          <w:tcPr>
            <w:tcW w:w="2259" w:type="dxa"/>
            <w:tcBorders>
              <w:top w:val="single" w:color="E7E5E4" w:sz="2" w:space="0"/>
              <w:bottom w:val="single" w:color="D6D3D1" w:sz="8" w:space="0"/>
            </w:tcBorders>
            <w:vAlign w:val="top"/>
          </w:tcPr>
          <w:p w14:paraId="11A71F09">
            <w:pPr>
              <w:pStyle w:val="20"/>
              <w:spacing w:before="133" w:line="185" w:lineRule="auto"/>
              <w:ind w:left="121"/>
              <w:rPr>
                <w:sz w:val="16"/>
                <w:szCs w:val="16"/>
              </w:rPr>
            </w:pPr>
            <w:r>
              <w:rPr>
                <w:color w:val="292524"/>
                <w:spacing w:val="7"/>
                <w:sz w:val="16"/>
                <w:szCs w:val="16"/>
              </w:rPr>
              <w:t>竣工验收</w:t>
            </w:r>
          </w:p>
        </w:tc>
        <w:tc>
          <w:tcPr>
            <w:tcW w:w="2946" w:type="dxa"/>
            <w:tcBorders>
              <w:top w:val="single" w:color="E7E5E4" w:sz="2" w:space="0"/>
              <w:bottom w:val="single" w:color="D6D3D1" w:sz="8" w:space="0"/>
            </w:tcBorders>
            <w:vAlign w:val="top"/>
          </w:tcPr>
          <w:p w14:paraId="0028FB91">
            <w:pPr>
              <w:pStyle w:val="20"/>
              <w:spacing w:before="130" w:line="185" w:lineRule="auto"/>
              <w:ind w:left="1226"/>
              <w:rPr>
                <w:sz w:val="16"/>
                <w:szCs w:val="16"/>
              </w:rPr>
            </w:pPr>
            <w:r>
              <w:rPr>
                <w:color w:val="292524"/>
                <w:sz w:val="16"/>
                <w:szCs w:val="16"/>
              </w:rPr>
              <w:t>第</w:t>
            </w:r>
            <w:r>
              <w:rPr>
                <w:rFonts w:ascii="Cambria" w:hAnsi="Cambria" w:eastAsia="Cambria" w:cs="Cambria"/>
                <w:color w:val="292524"/>
                <w:sz w:val="16"/>
                <w:szCs w:val="16"/>
              </w:rPr>
              <w:t>60</w:t>
            </w:r>
            <w:r>
              <w:rPr>
                <w:color w:val="292524"/>
                <w:sz w:val="16"/>
                <w:szCs w:val="16"/>
              </w:rPr>
              <w:t>天</w:t>
            </w:r>
          </w:p>
        </w:tc>
        <w:tc>
          <w:tcPr>
            <w:tcW w:w="1473" w:type="dxa"/>
            <w:tcBorders>
              <w:top w:val="single" w:color="E7E5E4" w:sz="2" w:space="0"/>
              <w:bottom w:val="single" w:color="D6D3D1" w:sz="8" w:space="0"/>
            </w:tcBorders>
            <w:vAlign w:val="top"/>
          </w:tcPr>
          <w:p w14:paraId="7039BAD4">
            <w:pPr>
              <w:pStyle w:val="20"/>
              <w:spacing w:before="106" w:line="235" w:lineRule="auto"/>
              <w:ind w:left="118"/>
              <w:rPr>
                <w:sz w:val="16"/>
                <w:szCs w:val="16"/>
              </w:rPr>
            </w:pPr>
            <w:r>
              <w:rPr>
                <w:color w:val="292524"/>
                <w:spacing w:val="7"/>
                <w:sz w:val="16"/>
                <w:szCs w:val="16"/>
              </w:rPr>
              <w:t>项目经理</w:t>
            </w:r>
            <w:r>
              <w:rPr>
                <w:rFonts w:ascii="Cambria" w:hAnsi="Cambria" w:eastAsia="Cambria" w:cs="Cambria"/>
                <w:color w:val="292524"/>
                <w:spacing w:val="7"/>
                <w:sz w:val="16"/>
                <w:szCs w:val="16"/>
              </w:rPr>
              <w:t>+</w:t>
            </w:r>
            <w:r>
              <w:rPr>
                <w:color w:val="292524"/>
                <w:spacing w:val="7"/>
                <w:sz w:val="16"/>
                <w:szCs w:val="16"/>
              </w:rPr>
              <w:t>全体</w:t>
            </w:r>
          </w:p>
        </w:tc>
        <w:tc>
          <w:tcPr>
            <w:tcW w:w="1473" w:type="dxa"/>
            <w:tcBorders>
              <w:top w:val="single" w:color="E7E5E4" w:sz="2" w:space="0"/>
              <w:bottom w:val="single" w:color="D6D3D1" w:sz="8" w:space="0"/>
            </w:tcBorders>
            <w:vAlign w:val="top"/>
          </w:tcPr>
          <w:p w14:paraId="0576AB5B">
            <w:pPr>
              <w:pStyle w:val="20"/>
              <w:spacing w:before="134" w:line="186" w:lineRule="auto"/>
              <w:ind w:left="120"/>
              <w:rPr>
                <w:sz w:val="16"/>
                <w:szCs w:val="16"/>
              </w:rPr>
            </w:pPr>
            <w:r>
              <w:rPr>
                <w:color w:val="292524"/>
                <w:spacing w:val="8"/>
                <w:sz w:val="16"/>
                <w:szCs w:val="16"/>
              </w:rPr>
              <w:t>取得验收报告</w:t>
            </w:r>
          </w:p>
        </w:tc>
      </w:tr>
    </w:tbl>
    <w:p w14:paraId="18048612">
      <w:pPr>
        <w:pStyle w:val="4"/>
        <w:numPr>
          <w:ilvl w:val="2"/>
          <w:numId w:val="6"/>
        </w:numPr>
        <w:spacing w:line="360" w:lineRule="auto"/>
        <w:ind w:left="720" w:leftChars="0" w:hanging="720" w:firstLineChars="0"/>
        <w:rPr>
          <w:rFonts w:hint="eastAsia" w:ascii="宋体" w:hAnsi="宋体" w:eastAsia="宋体" w:cs="宋体"/>
          <w:sz w:val="24"/>
          <w:szCs w:val="24"/>
        </w:rPr>
      </w:pPr>
      <w:bookmarkStart w:id="11" w:name="_Toc3501"/>
      <w:bookmarkStart w:id="12" w:name="_Toc27283"/>
      <w:bookmarkStart w:id="13" w:name="_Toc31769"/>
      <w:r>
        <w:rPr>
          <w:rFonts w:hint="eastAsia" w:ascii="宋体" w:hAnsi="宋体" w:eastAsia="宋体" w:cs="宋体"/>
          <w:sz w:val="24"/>
          <w:szCs w:val="24"/>
        </w:rPr>
        <w:t>项目管理与质量保障</w:t>
      </w:r>
      <w:bookmarkEnd w:id="11"/>
      <w:bookmarkEnd w:id="12"/>
      <w:bookmarkEnd w:id="13"/>
    </w:p>
    <w:p w14:paraId="0098155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管理：采用敏捷项目管理方法，建立项目管理团队，负责项目的整体规划、进度控制、风险管理等工作。通过定期的项目评审会议和报告，确保项目按计划顺利推进。同时，建立有效的沟通与协调机制，确保项目团队内部及与客户之间的信息畅通。</w:t>
      </w:r>
    </w:p>
    <w:p w14:paraId="65786CC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质量保障：建立全面的质量管理体系，包括需求分析、设计评审、代码审查、测试验收等环节。通过严格的质量控制措施，确保项目交付成果的质量符合客户要求。同时，建立质量反馈机制，及时收集和处理客户反馈的问题和建议，持续改进项目质量。</w:t>
      </w:r>
    </w:p>
    <w:p w14:paraId="7E5FC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hint="eastAsia" w:ascii="宋体" w:hAnsi="宋体" w:eastAsia="宋体" w:cs="宋体"/>
          <w:sz w:val="24"/>
          <w:szCs w:val="24"/>
        </w:rPr>
        <w:t>风险管理：识别项目过程中可能面临的风险，包括技术风险、安全风险、进度风险等。针对每个风险制定相应的风险应对策略和预案，确保在风险发生时能够及时有效地应对和处置</w:t>
      </w:r>
    </w:p>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14" w:name="_GoBack"/>
      <w:bookmarkEnd w:id="14"/>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249">
    <w:pPr>
      <w:spacing w:line="179" w:lineRule="auto"/>
      <w:jc w:val="right"/>
      <w:rPr>
        <w:rFonts w:ascii="Cambria" w:hAnsi="Cambria" w:eastAsia="Cambria" w:cs="Cambria"/>
        <w:sz w:val="15"/>
        <w:szCs w:val="15"/>
      </w:rPr>
    </w:pPr>
    <w:r>
      <w:rPr>
        <w:rFonts w:ascii="Cambria" w:hAnsi="Cambria" w:eastAsia="Cambria" w:cs="Cambria"/>
        <w:color w:val="78716C"/>
        <w:spacing w:val="-9"/>
        <w:sz w:val="15"/>
        <w:szCs w:val="15"/>
      </w:rPr>
      <w:t>19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9CD7F"/>
    <w:multiLevelType w:val="multilevel"/>
    <w:tmpl w:val="96C9CD7F"/>
    <w:lvl w:ilvl="0" w:tentative="0">
      <w:start w:val="2"/>
      <w:numFmt w:val="chineseCounting"/>
      <w:suff w:val="nothing"/>
      <w:lvlText w:val="第%1章 "/>
      <w:lvlJc w:val="left"/>
      <w:pPr>
        <w:tabs>
          <w:tab w:val="left" w:pos="420"/>
        </w:tabs>
        <w:ind w:left="432" w:hanging="432"/>
      </w:pPr>
      <w:rPr>
        <w:rFonts w:hint="eastAsia"/>
      </w:rPr>
    </w:lvl>
    <w:lvl w:ilvl="1" w:tentative="0">
      <w:start w:val="6"/>
      <w:numFmt w:val="decimal"/>
      <w:isLgl/>
      <w:lvlText w:val="%1.%2."/>
      <w:lvlJc w:val="left"/>
      <w:pPr>
        <w:tabs>
          <w:tab w:val="left" w:pos="420"/>
        </w:tabs>
        <w:ind w:left="575" w:hanging="575"/>
      </w:pPr>
      <w:rPr>
        <w:rFonts w:hint="eastAsia"/>
      </w:rPr>
    </w:lvl>
    <w:lvl w:ilvl="2" w:tentative="0">
      <w:start w:val="1"/>
      <w:numFmt w:val="decimal"/>
      <w:isLgl/>
      <w:lvlText w:val="%1.%2.%3."/>
      <w:lvlJc w:val="left"/>
      <w:pPr>
        <w:tabs>
          <w:tab w:val="left" w:pos="420"/>
        </w:tabs>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FF018D3E"/>
    <w:multiLevelType w:val="multilevel"/>
    <w:tmpl w:val="FF018D3E"/>
    <w:lvl w:ilvl="0" w:tentative="0">
      <w:start w:val="1"/>
      <w:numFmt w:val="chineseCounting"/>
      <w:suff w:val="nothing"/>
      <w:lvlText w:val="第%1章 "/>
      <w:lvlJc w:val="left"/>
      <w:pPr>
        <w:tabs>
          <w:tab w:val="left" w:pos="420"/>
        </w:tabs>
        <w:ind w:left="432" w:hanging="432"/>
      </w:pPr>
      <w:rPr>
        <w:rFonts w:hint="eastAsia"/>
      </w:rPr>
    </w:lvl>
    <w:lvl w:ilvl="1" w:tentative="0">
      <w:start w:val="6"/>
      <w:numFmt w:val="decimal"/>
      <w:isLgl/>
      <w:lvlText w:val="%1.%2."/>
      <w:lvlJc w:val="left"/>
      <w:pPr>
        <w:tabs>
          <w:tab w:val="left" w:pos="420"/>
        </w:tabs>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1127009E"/>
    <w:multiLevelType w:val="multilevel"/>
    <w:tmpl w:val="1127009E"/>
    <w:lvl w:ilvl="0" w:tentative="0">
      <w:start w:val="1"/>
      <w:numFmt w:val="chineseCounting"/>
      <w:suff w:val="nothing"/>
      <w:lvlText w:val="第%1章 "/>
      <w:lvlJc w:val="left"/>
      <w:pPr>
        <w:tabs>
          <w:tab w:val="left" w:pos="420"/>
        </w:tabs>
        <w:ind w:left="432" w:hanging="432"/>
      </w:pPr>
      <w:rPr>
        <w:rFonts w:hint="eastAsia"/>
      </w:rPr>
    </w:lvl>
    <w:lvl w:ilvl="1" w:tentative="0">
      <w:start w:val="4"/>
      <w:numFmt w:val="decimal"/>
      <w:isLgl/>
      <w:lvlText w:val="%1.%2."/>
      <w:lvlJc w:val="left"/>
      <w:pPr>
        <w:tabs>
          <w:tab w:val="left" w:pos="420"/>
        </w:tabs>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3">
    <w:nsid w:val="12742891"/>
    <w:multiLevelType w:val="singleLevel"/>
    <w:tmpl w:val="12742891"/>
    <w:lvl w:ilvl="0" w:tentative="0">
      <w:start w:val="1"/>
      <w:numFmt w:val="bullet"/>
      <w:pStyle w:val="8"/>
      <w:lvlText w:val=""/>
      <w:lvlJc w:val="left"/>
      <w:pPr>
        <w:tabs>
          <w:tab w:val="left" w:pos="360"/>
        </w:tabs>
        <w:ind w:left="360" w:hanging="360"/>
      </w:pPr>
      <w:rPr>
        <w:rFonts w:hint="default" w:ascii="Wingdings" w:hAnsi="Wingdings"/>
      </w:rPr>
    </w:lvl>
  </w:abstractNum>
  <w:abstractNum w:abstractNumId="4">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3"/>
      <w:isLgl/>
      <w:lvlText w:val="%1.%2.%3."/>
      <w:lvlJc w:val="left"/>
      <w:pPr>
        <w:ind w:left="720" w:hanging="720"/>
      </w:pPr>
      <w:rPr>
        <w:rFonts w:hint="eastAsia"/>
      </w:rPr>
    </w:lvl>
    <w:lvl w:ilvl="3" w:tentative="0">
      <w:start w:val="1"/>
      <w:numFmt w:val="decimal"/>
      <w:pStyle w:val="4"/>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pStyle w:val="6"/>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5">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DC022DF"/>
    <w:rsid w:val="109F5990"/>
    <w:rsid w:val="12C37CE5"/>
    <w:rsid w:val="4468252C"/>
    <w:rsid w:val="5ED349C7"/>
    <w:rsid w:val="5F0A527B"/>
    <w:rsid w:val="6735670F"/>
    <w:rsid w:val="716316E4"/>
    <w:rsid w:val="735344A6"/>
    <w:rsid w:val="774C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3">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4">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5">
    <w:name w:val="heading 5"/>
    <w:basedOn w:val="1"/>
    <w:next w:val="1"/>
    <w:unhideWhenUsed/>
    <w:qFormat/>
    <w:uiPriority w:val="0"/>
    <w:pPr>
      <w:numPr>
        <w:ilvl w:val="4"/>
        <w:numId w:val="1"/>
      </w:numPr>
      <w:tabs>
        <w:tab w:val="left" w:pos="420"/>
      </w:tabs>
      <w:ind w:hanging="1008" w:firstLineChars="0"/>
      <w:outlineLvl w:val="4"/>
    </w:pPr>
  </w:style>
  <w:style w:type="paragraph" w:styleId="6">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rPr>
      <w:rFonts w:ascii="Times New Roman" w:hAnsi="Times New Roman"/>
      <w:szCs w:val="24"/>
    </w:rPr>
  </w:style>
  <w:style w:type="paragraph" w:styleId="8">
    <w:name w:val="List Bullet"/>
    <w:basedOn w:val="1"/>
    <w:qFormat/>
    <w:uiPriority w:val="0"/>
    <w:pPr>
      <w:numPr>
        <w:ilvl w:val="0"/>
        <w:numId w:val="2"/>
      </w:numPr>
    </w:pPr>
  </w:style>
  <w:style w:type="paragraph" w:styleId="9">
    <w:name w:val="Body Text"/>
    <w:basedOn w:val="1"/>
    <w:semiHidden/>
    <w:qFormat/>
    <w:uiPriority w:val="0"/>
    <w:rPr>
      <w:rFonts w:ascii="微软雅黑" w:hAnsi="微软雅黑" w:eastAsia="微软雅黑" w:cs="微软雅黑"/>
      <w:sz w:val="19"/>
      <w:szCs w:val="19"/>
      <w:lang w:val="en-US" w:eastAsia="en-US" w:bidi="ar-SA"/>
    </w:rPr>
  </w:style>
  <w:style w:type="paragraph" w:styleId="10">
    <w:name w:val="Body Text Indent"/>
    <w:basedOn w:val="1"/>
    <w:unhideWhenUsed/>
    <w:qFormat/>
    <w:uiPriority w:val="0"/>
    <w:pPr>
      <w:spacing w:after="120"/>
      <w:ind w:left="420" w:leftChars="200"/>
    </w:pPr>
  </w:style>
  <w:style w:type="paragraph" w:styleId="11">
    <w:name w:val="envelope return"/>
    <w:basedOn w:val="1"/>
    <w:qFormat/>
    <w:uiPriority w:val="0"/>
    <w:rPr>
      <w:rFonts w:ascii="Arial" w:hAnsi="Arial"/>
    </w:rPr>
  </w:style>
  <w:style w:type="paragraph" w:styleId="12">
    <w:name w:val="List"/>
    <w:basedOn w:val="1"/>
    <w:qFormat/>
    <w:uiPriority w:val="0"/>
    <w:pPr>
      <w:ind w:left="200" w:hanging="200" w:hangingChars="200"/>
      <w:contextualSpacing/>
    </w:pPr>
  </w:style>
  <w:style w:type="paragraph" w:styleId="13">
    <w:name w:val="Body Text First Indent 2"/>
    <w:basedOn w:val="10"/>
    <w:next w:val="14"/>
    <w:qFormat/>
    <w:uiPriority w:val="0"/>
    <w:pPr>
      <w:ind w:left="0" w:leftChars="0" w:firstLine="420"/>
    </w:pPr>
  </w:style>
  <w:style w:type="paragraph" w:customStyle="1" w:styleId="14">
    <w:name w:val="表格文字"/>
    <w:basedOn w:val="12"/>
    <w:next w:val="1"/>
    <w:qFormat/>
    <w:uiPriority w:val="0"/>
    <w:pPr>
      <w:ind w:firstLine="0" w:firstLineChars="0"/>
      <w:jc w:val="center"/>
    </w:pPr>
    <w:rPr>
      <w:szCs w:val="20"/>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List Paragraph"/>
    <w:basedOn w:val="1"/>
    <w:unhideWhenUsed/>
    <w:qFormat/>
    <w:uiPriority w:val="99"/>
    <w:pPr>
      <w:ind w:firstLine="420"/>
    </w:pPr>
  </w:style>
  <w:style w:type="paragraph" w:customStyle="1" w:styleId="19">
    <w:name w:val="正文字缩1字"/>
    <w:basedOn w:val="1"/>
    <w:qFormat/>
    <w:uiPriority w:val="0"/>
    <w:pPr>
      <w:spacing w:before="60" w:after="60"/>
      <w:ind w:left="100" w:leftChars="100"/>
    </w:pPr>
    <w:rPr>
      <w:rFonts w:ascii="Times New Roman" w:hAnsi="Times New Roman" w:eastAsia="宋体"/>
      <w:szCs w:val="24"/>
    </w:rPr>
  </w:style>
  <w:style w:type="paragraph" w:customStyle="1" w:styleId="20">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24304</Words>
  <Characters>24954</Characters>
  <Lines>0</Lines>
  <Paragraphs>0</Paragraphs>
  <TotalTime>9</TotalTime>
  <ScaleCrop>false</ScaleCrop>
  <LinksUpToDate>false</LinksUpToDate>
  <CharactersWithSpaces>25170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0C36B477DA3245179A40C05C2A3521DB_13</vt:lpwstr>
  </property>
  <property fmtid="{D5CDD505-2E9C-101B-9397-08002B2CF9AE}" pid="4" name="KSOTemplateDocerSaveRecord">
    <vt:lpwstr>eyJoZGlkIjoiNjA2ZDk3ZTc3MzQxM2RlNDMwOGQ0ZWJkOGMzYTI2ZjgiLCJ1c2VySWQiOiIzNzc1MzAxMDgifQ==</vt:lpwstr>
  </property>
</Properties>
</file>