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44"/>
        </w:rPr>
        <w:t>国网新疆电力有限公司博尔塔拉供电公司</w:t>
      </w:r>
    </w:p>
    <w:p>
      <w:pPr>
        <w:jc w:val="center"/>
      </w:pPr>
      <w:r>
        <w:rPr>
          <w:rFonts w:ascii="黑体" w:hAnsi="黑体" w:eastAsia="黑体"/>
          <w:b/>
          <w:sz w:val="44"/>
        </w:rPr>
        <w:t>2026年综合电压短板问题分析提升</w:t>
      </w:r>
    </w:p>
    <w:p>
      <w:pPr>
        <w:jc w:val="center"/>
      </w:pPr>
      <w:r>
        <w:rPr>
          <w:rFonts w:ascii="黑体" w:hAnsi="黑体" w:eastAsia="黑体"/>
          <w:b/>
          <w:sz w:val="44"/>
        </w:rPr>
        <w:t>技术服务技术方案</w:t>
      </w:r>
    </w:p>
    <w:p/>
    <w:p/>
    <w:p/>
    <w:p/>
    <w:p/>
    <w:p/>
    <w:p/>
    <w:p/>
    <w:p>
      <w:pPr>
        <w:jc w:val="center"/>
      </w:pPr>
      <w:r>
        <w:rPr>
          <w:rFonts w:ascii="宋体" w:hAnsi="宋体" w:eastAsia="宋体"/>
          <w:sz w:val="32"/>
        </w:rPr>
        <w:t>2026年3月</w:t>
      </w:r>
    </w:p>
    <w:p>
      <w:r>
        <w:br w:type="page"/>
      </w:r>
    </w:p>
    <w:p>
      <w:pPr>
        <w:pStyle w:val="Heading1"/>
      </w:pPr>
      <w:r>
        <w:rPr>
          <w:rFonts w:ascii="黑体" w:hAnsi="黑体" w:eastAsia="黑体"/>
        </w:rPr>
        <w:t>一、对项目的理解</w:t>
      </w:r>
    </w:p>
    <w:p>
      <w:pPr>
        <w:spacing w:line="360" w:lineRule="auto"/>
        <w:ind w:firstLine="480"/>
      </w:pPr>
      <w:r>
        <w:rPr>
          <w:rFonts w:ascii="宋体" w:hAnsi="宋体" w:eastAsia="宋体"/>
          <w:b w:val="0"/>
          <w:sz w:val="24"/>
        </w:rPr>
        <w:t>本项目为国网新疆电力有限公司博尔塔拉供电公司2026年综合电压短板问题分析提升技术服务项目。项目旨在通过系统化、专业化的技术服务手段，全面摸清博尔塔拉州地区供电电压真实状况，精准定位变电站、线路、台区、用户侧的具体电压质量问题，并制定科学合理的管控策略和治理措施，促进博州地区电压指数的整体提升。</w:t>
      </w:r>
    </w:p>
    <w:p>
      <w:pPr>
        <w:spacing w:line="360" w:lineRule="auto"/>
        <w:ind w:firstLine="480"/>
      </w:pPr>
      <w:r>
        <w:rPr>
          <w:rFonts w:ascii="宋体" w:hAnsi="宋体" w:eastAsia="宋体"/>
          <w:b w:val="0"/>
          <w:sz w:val="24"/>
        </w:rPr>
        <w:t>博尔塔拉蒙古自治州位于新疆维吾尔自治区西北部，下辖博乐市、阿拉山口市、温泉县、精河县等行政区域。该地区地域辽阔，供电范围广泛，电网网架结构复杂，负荷性质多样，加之地处边疆地区，气候条件恶劣，给电压质量管理带来了诸多挑战。近年来，随着国家电网公司对供电电压管理体系的不断完善和要求的持续提高，博尔塔拉供电公司面临着较大的电压质量提升压力。</w:t>
      </w:r>
    </w:p>
    <w:p>
      <w:pPr>
        <w:spacing w:line="360" w:lineRule="auto"/>
        <w:ind w:firstLine="480"/>
      </w:pPr>
      <w:r>
        <w:rPr>
          <w:rFonts w:ascii="宋体" w:hAnsi="宋体" w:eastAsia="宋体"/>
          <w:b w:val="0"/>
          <w:sz w:val="24"/>
        </w:rPr>
        <w:t>通过对项目技术规范书的深入研读和分析，我们充分理解到本项目的核心需求是：以全口径电压管理为抓手，运用数据分析、现场勘查、仿真模拟等多种技术手段，系统性地解决博州地区存在的D类电压监测点曲线失真、全口径用户电压合格率不高、配网互联互供能力弱、供电半径不合理、低电压重过载、高损配网及台区、电压扰动等突出问题，通过精准施策、分类治理，实现博州地区供电电压质量的全面提升。</w:t>
      </w:r>
    </w:p>
    <w:p>
      <w:pPr>
        <w:spacing w:line="360" w:lineRule="auto"/>
        <w:ind w:firstLine="480"/>
      </w:pPr>
      <w:r>
        <w:rPr>
          <w:rFonts w:ascii="宋体" w:hAnsi="宋体" w:eastAsia="宋体"/>
          <w:b w:val="0"/>
          <w:sz w:val="24"/>
        </w:rPr>
        <w:t>我们深刻认识到，电压质量是衡量供电服务水平的重要指标之一，直接关系到广大用电客户的用电体验和设备安全。当前，博尔塔拉供电公司在电压管理方面面临的挑战具有系统性、复杂性和长期性的特点，需要建立体系化、持续性的跟踪分析机制，才能从根本上解决电压短板问题。本项目正是在这一背景下提出的，具有重要的现实意义和战略价值。</w:t>
      </w:r>
    </w:p>
    <w:p>
      <w:pPr>
        <w:spacing w:line="360" w:lineRule="auto"/>
        <w:ind w:firstLine="480"/>
      </w:pPr>
      <w:r>
        <w:rPr>
          <w:rFonts w:ascii="宋体" w:hAnsi="宋体" w:eastAsia="宋体"/>
          <w:b w:val="0"/>
          <w:sz w:val="24"/>
        </w:rPr>
        <w:t>作为专业的电力技术服务团队，我们具备丰富的电压质量分析与治理经验，拥有完善的技术手段和专业人才队伍，能够为博尔塔拉供电公司提供全方位、高质量的技术服务支撑。我们将以高度的责任心和使命感，认真落实项目各项工作要求，确保项目目标的顺利实现。</w:t>
      </w:r>
    </w:p>
    <w:p>
      <w:pPr>
        <w:spacing w:line="360" w:lineRule="auto"/>
        <w:ind w:firstLine="480"/>
      </w:pPr>
      <w:r>
        <w:rPr>
          <w:rFonts w:ascii="宋体" w:hAnsi="宋体" w:eastAsia="宋体"/>
          <w:b w:val="0"/>
          <w:sz w:val="24"/>
        </w:rPr>
        <w:t>本项目的实施将涵盖以下几个核心维度：</w:t>
      </w:r>
    </w:p>
    <w:p>
      <w:pPr>
        <w:spacing w:line="360" w:lineRule="auto"/>
        <w:ind w:firstLine="480"/>
      </w:pPr>
      <w:r>
        <w:rPr>
          <w:rFonts w:ascii="宋体" w:hAnsi="宋体" w:eastAsia="宋体"/>
          <w:b w:val="0"/>
          <w:sz w:val="24"/>
        </w:rPr>
        <w:t>（1）数据层面：开展多源数据比对分析，进行全量数据质量核查，确保监管类与全口径电压数据的一致性和准确性，为精准治理奠定数据基础。</w:t>
      </w:r>
    </w:p>
    <w:p>
      <w:pPr>
        <w:spacing w:line="360" w:lineRule="auto"/>
        <w:ind w:firstLine="480"/>
      </w:pPr>
      <w:r>
        <w:rPr>
          <w:rFonts w:ascii="宋体" w:hAnsi="宋体" w:eastAsia="宋体"/>
          <w:b w:val="0"/>
          <w:sz w:val="24"/>
        </w:rPr>
        <w:t>（2）分析层面：逐站、逐线、逐台区开展深度分析，从系统网架、运维管理、装备设备等多个维度明确具体问题，建立问题台账和分析报告体系。</w:t>
      </w:r>
    </w:p>
    <w:p>
      <w:pPr>
        <w:spacing w:line="360" w:lineRule="auto"/>
        <w:ind w:firstLine="480"/>
      </w:pPr>
      <w:r>
        <w:rPr>
          <w:rFonts w:ascii="宋体" w:hAnsi="宋体" w:eastAsia="宋体"/>
          <w:b w:val="0"/>
          <w:sz w:val="24"/>
        </w:rPr>
        <w:t>（3）治理层面：针对排查出的具体问题，逐一制定管理措施、运维措施、项目措施，形成近期、中期、远期治理计划与项目储备清单，实现精准施策。</w:t>
      </w:r>
    </w:p>
    <w:p>
      <w:pPr>
        <w:spacing w:line="360" w:lineRule="auto"/>
        <w:ind w:firstLine="480"/>
      </w:pPr>
      <w:r>
        <w:rPr>
          <w:rFonts w:ascii="宋体" w:hAnsi="宋体" w:eastAsia="宋体"/>
          <w:b w:val="0"/>
          <w:sz w:val="24"/>
        </w:rPr>
        <w:t>（4）验证层面：通过仿真模拟、现场核查等手段，验证治理方案的可行性和有效性，确保治理措施能够切实解决电压短板问题。</w:t>
      </w:r>
    </w:p>
    <w:p>
      <w:pPr>
        <w:spacing w:line="360" w:lineRule="auto"/>
        <w:ind w:firstLine="480"/>
      </w:pPr>
      <w:r>
        <w:rPr>
          <w:rFonts w:ascii="宋体" w:hAnsi="宋体" w:eastAsia="宋体"/>
          <w:b w:val="0"/>
          <w:sz w:val="24"/>
        </w:rPr>
        <w:t>我们将严格按照国家电网公司相关管理要求和技术标准，结合博州地区实际情况，制定切实可行的工作方案，确保技术服务工作的质量和效果，为博尔塔拉供电公司电压质量的持续提升提供坚实的技术保障。</w:t>
      </w:r>
    </w:p>
    <w:p>
      <w:r>
        <w:br w:type="page"/>
      </w:r>
    </w:p>
    <w:p>
      <w:pPr>
        <w:pStyle w:val="Heading1"/>
      </w:pPr>
      <w:r>
        <w:rPr>
          <w:rFonts w:ascii="黑体" w:hAnsi="黑体" w:eastAsia="黑体"/>
        </w:rPr>
        <w:t>二、项目背景</w:t>
      </w:r>
    </w:p>
    <w:p>
      <w:pPr>
        <w:pStyle w:val="Heading2"/>
      </w:pPr>
      <w:r>
        <w:rPr>
          <w:rFonts w:ascii="黑体" w:hAnsi="黑体" w:eastAsia="黑体"/>
        </w:rPr>
        <w:t>2.1 行业政策背景</w:t>
      </w:r>
    </w:p>
    <w:p>
      <w:pPr>
        <w:spacing w:line="360" w:lineRule="auto"/>
        <w:ind w:firstLine="480"/>
      </w:pPr>
      <w:r>
        <w:rPr>
          <w:rFonts w:ascii="宋体" w:hAnsi="宋体" w:eastAsia="宋体"/>
          <w:b w:val="0"/>
          <w:sz w:val="24"/>
        </w:rPr>
        <w:t>近年来，国家高度重视电力供应质量和供电服务水平的提升。国家电网有限公司先后发布了《国家电网有限公司关于全面构建新型供电电压管理体系的意见》（国家电网设备〔2023〕98号）、《国网设备部关于印发2026年技术专业重点工作任务的通知》（设备技术〔2026〕10号）、《国网营销部、设备部关于建立供电服务问题"四步法"闭环管控机制的通知》等一系列重要文件，对供电电压管理工作提出了新的更高要求。</w:t>
      </w:r>
    </w:p>
    <w:p>
      <w:pPr>
        <w:spacing w:line="360" w:lineRule="auto"/>
        <w:ind w:firstLine="480"/>
      </w:pPr>
      <w:r>
        <w:rPr>
          <w:rFonts w:ascii="宋体" w:hAnsi="宋体" w:eastAsia="宋体"/>
          <w:b w:val="0"/>
          <w:sz w:val="24"/>
        </w:rPr>
        <w:t>新型供电电压管理体系强调以用户为中心，以数据为驱动，以技术为支撑，建立覆盖全电压等级、全供电环节、全管理流程的电压管理新模式。要求各级供电企业加强电压质量监测、分析、治理和评价的全过程管理，实现电压管理从被动应对向主动管控转变，从经验判断向数据驱动转变，从局部治理向系统优化转变。</w:t>
      </w:r>
    </w:p>
    <w:p>
      <w:pPr>
        <w:spacing w:line="360" w:lineRule="auto"/>
        <w:ind w:firstLine="480"/>
      </w:pPr>
      <w:r>
        <w:rPr>
          <w:rFonts w:ascii="宋体" w:hAnsi="宋体" w:eastAsia="宋体"/>
          <w:b w:val="0"/>
          <w:sz w:val="24"/>
        </w:rPr>
        <w:t>2026年技术专业重点工作任务明确要求各省公司加强全口径电压管理，推进供电电压质量精准治理，持续开展电压短板问题攻坚，确保电压合格率指标稳步提升。同时，"四步法"闭环管控机制要求建立"发现问题—分析原因—制定措施—跟踪落实"的闭环管理流程，确保供电服务问题得到及时有效解决。</w:t>
      </w:r>
    </w:p>
    <w:p>
      <w:pPr>
        <w:pStyle w:val="Heading2"/>
      </w:pPr>
      <w:r>
        <w:rPr>
          <w:rFonts w:ascii="黑体" w:hAnsi="黑体" w:eastAsia="黑体"/>
        </w:rPr>
        <w:t>2.2 区域电网现状</w:t>
      </w:r>
    </w:p>
    <w:p>
      <w:pPr>
        <w:spacing w:line="360" w:lineRule="auto"/>
        <w:ind w:firstLine="480"/>
      </w:pPr>
      <w:r>
        <w:rPr>
          <w:rFonts w:ascii="宋体" w:hAnsi="宋体" w:eastAsia="宋体"/>
          <w:b w:val="0"/>
          <w:sz w:val="24"/>
        </w:rPr>
        <w:t>博尔塔拉蒙古自治州地处新疆西北部，属于典型的边疆少数民族地区。该地区具有以下显著的电网特征：</w:t>
      </w:r>
    </w:p>
    <w:p>
      <w:pPr>
        <w:spacing w:line="360" w:lineRule="auto"/>
        <w:ind w:firstLine="480"/>
      </w:pPr>
      <w:r>
        <w:rPr>
          <w:rFonts w:ascii="宋体" w:hAnsi="宋体" w:eastAsia="宋体"/>
          <w:b w:val="0"/>
          <w:sz w:val="24"/>
        </w:rPr>
        <w:t>（1）地域辽阔，供电半径长。博州总面积约2.72万平方公里，人口密度低，供电线路长度大，末端电压降落明显，低电压问题较为突出。</w:t>
      </w:r>
    </w:p>
    <w:p>
      <w:pPr>
        <w:spacing w:line="360" w:lineRule="auto"/>
        <w:ind w:firstLine="480"/>
      </w:pPr>
      <w:r>
        <w:rPr>
          <w:rFonts w:ascii="宋体" w:hAnsi="宋体" w:eastAsia="宋体"/>
          <w:b w:val="0"/>
          <w:sz w:val="24"/>
        </w:rPr>
        <w:t>（2）负荷分散，季节性波动大。该地区以农牧业为主导产业，工业负荷占比相对较低，负荷呈现明显的季节性特征，冬季供暖期负荷集中增长，夏季灌溉期负荷波动剧烈。</w:t>
      </w:r>
    </w:p>
    <w:p>
      <w:pPr>
        <w:spacing w:line="360" w:lineRule="auto"/>
        <w:ind w:firstLine="480"/>
      </w:pPr>
      <w:r>
        <w:rPr>
          <w:rFonts w:ascii="宋体" w:hAnsi="宋体" w:eastAsia="宋体"/>
          <w:b w:val="0"/>
          <w:sz w:val="24"/>
        </w:rPr>
        <w:t>（3）网架结构薄弱，互联互供能力不足。由于历史发展原因和地理条件限制，博州地区配电网网架结构相对薄弱，线路联络率低，单辐射供电线路占比高，转供电能力有限。</w:t>
      </w:r>
    </w:p>
    <w:p>
      <w:pPr>
        <w:spacing w:line="360" w:lineRule="auto"/>
        <w:ind w:firstLine="480"/>
      </w:pPr>
      <w:r>
        <w:rPr>
          <w:rFonts w:ascii="宋体" w:hAnsi="宋体" w:eastAsia="宋体"/>
          <w:b w:val="0"/>
          <w:sz w:val="24"/>
        </w:rPr>
        <w:t>（4）气候条件恶劣，设备运维压力大。博州地区冬季严寒，夏季炎热，风沙大，气候条件恶劣，对电力设备的正常运行和维护提出了更高要求。</w:t>
      </w:r>
    </w:p>
    <w:p>
      <w:pPr>
        <w:spacing w:line="360" w:lineRule="auto"/>
        <w:ind w:firstLine="480"/>
      </w:pPr>
      <w:r>
        <w:rPr>
          <w:rFonts w:ascii="宋体" w:hAnsi="宋体" w:eastAsia="宋体"/>
          <w:b w:val="0"/>
          <w:sz w:val="24"/>
        </w:rPr>
        <w:t>（5）新能源接入比例不断提高。随着新疆风电、光伏等新能源的快速发展，博州地区新能源接入容量持续增加，对配电网电压稳定性带来新的挑战。</w:t>
      </w:r>
    </w:p>
    <w:p>
      <w:pPr>
        <w:pStyle w:val="Heading2"/>
      </w:pPr>
      <w:r>
        <w:rPr>
          <w:rFonts w:ascii="黑体" w:hAnsi="黑体" w:eastAsia="黑体"/>
        </w:rPr>
        <w:t>2.3 存在的主要问题</w:t>
      </w:r>
    </w:p>
    <w:p>
      <w:pPr>
        <w:spacing w:line="360" w:lineRule="auto"/>
        <w:ind w:firstLine="480"/>
      </w:pPr>
      <w:r>
        <w:rPr>
          <w:rFonts w:ascii="宋体" w:hAnsi="宋体" w:eastAsia="宋体"/>
          <w:b w:val="0"/>
          <w:sz w:val="24"/>
        </w:rPr>
        <w:t>根据对博尔塔拉供电公司电压管理现状的深入调研和分析，当前存在的主要问题包括：</w:t>
      </w:r>
    </w:p>
    <w:p>
      <w:pPr>
        <w:spacing w:line="360" w:lineRule="auto"/>
        <w:ind w:firstLine="480"/>
      </w:pPr>
      <w:r>
        <w:rPr>
          <w:rFonts w:ascii="宋体" w:hAnsi="宋体" w:eastAsia="宋体"/>
          <w:b w:val="0"/>
          <w:sz w:val="24"/>
        </w:rPr>
        <w:t>（1）监管类电压数据质量问题。D类电压监测点电压曲线与实际运行数据不一致等疑难问题尚未得到根治，影响了电压监测数据的真实性和可靠性，制约了精准治理工作的开展。</w:t>
      </w:r>
    </w:p>
    <w:p>
      <w:pPr>
        <w:spacing w:line="360" w:lineRule="auto"/>
        <w:ind w:firstLine="480"/>
      </w:pPr>
      <w:r>
        <w:rPr>
          <w:rFonts w:ascii="宋体" w:hAnsi="宋体" w:eastAsia="宋体"/>
          <w:b w:val="0"/>
          <w:sz w:val="24"/>
        </w:rPr>
        <w:t>（2）全口径用户电压合格率偏低。由于博乐市、阿拉山口市、温泉县、精河县4家单位的负荷性质、网架结构等各有差异，导致全口径用户电压合格率整体水平不高，部分区域存在明显短板。</w:t>
      </w:r>
    </w:p>
    <w:p>
      <w:pPr>
        <w:spacing w:line="360" w:lineRule="auto"/>
        <w:ind w:firstLine="480"/>
      </w:pPr>
      <w:r>
        <w:rPr>
          <w:rFonts w:ascii="宋体" w:hAnsi="宋体" w:eastAsia="宋体"/>
          <w:b w:val="0"/>
          <w:sz w:val="24"/>
        </w:rPr>
        <w:t>（3）指数短板变电站影响显著。4家县市公司均存在指数短板变电站，这些变电站供电区域的电压质量问题对博尔塔拉公司整体电压指数影响较大，成为制约公司电压指标提升的关键瓶颈。</w:t>
      </w:r>
    </w:p>
    <w:p>
      <w:pPr>
        <w:spacing w:line="360" w:lineRule="auto"/>
        <w:ind w:firstLine="480"/>
      </w:pPr>
      <w:r>
        <w:rPr>
          <w:rFonts w:ascii="宋体" w:hAnsi="宋体" w:eastAsia="宋体"/>
          <w:b w:val="0"/>
          <w:sz w:val="24"/>
        </w:rPr>
        <w:t>（4）缺乏体系化持续性跟踪机制。当前尚未建立完善的电压短板跟踪分析机制，难以及时发现和应对电压问题的动态变化，导致公司整体电压指数经常发生波动。</w:t>
      </w:r>
    </w:p>
    <w:p>
      <w:pPr>
        <w:spacing w:line="360" w:lineRule="auto"/>
        <w:ind w:firstLine="480"/>
      </w:pPr>
      <w:r>
        <w:rPr>
          <w:rFonts w:ascii="宋体" w:hAnsi="宋体" w:eastAsia="宋体"/>
          <w:b w:val="0"/>
          <w:sz w:val="24"/>
        </w:rPr>
        <w:t>（5）配网结构性问题突出。配网互联互供能力较弱、供电半径不合理、低电压重过载、高损配网及台区、电压扰动等问题交织叠加，电压问题治理难度大。</w:t>
      </w:r>
    </w:p>
    <w:p>
      <w:pPr>
        <w:spacing w:line="360" w:lineRule="auto"/>
        <w:ind w:firstLine="480"/>
      </w:pPr>
      <w:r>
        <w:rPr>
          <w:rFonts w:ascii="宋体" w:hAnsi="宋体" w:eastAsia="宋体"/>
          <w:b w:val="0"/>
          <w:sz w:val="24"/>
        </w:rPr>
        <w:t>（6）治理与网架体量不匹配。受短板供电区域电压指数影响，公司整体电压指数水平与电网整体网架体量不成正比，反映出电压管理精细化程度有待提升。</w:t>
      </w:r>
    </w:p>
    <w:p>
      <w:pPr>
        <w:pStyle w:val="Heading2"/>
      </w:pPr>
      <w:r>
        <w:rPr>
          <w:rFonts w:ascii="黑体" w:hAnsi="黑体" w:eastAsia="黑体"/>
        </w:rPr>
        <w:t>2.4 项目提出的必要性</w:t>
      </w:r>
    </w:p>
    <w:p>
      <w:pPr>
        <w:spacing w:line="360" w:lineRule="auto"/>
        <w:ind w:firstLine="480"/>
      </w:pPr>
      <w:r>
        <w:rPr>
          <w:rFonts w:ascii="宋体" w:hAnsi="宋体" w:eastAsia="宋体"/>
          <w:b w:val="0"/>
          <w:sz w:val="24"/>
        </w:rPr>
        <w:t>基于以上背景分析，开展博尔塔拉供电公司2026年综合电压短板问题分析提升技术服务具有以下必要性：</w:t>
      </w:r>
    </w:p>
    <w:p>
      <w:pPr>
        <w:spacing w:line="360" w:lineRule="auto"/>
        <w:ind w:firstLine="480"/>
      </w:pPr>
      <w:r>
        <w:rPr>
          <w:rFonts w:ascii="宋体" w:hAnsi="宋体" w:eastAsia="宋体"/>
          <w:b w:val="0"/>
          <w:sz w:val="24"/>
        </w:rPr>
        <w:t>（1）落实国家电网公司电压管理要求的需要。新型供电电压管理体系和2026年重点工作任务明确要求加强电压短板攻坚，本项目正是落实上级公司要求的具体举措。</w:t>
      </w:r>
    </w:p>
    <w:p>
      <w:pPr>
        <w:spacing w:line="360" w:lineRule="auto"/>
        <w:ind w:firstLine="480"/>
      </w:pPr>
      <w:r>
        <w:rPr>
          <w:rFonts w:ascii="宋体" w:hAnsi="宋体" w:eastAsia="宋体"/>
          <w:b w:val="0"/>
          <w:sz w:val="24"/>
        </w:rPr>
        <w:t>（2）提升客户用电满意度的需要。电压质量直接影响用电客户的用电体验，通过系统性治理电压短板问题，可以有效提升客户满意度和获得感。</w:t>
      </w:r>
    </w:p>
    <w:p>
      <w:pPr>
        <w:spacing w:line="360" w:lineRule="auto"/>
        <w:ind w:firstLine="480"/>
      </w:pPr>
      <w:r>
        <w:rPr>
          <w:rFonts w:ascii="宋体" w:hAnsi="宋体" w:eastAsia="宋体"/>
          <w:b w:val="0"/>
          <w:sz w:val="24"/>
        </w:rPr>
        <w:t>（3）促进配电网高质量发展的需要。通过深入分析电压问题的根本原因，可以为配电网规划建设提供科学依据，促进配电网的持续优化和升级。</w:t>
      </w:r>
    </w:p>
    <w:p>
      <w:pPr>
        <w:spacing w:line="360" w:lineRule="auto"/>
        <w:ind w:firstLine="480"/>
      </w:pPr>
      <w:r>
        <w:rPr>
          <w:rFonts w:ascii="宋体" w:hAnsi="宋体" w:eastAsia="宋体"/>
          <w:b w:val="0"/>
          <w:sz w:val="24"/>
        </w:rPr>
        <w:t>（4）建立长效管控机制的需要。通过项目实施，建立电压短板问题的常态化跟踪分析机制，实现电压管理从被动应对向主动管控的转变。</w:t>
      </w:r>
    </w:p>
    <w:p>
      <w:r>
        <w:br w:type="page"/>
      </w:r>
    </w:p>
    <w:p>
      <w:pPr>
        <w:pStyle w:val="Heading1"/>
      </w:pPr>
      <w:r>
        <w:rPr>
          <w:rFonts w:ascii="黑体" w:hAnsi="黑体" w:eastAsia="黑体"/>
        </w:rPr>
        <w:t>三、项目目标</w:t>
      </w:r>
    </w:p>
    <w:p>
      <w:pPr>
        <w:pStyle w:val="Heading2"/>
      </w:pPr>
      <w:r>
        <w:rPr>
          <w:rFonts w:ascii="黑体" w:hAnsi="黑体" w:eastAsia="黑体"/>
        </w:rPr>
        <w:t>3.1 总体目标</w:t>
      </w:r>
    </w:p>
    <w:p>
      <w:pPr>
        <w:spacing w:line="360" w:lineRule="auto"/>
        <w:ind w:firstLine="480"/>
      </w:pPr>
      <w:r>
        <w:rPr>
          <w:rFonts w:ascii="宋体" w:hAnsi="宋体" w:eastAsia="宋体"/>
          <w:b w:val="0"/>
          <w:sz w:val="24"/>
        </w:rPr>
        <w:t>本项目的总体目标是：通过全面、系统、深入的电压短板问题分析和精准治理，实现博尔塔拉供电公司供电电压质量的显著提升，确保公司严重越限压降治理达到新疆公司考核目标值，建立健全电压质量持续改善的长效机制。</w:t>
      </w:r>
    </w:p>
    <w:p>
      <w:pPr>
        <w:spacing w:line="360" w:lineRule="auto"/>
        <w:ind w:firstLine="480"/>
      </w:pPr>
      <w:r>
        <w:rPr>
          <w:rFonts w:ascii="宋体" w:hAnsi="宋体" w:eastAsia="宋体"/>
          <w:b w:val="0"/>
          <w:sz w:val="24"/>
        </w:rPr>
        <w:t>具体而言，项目实施完成后，应达到以下总体效果：</w:t>
      </w:r>
    </w:p>
    <w:p>
      <w:pPr>
        <w:spacing w:line="360" w:lineRule="auto"/>
        <w:ind w:firstLine="480"/>
      </w:pPr>
      <w:r>
        <w:rPr>
          <w:rFonts w:ascii="宋体" w:hAnsi="宋体" w:eastAsia="宋体"/>
          <w:b w:val="0"/>
          <w:sz w:val="24"/>
        </w:rPr>
        <w:t>（1）全面掌握博州地区供电电压的真实状况，建立完整的电压问题台账。</w:t>
      </w:r>
    </w:p>
    <w:p>
      <w:pPr>
        <w:spacing w:line="360" w:lineRule="auto"/>
        <w:ind w:firstLine="480"/>
      </w:pPr>
      <w:r>
        <w:rPr>
          <w:rFonts w:ascii="宋体" w:hAnsi="宋体" w:eastAsia="宋体"/>
          <w:b w:val="0"/>
          <w:sz w:val="24"/>
        </w:rPr>
        <w:t>（2）精准定位各层级（变电站、线路、台区、用户侧）的具体电压质量问题。</w:t>
      </w:r>
    </w:p>
    <w:p>
      <w:pPr>
        <w:spacing w:line="360" w:lineRule="auto"/>
        <w:ind w:firstLine="480"/>
      </w:pPr>
      <w:r>
        <w:rPr>
          <w:rFonts w:ascii="宋体" w:hAnsi="宋体" w:eastAsia="宋体"/>
          <w:b w:val="0"/>
          <w:sz w:val="24"/>
        </w:rPr>
        <w:t>（3）制定科学、可行、分层分类的治理方案和实施计划。</w:t>
      </w:r>
    </w:p>
    <w:p>
      <w:pPr>
        <w:spacing w:line="360" w:lineRule="auto"/>
        <w:ind w:firstLine="480"/>
      </w:pPr>
      <w:r>
        <w:rPr>
          <w:rFonts w:ascii="宋体" w:hAnsi="宋体" w:eastAsia="宋体"/>
          <w:b w:val="0"/>
          <w:sz w:val="24"/>
        </w:rPr>
        <w:t>（4）实现严重越限问题的有效治理，电压指数达到考核要求。</w:t>
      </w:r>
    </w:p>
    <w:p>
      <w:pPr>
        <w:spacing w:line="360" w:lineRule="auto"/>
        <w:ind w:firstLine="480"/>
      </w:pPr>
      <w:r>
        <w:rPr>
          <w:rFonts w:ascii="宋体" w:hAnsi="宋体" w:eastAsia="宋体"/>
          <w:b w:val="0"/>
          <w:sz w:val="24"/>
        </w:rPr>
        <w:t>（5）建立体系化、可持续的电压质量管控机制。</w:t>
      </w:r>
    </w:p>
    <w:p>
      <w:pPr>
        <w:pStyle w:val="Heading2"/>
      </w:pPr>
      <w:r>
        <w:rPr>
          <w:rFonts w:ascii="黑体" w:hAnsi="黑体" w:eastAsia="黑体"/>
        </w:rPr>
        <w:t>3.2 具体目标</w:t>
      </w:r>
    </w:p>
    <w:p>
      <w:pPr>
        <w:spacing w:line="360" w:lineRule="auto"/>
        <w:ind w:firstLine="480"/>
      </w:pPr>
      <w:r>
        <w:rPr>
          <w:rFonts w:ascii="宋体" w:hAnsi="宋体" w:eastAsia="宋体"/>
          <w:b w:val="0"/>
          <w:sz w:val="24"/>
        </w:rPr>
        <w:t>围绕总体目标，本项目设定以下具体目标：</w:t>
      </w:r>
    </w:p>
    <w:p>
      <w:pPr>
        <w:spacing w:line="360" w:lineRule="auto"/>
        <w:ind w:firstLine="480"/>
      </w:pPr>
      <w:r>
        <w:rPr>
          <w:rFonts w:ascii="宋体" w:hAnsi="宋体" w:eastAsia="宋体"/>
          <w:b/>
          <w:sz w:val="24"/>
        </w:rPr>
        <w:t>（1）数据质量目标</w:t>
      </w:r>
    </w:p>
    <w:p>
      <w:pPr>
        <w:spacing w:line="360" w:lineRule="auto"/>
        <w:ind w:firstLine="480"/>
      </w:pPr>
      <w:r>
        <w:rPr>
          <w:rFonts w:ascii="宋体" w:hAnsi="宋体" w:eastAsia="宋体"/>
          <w:b w:val="0"/>
          <w:sz w:val="24"/>
        </w:rPr>
        <w:t>完成全口径电压系统多源数据比对分析，编制全口径与监管类电压合格率偏差问题清单，配合完成数据质量整改，确保监管类电压数据与实际运行情况的一致性达到99%以上。</w:t>
      </w:r>
    </w:p>
    <w:p>
      <w:pPr>
        <w:spacing w:line="360" w:lineRule="auto"/>
        <w:ind w:firstLine="480"/>
      </w:pPr>
      <w:r>
        <w:rPr>
          <w:rFonts w:ascii="宋体" w:hAnsi="宋体" w:eastAsia="宋体"/>
          <w:b/>
          <w:sz w:val="24"/>
        </w:rPr>
        <w:t>（2）分析诊断目标</w:t>
      </w:r>
    </w:p>
    <w:p>
      <w:pPr>
        <w:spacing w:line="360" w:lineRule="auto"/>
        <w:ind w:firstLine="480"/>
      </w:pPr>
      <w:r>
        <w:rPr>
          <w:rFonts w:ascii="宋体" w:hAnsi="宋体" w:eastAsia="宋体"/>
          <w:b w:val="0"/>
          <w:sz w:val="24"/>
        </w:rPr>
        <w:t>完成博州地区全部变电站、10kV线路、配电台区的逐站、逐线、逐台区深度分析，形成覆盖系统网架、运维管理、装备设备等方面的全面诊断报告，明确各类问题的具体原因和影响程度。</w:t>
      </w:r>
    </w:p>
    <w:p>
      <w:pPr>
        <w:spacing w:line="360" w:lineRule="auto"/>
        <w:ind w:firstLine="480"/>
      </w:pPr>
      <w:r>
        <w:rPr>
          <w:rFonts w:ascii="宋体" w:hAnsi="宋体" w:eastAsia="宋体"/>
          <w:b/>
          <w:sz w:val="24"/>
        </w:rPr>
        <w:t>（3）方案制定目标</w:t>
      </w:r>
    </w:p>
    <w:p>
      <w:pPr>
        <w:spacing w:line="360" w:lineRule="auto"/>
        <w:ind w:firstLine="480"/>
      </w:pPr>
      <w:r>
        <w:rPr>
          <w:rFonts w:ascii="宋体" w:hAnsi="宋体" w:eastAsia="宋体"/>
          <w:b w:val="0"/>
          <w:sz w:val="24"/>
        </w:rPr>
        <w:t>针对排查出的每一个具体问题，逐一制定管理措施、运维措施和项目措施，形成近期（1-3个月）、中期（3-6个月）、远期（6-12个月）的分阶段治理计划和项目储备清单。</w:t>
      </w:r>
    </w:p>
    <w:p>
      <w:pPr>
        <w:spacing w:line="360" w:lineRule="auto"/>
        <w:ind w:firstLine="480"/>
      </w:pPr>
      <w:r>
        <w:rPr>
          <w:rFonts w:ascii="宋体" w:hAnsi="宋体" w:eastAsia="宋体"/>
          <w:b/>
          <w:sz w:val="24"/>
        </w:rPr>
        <w:t>（4）治理效果目标</w:t>
      </w:r>
    </w:p>
    <w:p>
      <w:pPr>
        <w:spacing w:line="360" w:lineRule="auto"/>
        <w:ind w:firstLine="480"/>
      </w:pPr>
      <w:r>
        <w:rPr>
          <w:rFonts w:ascii="宋体" w:hAnsi="宋体" w:eastAsia="宋体"/>
          <w:b w:val="0"/>
          <w:sz w:val="24"/>
        </w:rPr>
        <w:t>通过精准治理方案的实施，确保严重越限压降治理后电压指数达到新疆公司考核目标值。博乐市、阿拉山口市、温泉县、精河县4家单位的电压指数短板得到有效改善。</w:t>
      </w:r>
    </w:p>
    <w:p>
      <w:pPr>
        <w:spacing w:line="360" w:lineRule="auto"/>
        <w:ind w:firstLine="480"/>
      </w:pPr>
      <w:r>
        <w:rPr>
          <w:rFonts w:ascii="宋体" w:hAnsi="宋体" w:eastAsia="宋体"/>
          <w:b/>
          <w:sz w:val="24"/>
        </w:rPr>
        <w:t>（5）装置优化目标</w:t>
      </w:r>
    </w:p>
    <w:p>
      <w:pPr>
        <w:spacing w:line="360" w:lineRule="auto"/>
        <w:ind w:firstLine="480"/>
      </w:pPr>
      <w:r>
        <w:rPr>
          <w:rFonts w:ascii="宋体" w:hAnsi="宋体" w:eastAsia="宋体"/>
          <w:b w:val="0"/>
          <w:sz w:val="24"/>
        </w:rPr>
        <w:t>针对短期内无法通过网架结构升级的线路，完成调压装置、无功补偿装置的最优配置方案设计，提供以电压合格率和线损最优为目标的多种组合可选方案。</w:t>
      </w:r>
    </w:p>
    <w:p>
      <w:pPr>
        <w:spacing w:line="360" w:lineRule="auto"/>
        <w:ind w:firstLine="480"/>
      </w:pPr>
      <w:r>
        <w:rPr>
          <w:rFonts w:ascii="宋体" w:hAnsi="宋体" w:eastAsia="宋体"/>
          <w:b/>
          <w:sz w:val="24"/>
        </w:rPr>
        <w:t>（6）专项治理目标</w:t>
      </w:r>
    </w:p>
    <w:p>
      <w:pPr>
        <w:spacing w:line="360" w:lineRule="auto"/>
        <w:ind w:firstLine="480"/>
      </w:pPr>
      <w:r>
        <w:rPr>
          <w:rFonts w:ascii="宋体" w:hAnsi="宋体" w:eastAsia="宋体"/>
          <w:b w:val="0"/>
          <w:sz w:val="24"/>
        </w:rPr>
        <w:t>完成严重越限典型台区的专项治理，通过现场勘查、多维指标评价、仿真模拟等手段，制定精准治理方案，确保典型台区电压质量达标。</w:t>
      </w:r>
    </w:p>
    <w:p>
      <w:pPr>
        <w:pStyle w:val="Heading2"/>
      </w:pPr>
      <w:r>
        <w:rPr>
          <w:rFonts w:ascii="黑体" w:hAnsi="黑体" w:eastAsia="黑体"/>
        </w:rPr>
        <w:t>3.3 目标分解</w:t>
      </w:r>
    </w:p>
    <w:p>
      <w:pPr>
        <w:spacing w:line="360" w:lineRule="auto"/>
        <w:ind w:firstLine="480"/>
      </w:pPr>
      <w:r>
        <w:rPr>
          <w:rFonts w:ascii="宋体" w:hAnsi="宋体" w:eastAsia="宋体"/>
          <w:b w:val="0"/>
          <w:sz w:val="24"/>
        </w:rPr>
        <w:t>为确保项目目标的顺利实现，将总体目标按照区域维度进行分解：</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区域</w:t>
            </w:r>
          </w:p>
        </w:tc>
        <w:tc>
          <w:tcPr>
            <w:tcW w:type="dxa" w:w="2161"/>
          </w:tcPr>
          <w:p>
            <w:pPr>
              <w:jc w:val="center"/>
            </w:pPr>
            <w:r>
              <w:rPr>
                <w:rFonts w:ascii="宋体" w:hAnsi="宋体" w:eastAsia="宋体"/>
                <w:b/>
                <w:sz w:val="22"/>
              </w:rPr>
              <w:t>电压问题现状</w:t>
            </w:r>
          </w:p>
        </w:tc>
        <w:tc>
          <w:tcPr>
            <w:tcW w:type="dxa" w:w="2161"/>
          </w:tcPr>
          <w:p>
            <w:pPr>
              <w:jc w:val="center"/>
            </w:pPr>
            <w:r>
              <w:rPr>
                <w:rFonts w:ascii="宋体" w:hAnsi="宋体" w:eastAsia="宋体"/>
                <w:b/>
                <w:sz w:val="22"/>
              </w:rPr>
              <w:t>治理目标</w:t>
            </w:r>
          </w:p>
        </w:tc>
        <w:tc>
          <w:tcPr>
            <w:tcW w:type="dxa" w:w="2161"/>
          </w:tcPr>
          <w:p>
            <w:pPr>
              <w:jc w:val="center"/>
            </w:pPr>
            <w:r>
              <w:rPr>
                <w:rFonts w:ascii="宋体" w:hAnsi="宋体" w:eastAsia="宋体"/>
                <w:b/>
                <w:sz w:val="22"/>
              </w:rPr>
              <w:t>关键措施</w:t>
            </w:r>
          </w:p>
        </w:tc>
      </w:tr>
      <w:tr>
        <w:tc>
          <w:tcPr>
            <w:tcW w:type="dxa" w:w="2161"/>
          </w:tcPr>
          <w:p>
            <w:r>
              <w:rPr>
                <w:rFonts w:ascii="宋体" w:hAnsi="宋体" w:eastAsia="宋体"/>
                <w:sz w:val="22"/>
              </w:rPr>
              <w:t>博乐市</w:t>
            </w:r>
          </w:p>
        </w:tc>
        <w:tc>
          <w:tcPr>
            <w:tcW w:type="dxa" w:w="2161"/>
          </w:tcPr>
          <w:p>
            <w:r>
              <w:rPr>
                <w:rFonts w:ascii="宋体" w:hAnsi="宋体" w:eastAsia="宋体"/>
                <w:sz w:val="22"/>
              </w:rPr>
              <w:t>指数短板变电站影响大，部分线路供电半径过长</w:t>
            </w:r>
          </w:p>
        </w:tc>
        <w:tc>
          <w:tcPr>
            <w:tcW w:type="dxa" w:w="2161"/>
          </w:tcPr>
          <w:p>
            <w:r>
              <w:rPr>
                <w:rFonts w:ascii="宋体" w:hAnsi="宋体" w:eastAsia="宋体"/>
                <w:sz w:val="22"/>
              </w:rPr>
              <w:t>电压指数达到考核目标值，严重越限问题清零</w:t>
            </w:r>
          </w:p>
        </w:tc>
        <w:tc>
          <w:tcPr>
            <w:tcW w:type="dxa" w:w="2161"/>
          </w:tcPr>
          <w:p>
            <w:r>
              <w:rPr>
                <w:rFonts w:ascii="宋体" w:hAnsi="宋体" w:eastAsia="宋体"/>
                <w:sz w:val="22"/>
              </w:rPr>
              <w:t>网架优化、调压装置配置、负荷均衡</w:t>
            </w:r>
          </w:p>
        </w:tc>
      </w:tr>
      <w:tr>
        <w:tc>
          <w:tcPr>
            <w:tcW w:type="dxa" w:w="2161"/>
          </w:tcPr>
          <w:p>
            <w:r>
              <w:rPr>
                <w:rFonts w:ascii="宋体" w:hAnsi="宋体" w:eastAsia="宋体"/>
                <w:sz w:val="22"/>
              </w:rPr>
              <w:t>阿拉山口市</w:t>
            </w:r>
          </w:p>
        </w:tc>
        <w:tc>
          <w:tcPr>
            <w:tcW w:type="dxa" w:w="2161"/>
          </w:tcPr>
          <w:p>
            <w:r>
              <w:rPr>
                <w:rFonts w:ascii="宋体" w:hAnsi="宋体" w:eastAsia="宋体"/>
                <w:sz w:val="22"/>
              </w:rPr>
              <w:t>边境口岸负荷波动大，供电可靠性要求高</w:t>
            </w:r>
          </w:p>
        </w:tc>
        <w:tc>
          <w:tcPr>
            <w:tcW w:type="dxa" w:w="2161"/>
          </w:tcPr>
          <w:p>
            <w:r>
              <w:rPr>
                <w:rFonts w:ascii="宋体" w:hAnsi="宋体" w:eastAsia="宋体"/>
                <w:sz w:val="22"/>
              </w:rPr>
              <w:t>电压合格率提升至目标水平</w:t>
            </w:r>
          </w:p>
        </w:tc>
        <w:tc>
          <w:tcPr>
            <w:tcW w:type="dxa" w:w="2161"/>
          </w:tcPr>
          <w:p>
            <w:r>
              <w:rPr>
                <w:rFonts w:ascii="宋体" w:hAnsi="宋体" w:eastAsia="宋体"/>
                <w:sz w:val="22"/>
              </w:rPr>
              <w:t>加强无功补偿、优化运行方式</w:t>
            </w:r>
          </w:p>
        </w:tc>
      </w:tr>
      <w:tr>
        <w:tc>
          <w:tcPr>
            <w:tcW w:type="dxa" w:w="2161"/>
          </w:tcPr>
          <w:p>
            <w:r>
              <w:rPr>
                <w:rFonts w:ascii="宋体" w:hAnsi="宋体" w:eastAsia="宋体"/>
                <w:sz w:val="22"/>
              </w:rPr>
              <w:t>温泉县</w:t>
            </w:r>
          </w:p>
        </w:tc>
        <w:tc>
          <w:tcPr>
            <w:tcW w:type="dxa" w:w="2161"/>
          </w:tcPr>
          <w:p>
            <w:r>
              <w:rPr>
                <w:rFonts w:ascii="宋体" w:hAnsi="宋体" w:eastAsia="宋体"/>
                <w:sz w:val="22"/>
              </w:rPr>
              <w:t>农牧区供电半径长，末端电压降落大</w:t>
            </w:r>
          </w:p>
        </w:tc>
        <w:tc>
          <w:tcPr>
            <w:tcW w:type="dxa" w:w="2161"/>
          </w:tcPr>
          <w:p>
            <w:r>
              <w:rPr>
                <w:rFonts w:ascii="宋体" w:hAnsi="宋体" w:eastAsia="宋体"/>
                <w:sz w:val="22"/>
              </w:rPr>
              <w:t>低电压问题有效治理</w:t>
            </w:r>
          </w:p>
        </w:tc>
        <w:tc>
          <w:tcPr>
            <w:tcW w:type="dxa" w:w="2161"/>
          </w:tcPr>
          <w:p>
            <w:r>
              <w:rPr>
                <w:rFonts w:ascii="宋体" w:hAnsi="宋体" w:eastAsia="宋体"/>
                <w:sz w:val="22"/>
              </w:rPr>
              <w:t>增设调压装置、优化台区布局</w:t>
            </w:r>
          </w:p>
        </w:tc>
      </w:tr>
      <w:tr>
        <w:tc>
          <w:tcPr>
            <w:tcW w:type="dxa" w:w="2161"/>
          </w:tcPr>
          <w:p>
            <w:r>
              <w:rPr>
                <w:rFonts w:ascii="宋体" w:hAnsi="宋体" w:eastAsia="宋体"/>
                <w:sz w:val="22"/>
              </w:rPr>
              <w:t>精河县</w:t>
            </w:r>
          </w:p>
        </w:tc>
        <w:tc>
          <w:tcPr>
            <w:tcW w:type="dxa" w:w="2161"/>
          </w:tcPr>
          <w:p>
            <w:r>
              <w:rPr>
                <w:rFonts w:ascii="宋体" w:hAnsi="宋体" w:eastAsia="宋体"/>
                <w:sz w:val="22"/>
              </w:rPr>
              <w:t>负荷集中度高，配变重过载问题突出</w:t>
            </w:r>
          </w:p>
        </w:tc>
        <w:tc>
          <w:tcPr>
            <w:tcW w:type="dxa" w:w="2161"/>
          </w:tcPr>
          <w:p>
            <w:r>
              <w:rPr>
                <w:rFonts w:ascii="宋体" w:hAnsi="宋体" w:eastAsia="宋体"/>
                <w:sz w:val="22"/>
              </w:rPr>
              <w:t>重过载问题有效缓解，电压质量达标</w:t>
            </w:r>
          </w:p>
        </w:tc>
        <w:tc>
          <w:tcPr>
            <w:tcW w:type="dxa" w:w="2161"/>
          </w:tcPr>
          <w:p>
            <w:r>
              <w:rPr>
                <w:rFonts w:ascii="宋体" w:hAnsi="宋体" w:eastAsia="宋体"/>
                <w:sz w:val="22"/>
              </w:rPr>
              <w:t>负荷转移、配变增容、三相平衡治理</w:t>
            </w:r>
          </w:p>
        </w:tc>
      </w:tr>
    </w:tbl>
    <w:p/>
    <w:p>
      <w:pPr>
        <w:pStyle w:val="Heading2"/>
      </w:pPr>
      <w:r>
        <w:rPr>
          <w:rFonts w:ascii="黑体" w:hAnsi="黑体" w:eastAsia="黑体"/>
        </w:rPr>
        <w:t>3.4 关键绩效指标</w:t>
      </w:r>
    </w:p>
    <w:p>
      <w:pPr>
        <w:spacing w:line="360" w:lineRule="auto"/>
        <w:ind w:firstLine="480"/>
      </w:pPr>
      <w:r>
        <w:rPr>
          <w:rFonts w:ascii="宋体" w:hAnsi="宋体" w:eastAsia="宋体"/>
          <w:b w:val="0"/>
          <w:sz w:val="24"/>
        </w:rPr>
        <w:t>本项目设定以下关键绩效指标（KPI）用于衡量项目实施效果：</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序号</w:t>
            </w:r>
          </w:p>
        </w:tc>
        <w:tc>
          <w:tcPr>
            <w:tcW w:type="dxa" w:w="2161"/>
          </w:tcPr>
          <w:p>
            <w:pPr>
              <w:jc w:val="center"/>
            </w:pPr>
            <w:r>
              <w:rPr>
                <w:rFonts w:ascii="宋体" w:hAnsi="宋体" w:eastAsia="宋体"/>
                <w:b/>
                <w:sz w:val="22"/>
              </w:rPr>
              <w:t>指标名称</w:t>
            </w:r>
          </w:p>
        </w:tc>
        <w:tc>
          <w:tcPr>
            <w:tcW w:type="dxa" w:w="2161"/>
          </w:tcPr>
          <w:p>
            <w:pPr>
              <w:jc w:val="center"/>
            </w:pPr>
            <w:r>
              <w:rPr>
                <w:rFonts w:ascii="宋体" w:hAnsi="宋体" w:eastAsia="宋体"/>
                <w:b/>
                <w:sz w:val="22"/>
              </w:rPr>
              <w:t>目标值</w:t>
            </w:r>
          </w:p>
        </w:tc>
        <w:tc>
          <w:tcPr>
            <w:tcW w:type="dxa" w:w="2161"/>
          </w:tcPr>
          <w:p>
            <w:pPr>
              <w:jc w:val="center"/>
            </w:pPr>
            <w:r>
              <w:rPr>
                <w:rFonts w:ascii="宋体" w:hAnsi="宋体" w:eastAsia="宋体"/>
                <w:b/>
                <w:sz w:val="22"/>
              </w:rPr>
              <w:t>考核方式</w:t>
            </w:r>
          </w:p>
        </w:tc>
      </w:tr>
      <w:tr>
        <w:tc>
          <w:tcPr>
            <w:tcW w:type="dxa" w:w="2161"/>
          </w:tcPr>
          <w:p>
            <w:r>
              <w:rPr>
                <w:rFonts w:ascii="宋体" w:hAnsi="宋体" w:eastAsia="宋体"/>
                <w:sz w:val="22"/>
              </w:rPr>
              <w:t>1</w:t>
            </w:r>
          </w:p>
        </w:tc>
        <w:tc>
          <w:tcPr>
            <w:tcW w:type="dxa" w:w="2161"/>
          </w:tcPr>
          <w:p>
            <w:r>
              <w:rPr>
                <w:rFonts w:ascii="宋体" w:hAnsi="宋体" w:eastAsia="宋体"/>
                <w:sz w:val="22"/>
              </w:rPr>
              <w:t>电压问题台账建立完整率</w:t>
            </w:r>
          </w:p>
        </w:tc>
        <w:tc>
          <w:tcPr>
            <w:tcW w:type="dxa" w:w="2161"/>
          </w:tcPr>
          <w:p>
            <w:r>
              <w:rPr>
                <w:rFonts w:ascii="宋体" w:hAnsi="宋体" w:eastAsia="宋体"/>
                <w:sz w:val="22"/>
              </w:rPr>
              <w:t>100%</w:t>
            </w:r>
          </w:p>
        </w:tc>
        <w:tc>
          <w:tcPr>
            <w:tcW w:type="dxa" w:w="2161"/>
          </w:tcPr>
          <w:p>
            <w:r>
              <w:rPr>
                <w:rFonts w:ascii="宋体" w:hAnsi="宋体" w:eastAsia="宋体"/>
                <w:sz w:val="22"/>
              </w:rPr>
              <w:t>全覆盖核查</w:t>
            </w:r>
          </w:p>
        </w:tc>
      </w:tr>
      <w:tr>
        <w:tc>
          <w:tcPr>
            <w:tcW w:type="dxa" w:w="2161"/>
          </w:tcPr>
          <w:p>
            <w:r>
              <w:rPr>
                <w:rFonts w:ascii="宋体" w:hAnsi="宋体" w:eastAsia="宋体"/>
                <w:sz w:val="22"/>
              </w:rPr>
              <w:t>2</w:t>
            </w:r>
          </w:p>
        </w:tc>
        <w:tc>
          <w:tcPr>
            <w:tcW w:type="dxa" w:w="2161"/>
          </w:tcPr>
          <w:p>
            <w:r>
              <w:rPr>
                <w:rFonts w:ascii="宋体" w:hAnsi="宋体" w:eastAsia="宋体"/>
                <w:sz w:val="22"/>
              </w:rPr>
              <w:t>监管类数据一致性</w:t>
            </w:r>
          </w:p>
        </w:tc>
        <w:tc>
          <w:tcPr>
            <w:tcW w:type="dxa" w:w="2161"/>
          </w:tcPr>
          <w:p>
            <w:r>
              <w:rPr>
                <w:rFonts w:ascii="宋体" w:hAnsi="宋体" w:eastAsia="宋体"/>
                <w:sz w:val="22"/>
              </w:rPr>
              <w:t>≥99%</w:t>
            </w:r>
          </w:p>
        </w:tc>
        <w:tc>
          <w:tcPr>
            <w:tcW w:type="dxa" w:w="2161"/>
          </w:tcPr>
          <w:p>
            <w:r>
              <w:rPr>
                <w:rFonts w:ascii="宋体" w:hAnsi="宋体" w:eastAsia="宋体"/>
                <w:sz w:val="22"/>
              </w:rPr>
              <w:t>数据比对验证</w:t>
            </w:r>
          </w:p>
        </w:tc>
      </w:tr>
      <w:tr>
        <w:tc>
          <w:tcPr>
            <w:tcW w:type="dxa" w:w="2161"/>
          </w:tcPr>
          <w:p>
            <w:r>
              <w:rPr>
                <w:rFonts w:ascii="宋体" w:hAnsi="宋体" w:eastAsia="宋体"/>
                <w:sz w:val="22"/>
              </w:rPr>
              <w:t>3</w:t>
            </w:r>
          </w:p>
        </w:tc>
        <w:tc>
          <w:tcPr>
            <w:tcW w:type="dxa" w:w="2161"/>
          </w:tcPr>
          <w:p>
            <w:r>
              <w:rPr>
                <w:rFonts w:ascii="宋体" w:hAnsi="宋体" w:eastAsia="宋体"/>
                <w:sz w:val="22"/>
              </w:rPr>
              <w:t>严重越限台区治理完成率</w:t>
            </w:r>
          </w:p>
        </w:tc>
        <w:tc>
          <w:tcPr>
            <w:tcW w:type="dxa" w:w="2161"/>
          </w:tcPr>
          <w:p>
            <w:r>
              <w:rPr>
                <w:rFonts w:ascii="宋体" w:hAnsi="宋体" w:eastAsia="宋体"/>
                <w:sz w:val="22"/>
              </w:rPr>
              <w:t>100%</w:t>
            </w:r>
          </w:p>
        </w:tc>
        <w:tc>
          <w:tcPr>
            <w:tcW w:type="dxa" w:w="2161"/>
          </w:tcPr>
          <w:p>
            <w:r>
              <w:rPr>
                <w:rFonts w:ascii="宋体" w:hAnsi="宋体" w:eastAsia="宋体"/>
                <w:sz w:val="22"/>
              </w:rPr>
              <w:t>治理后监测验证</w:t>
            </w:r>
          </w:p>
        </w:tc>
      </w:tr>
      <w:tr>
        <w:tc>
          <w:tcPr>
            <w:tcW w:type="dxa" w:w="2161"/>
          </w:tcPr>
          <w:p>
            <w:r>
              <w:rPr>
                <w:rFonts w:ascii="宋体" w:hAnsi="宋体" w:eastAsia="宋体"/>
                <w:sz w:val="22"/>
              </w:rPr>
              <w:t>4</w:t>
            </w:r>
          </w:p>
        </w:tc>
        <w:tc>
          <w:tcPr>
            <w:tcW w:type="dxa" w:w="2161"/>
          </w:tcPr>
          <w:p>
            <w:r>
              <w:rPr>
                <w:rFonts w:ascii="宋体" w:hAnsi="宋体" w:eastAsia="宋体"/>
                <w:sz w:val="22"/>
              </w:rPr>
              <w:t>治理方案制定完成率</w:t>
            </w:r>
          </w:p>
        </w:tc>
        <w:tc>
          <w:tcPr>
            <w:tcW w:type="dxa" w:w="2161"/>
          </w:tcPr>
          <w:p>
            <w:r>
              <w:rPr>
                <w:rFonts w:ascii="宋体" w:hAnsi="宋体" w:eastAsia="宋体"/>
                <w:sz w:val="22"/>
              </w:rPr>
              <w:t>100%</w:t>
            </w:r>
          </w:p>
        </w:tc>
        <w:tc>
          <w:tcPr>
            <w:tcW w:type="dxa" w:w="2161"/>
          </w:tcPr>
          <w:p>
            <w:r>
              <w:rPr>
                <w:rFonts w:ascii="宋体" w:hAnsi="宋体" w:eastAsia="宋体"/>
                <w:sz w:val="22"/>
              </w:rPr>
              <w:t>成果文件审核</w:t>
            </w:r>
          </w:p>
        </w:tc>
      </w:tr>
      <w:tr>
        <w:tc>
          <w:tcPr>
            <w:tcW w:type="dxa" w:w="2161"/>
          </w:tcPr>
          <w:p>
            <w:r>
              <w:rPr>
                <w:rFonts w:ascii="宋体" w:hAnsi="宋体" w:eastAsia="宋体"/>
                <w:sz w:val="22"/>
              </w:rPr>
              <w:t>5</w:t>
            </w:r>
          </w:p>
        </w:tc>
        <w:tc>
          <w:tcPr>
            <w:tcW w:type="dxa" w:w="2161"/>
          </w:tcPr>
          <w:p>
            <w:r>
              <w:rPr>
                <w:rFonts w:ascii="宋体" w:hAnsi="宋体" w:eastAsia="宋体"/>
                <w:sz w:val="22"/>
              </w:rPr>
              <w:t>电压指数达标率</w:t>
            </w:r>
          </w:p>
        </w:tc>
        <w:tc>
          <w:tcPr>
            <w:tcW w:type="dxa" w:w="2161"/>
          </w:tcPr>
          <w:p>
            <w:r>
              <w:rPr>
                <w:rFonts w:ascii="宋体" w:hAnsi="宋体" w:eastAsia="宋体"/>
                <w:sz w:val="22"/>
              </w:rPr>
              <w:t>达到新疆公司考核目标值</w:t>
            </w:r>
          </w:p>
        </w:tc>
        <w:tc>
          <w:tcPr>
            <w:tcW w:type="dxa" w:w="2161"/>
          </w:tcPr>
          <w:p>
            <w:r>
              <w:rPr>
                <w:rFonts w:ascii="宋体" w:hAnsi="宋体" w:eastAsia="宋体"/>
                <w:sz w:val="22"/>
              </w:rPr>
              <w:t>指标统计评价</w:t>
            </w:r>
          </w:p>
        </w:tc>
      </w:tr>
      <w:tr>
        <w:tc>
          <w:tcPr>
            <w:tcW w:type="dxa" w:w="2161"/>
          </w:tcPr>
          <w:p>
            <w:r>
              <w:rPr>
                <w:rFonts w:ascii="宋体" w:hAnsi="宋体" w:eastAsia="宋体"/>
                <w:sz w:val="22"/>
              </w:rPr>
              <w:t>6</w:t>
            </w:r>
          </w:p>
        </w:tc>
        <w:tc>
          <w:tcPr>
            <w:tcW w:type="dxa" w:w="2161"/>
          </w:tcPr>
          <w:p>
            <w:r>
              <w:rPr>
                <w:rFonts w:ascii="宋体" w:hAnsi="宋体" w:eastAsia="宋体"/>
                <w:sz w:val="22"/>
              </w:rPr>
              <w:t>现场检查报告编制完成率</w:t>
            </w:r>
          </w:p>
        </w:tc>
        <w:tc>
          <w:tcPr>
            <w:tcW w:type="dxa" w:w="2161"/>
          </w:tcPr>
          <w:p>
            <w:r>
              <w:rPr>
                <w:rFonts w:ascii="宋体" w:hAnsi="宋体" w:eastAsia="宋体"/>
                <w:sz w:val="22"/>
              </w:rPr>
              <w:t>100%</w:t>
            </w:r>
          </w:p>
        </w:tc>
        <w:tc>
          <w:tcPr>
            <w:tcW w:type="dxa" w:w="2161"/>
          </w:tcPr>
          <w:p>
            <w:r>
              <w:rPr>
                <w:rFonts w:ascii="宋体" w:hAnsi="宋体" w:eastAsia="宋体"/>
                <w:sz w:val="22"/>
              </w:rPr>
              <w:t>报告提交审核</w:t>
            </w:r>
          </w:p>
        </w:tc>
      </w:tr>
      <w:tr>
        <w:tc>
          <w:tcPr>
            <w:tcW w:type="dxa" w:w="2161"/>
          </w:tcPr>
          <w:p>
            <w:r>
              <w:rPr>
                <w:rFonts w:ascii="宋体" w:hAnsi="宋体" w:eastAsia="宋体"/>
                <w:sz w:val="22"/>
              </w:rPr>
              <w:t>7</w:t>
            </w:r>
          </w:p>
        </w:tc>
        <w:tc>
          <w:tcPr>
            <w:tcW w:type="dxa" w:w="2161"/>
          </w:tcPr>
          <w:p>
            <w:r>
              <w:rPr>
                <w:rFonts w:ascii="宋体" w:hAnsi="宋体" w:eastAsia="宋体"/>
                <w:sz w:val="22"/>
              </w:rPr>
              <w:t>项目成果交付完整率</w:t>
            </w:r>
          </w:p>
        </w:tc>
        <w:tc>
          <w:tcPr>
            <w:tcW w:type="dxa" w:w="2161"/>
          </w:tcPr>
          <w:p>
            <w:r>
              <w:rPr>
                <w:rFonts w:ascii="宋体" w:hAnsi="宋体" w:eastAsia="宋体"/>
                <w:sz w:val="22"/>
              </w:rPr>
              <w:t>100%</w:t>
            </w:r>
          </w:p>
        </w:tc>
        <w:tc>
          <w:tcPr>
            <w:tcW w:type="dxa" w:w="2161"/>
          </w:tcPr>
          <w:p>
            <w:r>
              <w:rPr>
                <w:rFonts w:ascii="宋体" w:hAnsi="宋体" w:eastAsia="宋体"/>
                <w:sz w:val="22"/>
              </w:rPr>
              <w:t>交付物清单核查</w:t>
            </w:r>
          </w:p>
        </w:tc>
      </w:tr>
    </w:tbl>
    <w:p/>
    <w:p>
      <w:r>
        <w:br w:type="page"/>
      </w:r>
    </w:p>
    <w:p>
      <w:pPr>
        <w:pStyle w:val="Heading1"/>
      </w:pPr>
      <w:r>
        <w:rPr>
          <w:rFonts w:ascii="黑体" w:hAnsi="黑体" w:eastAsia="黑体"/>
        </w:rPr>
        <w:t>四、项目重难点分析</w:t>
      </w:r>
    </w:p>
    <w:p>
      <w:pPr>
        <w:pStyle w:val="Heading2"/>
      </w:pPr>
      <w:r>
        <w:rPr>
          <w:rFonts w:ascii="黑体" w:hAnsi="黑体" w:eastAsia="黑体"/>
        </w:rPr>
        <w:t>4.1 技术难点分析</w:t>
      </w:r>
    </w:p>
    <w:p>
      <w:pPr>
        <w:spacing w:line="360" w:lineRule="auto"/>
        <w:ind w:firstLine="480"/>
      </w:pPr>
      <w:r>
        <w:rPr>
          <w:rFonts w:ascii="宋体" w:hAnsi="宋体" w:eastAsia="宋体"/>
          <w:b w:val="0"/>
          <w:sz w:val="24"/>
        </w:rPr>
        <w:t>本项目涉及博州地区全部变电站、线路、台区和用户的电压质量分析与治理，技术难度大、覆盖面广、专业性强。主要技术难点包括：</w:t>
      </w:r>
    </w:p>
    <w:p>
      <w:pPr>
        <w:spacing w:line="360" w:lineRule="auto"/>
        <w:ind w:firstLine="480"/>
      </w:pPr>
      <w:r>
        <w:rPr>
          <w:rFonts w:ascii="宋体" w:hAnsi="宋体" w:eastAsia="宋体"/>
          <w:b/>
          <w:sz w:val="24"/>
        </w:rPr>
        <w:t>4.1.1 多源数据融合分析难度大</w:t>
      </w:r>
    </w:p>
    <w:p>
      <w:pPr>
        <w:spacing w:line="360" w:lineRule="auto"/>
        <w:ind w:firstLine="480"/>
      </w:pPr>
      <w:r>
        <w:rPr>
          <w:rFonts w:ascii="宋体" w:hAnsi="宋体" w:eastAsia="宋体"/>
          <w:b w:val="0"/>
          <w:sz w:val="24"/>
        </w:rPr>
        <w:t>项目需要综合利用SCADA系统、用电信息采集系统、配电自动化系统、PMS系统等多个信息系统的数据，进行多源数据比对和融合分析。各系统数据格式不统一、采集频率不一致、数据质量参差不齐，给数据融合分析带来较大挑战。</w:t>
      </w:r>
    </w:p>
    <w:p>
      <w:pPr>
        <w:spacing w:line="360" w:lineRule="auto"/>
        <w:ind w:firstLine="480"/>
      </w:pPr>
      <w:r>
        <w:rPr>
          <w:rFonts w:ascii="宋体" w:hAnsi="宋体" w:eastAsia="宋体"/>
          <w:b w:val="0"/>
          <w:sz w:val="24"/>
        </w:rPr>
        <w:t>应对策略：建立统一的数据标准化处理流程，开发数据清洗和融合分析工具，制定多源数据比对分析规则，确保分析结果的准确性和可靠性。</w:t>
      </w:r>
    </w:p>
    <w:p>
      <w:pPr>
        <w:spacing w:line="360" w:lineRule="auto"/>
        <w:ind w:firstLine="480"/>
      </w:pPr>
      <w:r>
        <w:rPr>
          <w:rFonts w:ascii="宋体" w:hAnsi="宋体" w:eastAsia="宋体"/>
          <w:b/>
          <w:sz w:val="24"/>
        </w:rPr>
        <w:t>4.1.2 电压问题成因复杂多样</w:t>
      </w:r>
    </w:p>
    <w:p>
      <w:pPr>
        <w:spacing w:line="360" w:lineRule="auto"/>
        <w:ind w:firstLine="480"/>
      </w:pPr>
      <w:r>
        <w:rPr>
          <w:rFonts w:ascii="宋体" w:hAnsi="宋体" w:eastAsia="宋体"/>
          <w:b w:val="0"/>
          <w:sz w:val="24"/>
        </w:rPr>
        <w:t>博州地区电压问题的成因包括网架结构不合理、无功配置不足、负荷不均衡、设备老化、运行方式不当等多种因素，且各因素之间相互影响、相互制约，需要综合考虑才能找到问题的根本原因。</w:t>
      </w:r>
    </w:p>
    <w:p>
      <w:pPr>
        <w:spacing w:line="360" w:lineRule="auto"/>
        <w:ind w:firstLine="480"/>
      </w:pPr>
      <w:r>
        <w:rPr>
          <w:rFonts w:ascii="宋体" w:hAnsi="宋体" w:eastAsia="宋体"/>
          <w:b w:val="0"/>
          <w:sz w:val="24"/>
        </w:rPr>
        <w:t>应对策略：建立电压问题分类体系，采用层次分析法、故障树分析法等系统分析方法，从多个维度逐层深入分析问题成因，确保诊断结论的准确性和全面性。</w:t>
      </w:r>
    </w:p>
    <w:p>
      <w:pPr>
        <w:spacing w:line="360" w:lineRule="auto"/>
        <w:ind w:firstLine="480"/>
      </w:pPr>
      <w:r>
        <w:rPr>
          <w:rFonts w:ascii="宋体" w:hAnsi="宋体" w:eastAsia="宋体"/>
          <w:b/>
          <w:sz w:val="24"/>
        </w:rPr>
        <w:t>4.1.3 仿真建模精度要求高</w:t>
      </w:r>
    </w:p>
    <w:p>
      <w:pPr>
        <w:spacing w:line="360" w:lineRule="auto"/>
        <w:ind w:firstLine="480"/>
      </w:pPr>
      <w:r>
        <w:rPr>
          <w:rFonts w:ascii="宋体" w:hAnsi="宋体" w:eastAsia="宋体"/>
          <w:b w:val="0"/>
          <w:sz w:val="24"/>
        </w:rPr>
        <w:t>针对严重越限典型台区的专项治理，需要建立精确的电力系统仿真模型，对各种治理方案进行模拟验证。模型参数的准确性直接影响仿真结果的可靠性，而现场实际运行工况的复杂性增加了建模难度。</w:t>
      </w:r>
    </w:p>
    <w:p>
      <w:pPr>
        <w:spacing w:line="360" w:lineRule="auto"/>
        <w:ind w:firstLine="480"/>
      </w:pPr>
      <w:r>
        <w:rPr>
          <w:rFonts w:ascii="宋体" w:hAnsi="宋体" w:eastAsia="宋体"/>
          <w:b w:val="0"/>
          <w:sz w:val="24"/>
        </w:rPr>
        <w:t>应对策略：采用实测数据与模型参数相互校核的方法，通过典型运行日的实测数据验证模型精度，确保仿真结果与实际运行情况的偏差控制在合理范围内。</w:t>
      </w:r>
    </w:p>
    <w:p>
      <w:pPr>
        <w:spacing w:line="360" w:lineRule="auto"/>
        <w:ind w:firstLine="480"/>
      </w:pPr>
      <w:r>
        <w:rPr>
          <w:rFonts w:ascii="宋体" w:hAnsi="宋体" w:eastAsia="宋体"/>
          <w:b/>
          <w:sz w:val="24"/>
        </w:rPr>
        <w:t>4.1.4 调压方案优化计算复杂</w:t>
      </w:r>
    </w:p>
    <w:p>
      <w:pPr>
        <w:spacing w:line="360" w:lineRule="auto"/>
        <w:ind w:firstLine="480"/>
      </w:pPr>
      <w:r>
        <w:rPr>
          <w:rFonts w:ascii="宋体" w:hAnsi="宋体" w:eastAsia="宋体"/>
          <w:b w:val="0"/>
          <w:sz w:val="24"/>
        </w:rPr>
        <w:t>以电压合格率和线损最优为目标测算调压装置、无功补偿装置的最优安装位置和容量配置，属于多目标、多约束的组合优化问题，计算复杂度高，需要采用高效的优化算法。</w:t>
      </w:r>
    </w:p>
    <w:p>
      <w:pPr>
        <w:spacing w:line="360" w:lineRule="auto"/>
        <w:ind w:firstLine="480"/>
      </w:pPr>
      <w:r>
        <w:rPr>
          <w:rFonts w:ascii="宋体" w:hAnsi="宋体" w:eastAsia="宋体"/>
          <w:b w:val="0"/>
          <w:sz w:val="24"/>
        </w:rPr>
        <w:t>应对策略：采用粒子群优化算法、遗传算法等智能优化方法，结合工程经验约束条件，建立多目标优化模型，高效求解最优配置方案。</w:t>
      </w:r>
    </w:p>
    <w:p>
      <w:pPr>
        <w:pStyle w:val="Heading2"/>
      </w:pPr>
      <w:r>
        <w:rPr>
          <w:rFonts w:ascii="黑体" w:hAnsi="黑体" w:eastAsia="黑体"/>
        </w:rPr>
        <w:t>4.2 管理难点分析</w:t>
      </w:r>
    </w:p>
    <w:p>
      <w:pPr>
        <w:spacing w:line="360" w:lineRule="auto"/>
        <w:ind w:firstLine="480"/>
      </w:pPr>
      <w:r>
        <w:rPr>
          <w:rFonts w:ascii="宋体" w:hAnsi="宋体" w:eastAsia="宋体"/>
          <w:b/>
          <w:sz w:val="24"/>
        </w:rPr>
        <w:t>4.2.1 工作量大、覆盖面广</w:t>
      </w:r>
    </w:p>
    <w:p>
      <w:pPr>
        <w:spacing w:line="360" w:lineRule="auto"/>
        <w:ind w:firstLine="480"/>
      </w:pPr>
      <w:r>
        <w:rPr>
          <w:rFonts w:ascii="宋体" w:hAnsi="宋体" w:eastAsia="宋体"/>
          <w:b w:val="0"/>
          <w:sz w:val="24"/>
        </w:rPr>
        <w:t>项目需要对博州地区全部变电站、线路、台区进行逐一分析，工作量巨大。同时，现场勘查需要覆盖4个县市的广泛区域，时间紧、任务重。</w:t>
      </w:r>
    </w:p>
    <w:p>
      <w:pPr>
        <w:spacing w:line="360" w:lineRule="auto"/>
        <w:ind w:firstLine="480"/>
      </w:pPr>
      <w:r>
        <w:rPr>
          <w:rFonts w:ascii="宋体" w:hAnsi="宋体" w:eastAsia="宋体"/>
          <w:b w:val="0"/>
          <w:sz w:val="24"/>
        </w:rPr>
        <w:t>应对策略：制定科学的工作计划，合理分配人力资源，采用分区域并行推进的方式，提高工作效率。同时，充分利用信息化手段减少重复性工作。</w:t>
      </w:r>
    </w:p>
    <w:p>
      <w:pPr>
        <w:spacing w:line="360" w:lineRule="auto"/>
        <w:ind w:firstLine="480"/>
      </w:pPr>
      <w:r>
        <w:rPr>
          <w:rFonts w:ascii="宋体" w:hAnsi="宋体" w:eastAsia="宋体"/>
          <w:b/>
          <w:sz w:val="24"/>
        </w:rPr>
        <w:t>4.2.2 多部门协调配合要求高</w:t>
      </w:r>
    </w:p>
    <w:p>
      <w:pPr>
        <w:spacing w:line="360" w:lineRule="auto"/>
        <w:ind w:firstLine="480"/>
      </w:pPr>
      <w:r>
        <w:rPr>
          <w:rFonts w:ascii="宋体" w:hAnsi="宋体" w:eastAsia="宋体"/>
          <w:b w:val="0"/>
          <w:sz w:val="24"/>
        </w:rPr>
        <w:t>电压质量管理涉及调控、运检、营销、规划等多个部门，项目实施过程中需要多部门协调配合，沟通协调工作量大。</w:t>
      </w:r>
    </w:p>
    <w:p>
      <w:pPr>
        <w:spacing w:line="360" w:lineRule="auto"/>
        <w:ind w:firstLine="480"/>
      </w:pPr>
      <w:r>
        <w:rPr>
          <w:rFonts w:ascii="宋体" w:hAnsi="宋体" w:eastAsia="宋体"/>
          <w:b w:val="0"/>
          <w:sz w:val="24"/>
        </w:rPr>
        <w:t>应对策略：建立项目联络机制，明确各方职责和配合要求，定期召开协调会议，确保信息沟通顺畅、工作衔接紧密。</w:t>
      </w:r>
    </w:p>
    <w:p>
      <w:pPr>
        <w:spacing w:line="360" w:lineRule="auto"/>
        <w:ind w:firstLine="480"/>
      </w:pPr>
      <w:r>
        <w:rPr>
          <w:rFonts w:ascii="宋体" w:hAnsi="宋体" w:eastAsia="宋体"/>
          <w:b/>
          <w:sz w:val="24"/>
        </w:rPr>
        <w:t>4.2.3 短板区域动态变化</w:t>
      </w:r>
    </w:p>
    <w:p>
      <w:pPr>
        <w:spacing w:line="360" w:lineRule="auto"/>
        <w:ind w:firstLine="480"/>
      </w:pPr>
      <w:r>
        <w:rPr>
          <w:rFonts w:ascii="宋体" w:hAnsi="宋体" w:eastAsia="宋体"/>
          <w:b w:val="0"/>
          <w:sz w:val="24"/>
        </w:rPr>
        <w:t>根据现场治理情况，短板区县经常会发生变动，需要建立动态跟踪和及时响应机制。</w:t>
      </w:r>
    </w:p>
    <w:p>
      <w:pPr>
        <w:spacing w:line="360" w:lineRule="auto"/>
        <w:ind w:firstLine="480"/>
      </w:pPr>
      <w:r>
        <w:rPr>
          <w:rFonts w:ascii="宋体" w:hAnsi="宋体" w:eastAsia="宋体"/>
          <w:b w:val="0"/>
          <w:sz w:val="24"/>
        </w:rPr>
        <w:t>应对策略：建立电压指数日跟踪、周分析、月评价机制，对短板区域实施重点监控，及时发现问题变化并调整治理策略。</w:t>
      </w:r>
    </w:p>
    <w:p>
      <w:pPr>
        <w:pStyle w:val="Heading2"/>
      </w:pPr>
      <w:r>
        <w:rPr>
          <w:rFonts w:ascii="黑体" w:hAnsi="黑体" w:eastAsia="黑体"/>
        </w:rPr>
        <w:t>4.3 实施难点分析</w:t>
      </w:r>
    </w:p>
    <w:p>
      <w:pPr>
        <w:spacing w:line="360" w:lineRule="auto"/>
        <w:ind w:firstLine="480"/>
      </w:pPr>
      <w:r>
        <w:rPr>
          <w:rFonts w:ascii="宋体" w:hAnsi="宋体" w:eastAsia="宋体"/>
          <w:b/>
          <w:sz w:val="24"/>
        </w:rPr>
        <w:t>4.3.1 现场勘查条件艰苦</w:t>
      </w:r>
    </w:p>
    <w:p>
      <w:pPr>
        <w:spacing w:line="360" w:lineRule="auto"/>
        <w:ind w:firstLine="480"/>
      </w:pPr>
      <w:r>
        <w:rPr>
          <w:rFonts w:ascii="宋体" w:hAnsi="宋体" w:eastAsia="宋体"/>
          <w:b w:val="0"/>
          <w:sz w:val="24"/>
        </w:rPr>
        <w:t>博州地区地域广阔，部分台区位于偏远山区或牧区，交通不便，现场勘查条件艰苦，特别是冬季施工期间气候寒冷，给现场工作带来较大困难。</w:t>
      </w:r>
    </w:p>
    <w:p>
      <w:pPr>
        <w:spacing w:line="360" w:lineRule="auto"/>
        <w:ind w:firstLine="480"/>
      </w:pPr>
      <w:r>
        <w:rPr>
          <w:rFonts w:ascii="宋体" w:hAnsi="宋体" w:eastAsia="宋体"/>
          <w:b w:val="0"/>
          <w:sz w:val="24"/>
        </w:rPr>
        <w:t>应对策略：合理安排现场勘查时间，做好后勤保障工作，配备必要的交通工具和防护装备，确保现场工作人员的安全和工作效率。</w:t>
      </w:r>
    </w:p>
    <w:p>
      <w:pPr>
        <w:spacing w:line="360" w:lineRule="auto"/>
        <w:ind w:firstLine="480"/>
      </w:pPr>
      <w:r>
        <w:rPr>
          <w:rFonts w:ascii="宋体" w:hAnsi="宋体" w:eastAsia="宋体"/>
          <w:b/>
          <w:sz w:val="24"/>
        </w:rPr>
        <w:t>4.3.2 数据获取时效性要求高</w:t>
      </w:r>
    </w:p>
    <w:p>
      <w:pPr>
        <w:spacing w:line="360" w:lineRule="auto"/>
        <w:ind w:firstLine="480"/>
      </w:pPr>
      <w:r>
        <w:rPr>
          <w:rFonts w:ascii="宋体" w:hAnsi="宋体" w:eastAsia="宋体"/>
          <w:b w:val="0"/>
          <w:sz w:val="24"/>
        </w:rPr>
        <w:t>电压分析需要获取实时或准实时的运行数据，数据获取的及时性和完整性直接影响分析结论的准确性。</w:t>
      </w:r>
    </w:p>
    <w:p>
      <w:pPr>
        <w:spacing w:line="360" w:lineRule="auto"/>
        <w:ind w:firstLine="480"/>
      </w:pPr>
      <w:r>
        <w:rPr>
          <w:rFonts w:ascii="宋体" w:hAnsi="宋体" w:eastAsia="宋体"/>
          <w:b w:val="0"/>
          <w:sz w:val="24"/>
        </w:rPr>
        <w:t>应对策略：提前与博尔塔拉供电公司相关部门建立数据共享机制，明确数据提供的内容、格式和时间要求，确保数据获取的及时性。</w:t>
      </w:r>
    </w:p>
    <w:p>
      <w:pPr>
        <w:spacing w:line="360" w:lineRule="auto"/>
        <w:ind w:firstLine="480"/>
      </w:pPr>
      <w:r>
        <w:rPr>
          <w:rFonts w:ascii="宋体" w:hAnsi="宋体" w:eastAsia="宋体"/>
          <w:b/>
          <w:sz w:val="24"/>
        </w:rPr>
        <w:t>4.3.3 治理方案实施条件制约</w:t>
      </w:r>
    </w:p>
    <w:p>
      <w:pPr>
        <w:spacing w:line="360" w:lineRule="auto"/>
        <w:ind w:firstLine="480"/>
      </w:pPr>
      <w:r>
        <w:rPr>
          <w:rFonts w:ascii="宋体" w:hAnsi="宋体" w:eastAsia="宋体"/>
          <w:b w:val="0"/>
          <w:sz w:val="24"/>
        </w:rPr>
        <w:t>部分治理方案的实施可能受到资金预算、施工窗口、设备采购周期等条件制约，需要在方案制定时充分考虑可行性。</w:t>
      </w:r>
    </w:p>
    <w:p>
      <w:pPr>
        <w:spacing w:line="360" w:lineRule="auto"/>
        <w:ind w:firstLine="480"/>
      </w:pPr>
      <w:r>
        <w:rPr>
          <w:rFonts w:ascii="宋体" w:hAnsi="宋体" w:eastAsia="宋体"/>
          <w:b w:val="0"/>
          <w:sz w:val="24"/>
        </w:rPr>
        <w:t>应对策略：在方案制定过程中充分考虑实施条件约束，提供多种可选方案，并按照优先级进行排序，确保在现有条件下选择最优方案。</w:t>
      </w:r>
    </w:p>
    <w:p>
      <w:pPr>
        <w:pStyle w:val="Heading2"/>
      </w:pPr>
      <w:r>
        <w:rPr>
          <w:rFonts w:ascii="黑体" w:hAnsi="黑体" w:eastAsia="黑体"/>
        </w:rPr>
        <w:t>4.4 重难点应对总体策略</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2"/>
              </w:rPr>
              <w:t>序号</w:t>
            </w:r>
          </w:p>
        </w:tc>
        <w:tc>
          <w:tcPr>
            <w:tcW w:type="dxa" w:w="1729"/>
          </w:tcPr>
          <w:p>
            <w:pPr>
              <w:jc w:val="center"/>
            </w:pPr>
            <w:r>
              <w:rPr>
                <w:rFonts w:ascii="宋体" w:hAnsi="宋体" w:eastAsia="宋体"/>
                <w:b/>
                <w:sz w:val="22"/>
              </w:rPr>
              <w:t>重难点</w:t>
            </w:r>
          </w:p>
        </w:tc>
        <w:tc>
          <w:tcPr>
            <w:tcW w:type="dxa" w:w="1729"/>
          </w:tcPr>
          <w:p>
            <w:pPr>
              <w:jc w:val="center"/>
            </w:pPr>
            <w:r>
              <w:rPr>
                <w:rFonts w:ascii="宋体" w:hAnsi="宋体" w:eastAsia="宋体"/>
                <w:b/>
                <w:sz w:val="22"/>
              </w:rPr>
              <w:t>影响程度</w:t>
            </w:r>
          </w:p>
        </w:tc>
        <w:tc>
          <w:tcPr>
            <w:tcW w:type="dxa" w:w="1729"/>
          </w:tcPr>
          <w:p>
            <w:pPr>
              <w:jc w:val="center"/>
            </w:pPr>
            <w:r>
              <w:rPr>
                <w:rFonts w:ascii="宋体" w:hAnsi="宋体" w:eastAsia="宋体"/>
                <w:b/>
                <w:sz w:val="22"/>
              </w:rPr>
              <w:t>应对措施</w:t>
            </w:r>
          </w:p>
        </w:tc>
        <w:tc>
          <w:tcPr>
            <w:tcW w:type="dxa" w:w="1729"/>
          </w:tcPr>
          <w:p>
            <w:pPr>
              <w:jc w:val="center"/>
            </w:pPr>
            <w:r>
              <w:rPr>
                <w:rFonts w:ascii="宋体" w:hAnsi="宋体" w:eastAsia="宋体"/>
                <w:b/>
                <w:sz w:val="22"/>
              </w:rPr>
              <w:t>责任分工</w:t>
            </w:r>
          </w:p>
        </w:tc>
      </w:tr>
      <w:tr>
        <w:tc>
          <w:tcPr>
            <w:tcW w:type="dxa" w:w="1729"/>
          </w:tcPr>
          <w:p>
            <w:r>
              <w:rPr>
                <w:rFonts w:ascii="宋体" w:hAnsi="宋体" w:eastAsia="宋体"/>
                <w:sz w:val="22"/>
              </w:rPr>
              <w:t>1</w:t>
            </w:r>
          </w:p>
        </w:tc>
        <w:tc>
          <w:tcPr>
            <w:tcW w:type="dxa" w:w="1729"/>
          </w:tcPr>
          <w:p>
            <w:r>
              <w:rPr>
                <w:rFonts w:ascii="宋体" w:hAnsi="宋体" w:eastAsia="宋体"/>
                <w:sz w:val="22"/>
              </w:rPr>
              <w:t>多源数据融合</w:t>
            </w:r>
          </w:p>
        </w:tc>
        <w:tc>
          <w:tcPr>
            <w:tcW w:type="dxa" w:w="1729"/>
          </w:tcPr>
          <w:p>
            <w:r>
              <w:rPr>
                <w:rFonts w:ascii="宋体" w:hAnsi="宋体" w:eastAsia="宋体"/>
                <w:sz w:val="22"/>
              </w:rPr>
              <w:t>高</w:t>
            </w:r>
          </w:p>
        </w:tc>
        <w:tc>
          <w:tcPr>
            <w:tcW w:type="dxa" w:w="1729"/>
          </w:tcPr>
          <w:p>
            <w:r>
              <w:rPr>
                <w:rFonts w:ascii="宋体" w:hAnsi="宋体" w:eastAsia="宋体"/>
                <w:sz w:val="22"/>
              </w:rPr>
              <w:t>建立数据标准化流程，开发分析工具</w:t>
            </w:r>
          </w:p>
        </w:tc>
        <w:tc>
          <w:tcPr>
            <w:tcW w:type="dxa" w:w="1729"/>
          </w:tcPr>
          <w:p>
            <w:r>
              <w:rPr>
                <w:rFonts w:ascii="宋体" w:hAnsi="宋体" w:eastAsia="宋体"/>
                <w:sz w:val="22"/>
              </w:rPr>
              <w:t>数据分析组</w:t>
            </w:r>
          </w:p>
        </w:tc>
      </w:tr>
      <w:tr>
        <w:tc>
          <w:tcPr>
            <w:tcW w:type="dxa" w:w="1729"/>
          </w:tcPr>
          <w:p>
            <w:r>
              <w:rPr>
                <w:rFonts w:ascii="宋体" w:hAnsi="宋体" w:eastAsia="宋体"/>
                <w:sz w:val="22"/>
              </w:rPr>
              <w:t>2</w:t>
            </w:r>
          </w:p>
        </w:tc>
        <w:tc>
          <w:tcPr>
            <w:tcW w:type="dxa" w:w="1729"/>
          </w:tcPr>
          <w:p>
            <w:r>
              <w:rPr>
                <w:rFonts w:ascii="宋体" w:hAnsi="宋体" w:eastAsia="宋体"/>
                <w:sz w:val="22"/>
              </w:rPr>
              <w:t>问题成因复杂</w:t>
            </w:r>
          </w:p>
        </w:tc>
        <w:tc>
          <w:tcPr>
            <w:tcW w:type="dxa" w:w="1729"/>
          </w:tcPr>
          <w:p>
            <w:r>
              <w:rPr>
                <w:rFonts w:ascii="宋体" w:hAnsi="宋体" w:eastAsia="宋体"/>
                <w:sz w:val="22"/>
              </w:rPr>
              <w:t>高</w:t>
            </w:r>
          </w:p>
        </w:tc>
        <w:tc>
          <w:tcPr>
            <w:tcW w:type="dxa" w:w="1729"/>
          </w:tcPr>
          <w:p>
            <w:r>
              <w:rPr>
                <w:rFonts w:ascii="宋体" w:hAnsi="宋体" w:eastAsia="宋体"/>
                <w:sz w:val="22"/>
              </w:rPr>
              <w:t>系统分析方法，分类诊断</w:t>
            </w:r>
          </w:p>
        </w:tc>
        <w:tc>
          <w:tcPr>
            <w:tcW w:type="dxa" w:w="1729"/>
          </w:tcPr>
          <w:p>
            <w:r>
              <w:rPr>
                <w:rFonts w:ascii="宋体" w:hAnsi="宋体" w:eastAsia="宋体"/>
                <w:sz w:val="22"/>
              </w:rPr>
              <w:t>技术分析组</w:t>
            </w:r>
          </w:p>
        </w:tc>
      </w:tr>
      <w:tr>
        <w:tc>
          <w:tcPr>
            <w:tcW w:type="dxa" w:w="1729"/>
          </w:tcPr>
          <w:p>
            <w:r>
              <w:rPr>
                <w:rFonts w:ascii="宋体" w:hAnsi="宋体" w:eastAsia="宋体"/>
                <w:sz w:val="22"/>
              </w:rPr>
              <w:t>3</w:t>
            </w:r>
          </w:p>
        </w:tc>
        <w:tc>
          <w:tcPr>
            <w:tcW w:type="dxa" w:w="1729"/>
          </w:tcPr>
          <w:p>
            <w:r>
              <w:rPr>
                <w:rFonts w:ascii="宋体" w:hAnsi="宋体" w:eastAsia="宋体"/>
                <w:sz w:val="22"/>
              </w:rPr>
              <w:t>仿真建模精度</w:t>
            </w:r>
          </w:p>
        </w:tc>
        <w:tc>
          <w:tcPr>
            <w:tcW w:type="dxa" w:w="1729"/>
          </w:tcPr>
          <w:p>
            <w:r>
              <w:rPr>
                <w:rFonts w:ascii="宋体" w:hAnsi="宋体" w:eastAsia="宋体"/>
                <w:sz w:val="22"/>
              </w:rPr>
              <w:t>高</w:t>
            </w:r>
          </w:p>
        </w:tc>
        <w:tc>
          <w:tcPr>
            <w:tcW w:type="dxa" w:w="1729"/>
          </w:tcPr>
          <w:p>
            <w:r>
              <w:rPr>
                <w:rFonts w:ascii="宋体" w:hAnsi="宋体" w:eastAsia="宋体"/>
                <w:sz w:val="22"/>
              </w:rPr>
              <w:t>实测校核，迭代优化</w:t>
            </w:r>
          </w:p>
        </w:tc>
        <w:tc>
          <w:tcPr>
            <w:tcW w:type="dxa" w:w="1729"/>
          </w:tcPr>
          <w:p>
            <w:r>
              <w:rPr>
                <w:rFonts w:ascii="宋体" w:hAnsi="宋体" w:eastAsia="宋体"/>
                <w:sz w:val="22"/>
              </w:rPr>
              <w:t>仿真分析组</w:t>
            </w:r>
          </w:p>
        </w:tc>
      </w:tr>
      <w:tr>
        <w:tc>
          <w:tcPr>
            <w:tcW w:type="dxa" w:w="1729"/>
          </w:tcPr>
          <w:p>
            <w:r>
              <w:rPr>
                <w:rFonts w:ascii="宋体" w:hAnsi="宋体" w:eastAsia="宋体"/>
                <w:sz w:val="22"/>
              </w:rPr>
              <w:t>4</w:t>
            </w:r>
          </w:p>
        </w:tc>
        <w:tc>
          <w:tcPr>
            <w:tcW w:type="dxa" w:w="1729"/>
          </w:tcPr>
          <w:p>
            <w:r>
              <w:rPr>
                <w:rFonts w:ascii="宋体" w:hAnsi="宋体" w:eastAsia="宋体"/>
                <w:sz w:val="22"/>
              </w:rPr>
              <w:t>工作量大覆盖广</w:t>
            </w:r>
          </w:p>
        </w:tc>
        <w:tc>
          <w:tcPr>
            <w:tcW w:type="dxa" w:w="1729"/>
          </w:tcPr>
          <w:p>
            <w:r>
              <w:rPr>
                <w:rFonts w:ascii="宋体" w:hAnsi="宋体" w:eastAsia="宋体"/>
                <w:sz w:val="22"/>
              </w:rPr>
              <w:t>中</w:t>
            </w:r>
          </w:p>
        </w:tc>
        <w:tc>
          <w:tcPr>
            <w:tcW w:type="dxa" w:w="1729"/>
          </w:tcPr>
          <w:p>
            <w:r>
              <w:rPr>
                <w:rFonts w:ascii="宋体" w:hAnsi="宋体" w:eastAsia="宋体"/>
                <w:sz w:val="22"/>
              </w:rPr>
              <w:t>分区并行推进，信息化手段</w:t>
            </w:r>
          </w:p>
        </w:tc>
        <w:tc>
          <w:tcPr>
            <w:tcW w:type="dxa" w:w="1729"/>
          </w:tcPr>
          <w:p>
            <w:r>
              <w:rPr>
                <w:rFonts w:ascii="宋体" w:hAnsi="宋体" w:eastAsia="宋体"/>
                <w:sz w:val="22"/>
              </w:rPr>
              <w:t>项目管理组</w:t>
            </w:r>
          </w:p>
        </w:tc>
      </w:tr>
      <w:tr>
        <w:tc>
          <w:tcPr>
            <w:tcW w:type="dxa" w:w="1729"/>
          </w:tcPr>
          <w:p>
            <w:r>
              <w:rPr>
                <w:rFonts w:ascii="宋体" w:hAnsi="宋体" w:eastAsia="宋体"/>
                <w:sz w:val="22"/>
              </w:rPr>
              <w:t>5</w:t>
            </w:r>
          </w:p>
        </w:tc>
        <w:tc>
          <w:tcPr>
            <w:tcW w:type="dxa" w:w="1729"/>
          </w:tcPr>
          <w:p>
            <w:r>
              <w:rPr>
                <w:rFonts w:ascii="宋体" w:hAnsi="宋体" w:eastAsia="宋体"/>
                <w:sz w:val="22"/>
              </w:rPr>
              <w:t>多部门协调</w:t>
            </w:r>
          </w:p>
        </w:tc>
        <w:tc>
          <w:tcPr>
            <w:tcW w:type="dxa" w:w="1729"/>
          </w:tcPr>
          <w:p>
            <w:r>
              <w:rPr>
                <w:rFonts w:ascii="宋体" w:hAnsi="宋体" w:eastAsia="宋体"/>
                <w:sz w:val="22"/>
              </w:rPr>
              <w:t>中</w:t>
            </w:r>
          </w:p>
        </w:tc>
        <w:tc>
          <w:tcPr>
            <w:tcW w:type="dxa" w:w="1729"/>
          </w:tcPr>
          <w:p>
            <w:r>
              <w:rPr>
                <w:rFonts w:ascii="宋体" w:hAnsi="宋体" w:eastAsia="宋体"/>
                <w:sz w:val="22"/>
              </w:rPr>
              <w:t>建立联络机制，定期协调</w:t>
            </w:r>
          </w:p>
        </w:tc>
        <w:tc>
          <w:tcPr>
            <w:tcW w:type="dxa" w:w="1729"/>
          </w:tcPr>
          <w:p>
            <w:r>
              <w:rPr>
                <w:rFonts w:ascii="宋体" w:hAnsi="宋体" w:eastAsia="宋体"/>
                <w:sz w:val="22"/>
              </w:rPr>
              <w:t>项目管理组</w:t>
            </w:r>
          </w:p>
        </w:tc>
      </w:tr>
      <w:tr>
        <w:tc>
          <w:tcPr>
            <w:tcW w:type="dxa" w:w="1729"/>
          </w:tcPr>
          <w:p>
            <w:r>
              <w:rPr>
                <w:rFonts w:ascii="宋体" w:hAnsi="宋体" w:eastAsia="宋体"/>
                <w:sz w:val="22"/>
              </w:rPr>
              <w:t>6</w:t>
            </w:r>
          </w:p>
        </w:tc>
        <w:tc>
          <w:tcPr>
            <w:tcW w:type="dxa" w:w="1729"/>
          </w:tcPr>
          <w:p>
            <w:r>
              <w:rPr>
                <w:rFonts w:ascii="宋体" w:hAnsi="宋体" w:eastAsia="宋体"/>
                <w:sz w:val="22"/>
              </w:rPr>
              <w:t>现场条件艰苦</w:t>
            </w:r>
          </w:p>
        </w:tc>
        <w:tc>
          <w:tcPr>
            <w:tcW w:type="dxa" w:w="1729"/>
          </w:tcPr>
          <w:p>
            <w:r>
              <w:rPr>
                <w:rFonts w:ascii="宋体" w:hAnsi="宋体" w:eastAsia="宋体"/>
                <w:sz w:val="22"/>
              </w:rPr>
              <w:t>中</w:t>
            </w:r>
          </w:p>
        </w:tc>
        <w:tc>
          <w:tcPr>
            <w:tcW w:type="dxa" w:w="1729"/>
          </w:tcPr>
          <w:p>
            <w:r>
              <w:rPr>
                <w:rFonts w:ascii="宋体" w:hAnsi="宋体" w:eastAsia="宋体"/>
                <w:sz w:val="22"/>
              </w:rPr>
              <w:t>合理安排计划，做好保障</w:t>
            </w:r>
          </w:p>
        </w:tc>
        <w:tc>
          <w:tcPr>
            <w:tcW w:type="dxa" w:w="1729"/>
          </w:tcPr>
          <w:p>
            <w:r>
              <w:rPr>
                <w:rFonts w:ascii="宋体" w:hAnsi="宋体" w:eastAsia="宋体"/>
                <w:sz w:val="22"/>
              </w:rPr>
              <w:t>现场勘查组</w:t>
            </w:r>
          </w:p>
        </w:tc>
      </w:tr>
      <w:tr>
        <w:tc>
          <w:tcPr>
            <w:tcW w:type="dxa" w:w="1729"/>
          </w:tcPr>
          <w:p>
            <w:r>
              <w:rPr>
                <w:rFonts w:ascii="宋体" w:hAnsi="宋体" w:eastAsia="宋体"/>
                <w:sz w:val="22"/>
              </w:rPr>
              <w:t>7</w:t>
            </w:r>
          </w:p>
        </w:tc>
        <w:tc>
          <w:tcPr>
            <w:tcW w:type="dxa" w:w="1729"/>
          </w:tcPr>
          <w:p>
            <w:r>
              <w:rPr>
                <w:rFonts w:ascii="宋体" w:hAnsi="宋体" w:eastAsia="宋体"/>
                <w:sz w:val="22"/>
              </w:rPr>
              <w:t>短板动态变化</w:t>
            </w:r>
          </w:p>
        </w:tc>
        <w:tc>
          <w:tcPr>
            <w:tcW w:type="dxa" w:w="1729"/>
          </w:tcPr>
          <w:p>
            <w:r>
              <w:rPr>
                <w:rFonts w:ascii="宋体" w:hAnsi="宋体" w:eastAsia="宋体"/>
                <w:sz w:val="22"/>
              </w:rPr>
              <w:t>高</w:t>
            </w:r>
          </w:p>
        </w:tc>
        <w:tc>
          <w:tcPr>
            <w:tcW w:type="dxa" w:w="1729"/>
          </w:tcPr>
          <w:p>
            <w:r>
              <w:rPr>
                <w:rFonts w:ascii="宋体" w:hAnsi="宋体" w:eastAsia="宋体"/>
                <w:sz w:val="22"/>
              </w:rPr>
              <w:t>建立跟踪机制，及时响应</w:t>
            </w:r>
          </w:p>
        </w:tc>
        <w:tc>
          <w:tcPr>
            <w:tcW w:type="dxa" w:w="1729"/>
          </w:tcPr>
          <w:p>
            <w:r>
              <w:rPr>
                <w:rFonts w:ascii="宋体" w:hAnsi="宋体" w:eastAsia="宋体"/>
                <w:sz w:val="22"/>
              </w:rPr>
              <w:t>全体成员</w:t>
            </w:r>
          </w:p>
        </w:tc>
      </w:tr>
    </w:tbl>
    <w:p/>
    <w:p>
      <w:r>
        <w:br w:type="page"/>
      </w:r>
    </w:p>
    <w:p>
      <w:pPr>
        <w:pStyle w:val="Heading1"/>
      </w:pPr>
      <w:r>
        <w:rPr>
          <w:rFonts w:ascii="黑体" w:hAnsi="黑体" w:eastAsia="黑体"/>
        </w:rPr>
        <w:t>五、项目实施路径</w:t>
      </w:r>
    </w:p>
    <w:p>
      <w:pPr>
        <w:pStyle w:val="Heading2"/>
      </w:pPr>
      <w:r>
        <w:rPr>
          <w:rFonts w:ascii="黑体" w:hAnsi="黑体" w:eastAsia="黑体"/>
        </w:rPr>
        <w:t>5.1 总体实施路径</w:t>
      </w:r>
    </w:p>
    <w:p>
      <w:pPr>
        <w:spacing w:line="360" w:lineRule="auto"/>
        <w:ind w:firstLine="480"/>
      </w:pPr>
      <w:r>
        <w:rPr>
          <w:rFonts w:ascii="宋体" w:hAnsi="宋体" w:eastAsia="宋体"/>
          <w:b w:val="0"/>
          <w:sz w:val="24"/>
        </w:rPr>
        <w:t>本项目采用"摸底诊断—分析评估—方案制定—实施验证"四阶段推进的总体实施路径，按照从宏观到微观、从整体到局部、从发现问题到解决问题的逻辑顺序，系统推进各项工作任务。</w:t>
      </w:r>
    </w:p>
    <w:p>
      <w:pPr>
        <w:spacing w:line="360" w:lineRule="auto"/>
        <w:ind w:firstLine="480"/>
      </w:pPr>
      <w:r>
        <w:rPr>
          <w:rFonts w:ascii="宋体" w:hAnsi="宋体" w:eastAsia="宋体"/>
          <w:b/>
          <w:sz w:val="24"/>
        </w:rPr>
        <w:t>第一阶段：全面摸底诊断阶段</w:t>
      </w:r>
    </w:p>
    <w:p>
      <w:pPr>
        <w:spacing w:line="360" w:lineRule="auto"/>
        <w:ind w:firstLine="480"/>
      </w:pPr>
      <w:r>
        <w:rPr>
          <w:rFonts w:ascii="宋体" w:hAnsi="宋体" w:eastAsia="宋体"/>
          <w:b w:val="0"/>
          <w:sz w:val="24"/>
        </w:rPr>
        <w:t>系统梳理博州地区电网网架、负荷特性、无功调压装备、电压合格率等整体情况，形成地区供电电压总体情况报告。同步开展多源数据比对分析，进行全量数据质量核查，确保分析基础数据的准确性。主要工作包括：</w:t>
      </w:r>
    </w:p>
    <w:p>
      <w:pPr>
        <w:spacing w:line="360" w:lineRule="auto"/>
        <w:ind w:firstLine="480"/>
      </w:pPr>
      <w:r>
        <w:rPr>
          <w:rFonts w:ascii="宋体" w:hAnsi="宋体" w:eastAsia="宋体"/>
          <w:b w:val="0"/>
          <w:sz w:val="24"/>
        </w:rPr>
        <w:t>- 收集整理博州地区电网基础资料，包括网架图、设备台账、运行参数等</w:t>
      </w:r>
    </w:p>
    <w:p>
      <w:pPr>
        <w:spacing w:line="360" w:lineRule="auto"/>
        <w:ind w:firstLine="480"/>
      </w:pPr>
      <w:r>
        <w:rPr>
          <w:rFonts w:ascii="宋体" w:hAnsi="宋体" w:eastAsia="宋体"/>
          <w:b w:val="0"/>
          <w:sz w:val="24"/>
        </w:rPr>
        <w:t>- 获取并整理各信息系统的电压监测数据</w:t>
      </w:r>
    </w:p>
    <w:p>
      <w:pPr>
        <w:spacing w:line="360" w:lineRule="auto"/>
        <w:ind w:firstLine="480"/>
      </w:pPr>
      <w:r>
        <w:rPr>
          <w:rFonts w:ascii="宋体" w:hAnsi="宋体" w:eastAsia="宋体"/>
          <w:b w:val="0"/>
          <w:sz w:val="24"/>
        </w:rPr>
        <w:t>- 开展全口径与监管类电压数据比对分析</w:t>
      </w:r>
    </w:p>
    <w:p>
      <w:pPr>
        <w:spacing w:line="360" w:lineRule="auto"/>
        <w:ind w:firstLine="480"/>
      </w:pPr>
      <w:r>
        <w:rPr>
          <w:rFonts w:ascii="宋体" w:hAnsi="宋体" w:eastAsia="宋体"/>
          <w:b w:val="0"/>
          <w:sz w:val="24"/>
        </w:rPr>
        <w:t>- 编制数据质量问题清单并配合整改</w:t>
      </w:r>
    </w:p>
    <w:p>
      <w:pPr>
        <w:spacing w:line="360" w:lineRule="auto"/>
        <w:ind w:firstLine="480"/>
      </w:pPr>
      <w:r>
        <w:rPr>
          <w:rFonts w:ascii="宋体" w:hAnsi="宋体" w:eastAsia="宋体"/>
          <w:b w:val="0"/>
          <w:sz w:val="24"/>
        </w:rPr>
        <w:t>- 形成博州地区供电电压总体情况报告</w:t>
      </w:r>
    </w:p>
    <w:p>
      <w:pPr>
        <w:spacing w:line="360" w:lineRule="auto"/>
        <w:ind w:firstLine="480"/>
      </w:pPr>
      <w:r>
        <w:rPr>
          <w:rFonts w:ascii="宋体" w:hAnsi="宋体" w:eastAsia="宋体"/>
          <w:b/>
          <w:sz w:val="24"/>
        </w:rPr>
        <w:t>第二阶段：深度分析评估阶段</w:t>
      </w:r>
    </w:p>
    <w:p>
      <w:pPr>
        <w:spacing w:line="360" w:lineRule="auto"/>
        <w:ind w:firstLine="480"/>
      </w:pPr>
      <w:r>
        <w:rPr>
          <w:rFonts w:ascii="宋体" w:hAnsi="宋体" w:eastAsia="宋体"/>
          <w:b w:val="0"/>
          <w:sz w:val="24"/>
        </w:rPr>
        <w:t>逐站、逐线、逐台区开展深度分析，从系统网架、运维管理、装备设备等方面明确具体问题，结合设备参数、运行参数详细说明问题。主要工作包括：</w:t>
      </w:r>
    </w:p>
    <w:p>
      <w:pPr>
        <w:spacing w:line="360" w:lineRule="auto"/>
        <w:ind w:firstLine="480"/>
      </w:pPr>
      <w:r>
        <w:rPr>
          <w:rFonts w:ascii="宋体" w:hAnsi="宋体" w:eastAsia="宋体"/>
          <w:b w:val="0"/>
          <w:sz w:val="24"/>
        </w:rPr>
        <w:t>- 开展变电站层面电压分析，评估各站电压调节能力</w:t>
      </w:r>
    </w:p>
    <w:p>
      <w:pPr>
        <w:spacing w:line="360" w:lineRule="auto"/>
        <w:ind w:firstLine="480"/>
      </w:pPr>
      <w:r>
        <w:rPr>
          <w:rFonts w:ascii="宋体" w:hAnsi="宋体" w:eastAsia="宋体"/>
          <w:b w:val="0"/>
          <w:sz w:val="24"/>
        </w:rPr>
        <w:t>- 开展10kV线路层面电压分析，分析沿线电压分布</w:t>
      </w:r>
    </w:p>
    <w:p>
      <w:pPr>
        <w:spacing w:line="360" w:lineRule="auto"/>
        <w:ind w:firstLine="480"/>
      </w:pPr>
      <w:r>
        <w:rPr>
          <w:rFonts w:ascii="宋体" w:hAnsi="宋体" w:eastAsia="宋体"/>
          <w:b w:val="0"/>
          <w:sz w:val="24"/>
        </w:rPr>
        <w:t>- 开展配电台区层面电压分析，评估台区运行状况</w:t>
      </w:r>
    </w:p>
    <w:p>
      <w:pPr>
        <w:spacing w:line="360" w:lineRule="auto"/>
        <w:ind w:firstLine="480"/>
      </w:pPr>
      <w:r>
        <w:rPr>
          <w:rFonts w:ascii="宋体" w:hAnsi="宋体" w:eastAsia="宋体"/>
          <w:b w:val="0"/>
          <w:sz w:val="24"/>
        </w:rPr>
        <w:t>- 开展用户侧电压分析，统计用户电压合格率</w:t>
      </w:r>
    </w:p>
    <w:p>
      <w:pPr>
        <w:spacing w:line="360" w:lineRule="auto"/>
        <w:ind w:firstLine="480"/>
      </w:pPr>
      <w:r>
        <w:rPr>
          <w:rFonts w:ascii="宋体" w:hAnsi="宋体" w:eastAsia="宋体"/>
          <w:b w:val="0"/>
          <w:sz w:val="24"/>
        </w:rPr>
        <w:t>- 建立完整的电压问题台账</w:t>
      </w:r>
    </w:p>
    <w:p>
      <w:pPr>
        <w:spacing w:line="360" w:lineRule="auto"/>
        <w:ind w:firstLine="480"/>
      </w:pPr>
      <w:r>
        <w:rPr>
          <w:rFonts w:ascii="宋体" w:hAnsi="宋体" w:eastAsia="宋体"/>
          <w:b w:val="0"/>
          <w:sz w:val="24"/>
        </w:rPr>
        <w:t>- 测算各问题对电压指数的影响贡献度</w:t>
      </w:r>
    </w:p>
    <w:p>
      <w:pPr>
        <w:spacing w:line="360" w:lineRule="auto"/>
        <w:ind w:firstLine="480"/>
      </w:pPr>
      <w:r>
        <w:rPr>
          <w:rFonts w:ascii="宋体" w:hAnsi="宋体" w:eastAsia="宋体"/>
          <w:b/>
          <w:sz w:val="24"/>
        </w:rPr>
        <w:t>第三阶段：方案制定阶段</w:t>
      </w:r>
    </w:p>
    <w:p>
      <w:pPr>
        <w:spacing w:line="360" w:lineRule="auto"/>
        <w:ind w:firstLine="480"/>
      </w:pPr>
      <w:r>
        <w:rPr>
          <w:rFonts w:ascii="宋体" w:hAnsi="宋体" w:eastAsia="宋体"/>
          <w:b w:val="0"/>
          <w:sz w:val="24"/>
        </w:rPr>
        <w:t>针对排查出的具体问题，逐一制定管理措施、运维措施、项目措施，形成近期、中期、远期治理计划与项目储备清单。主要工作包括：</w:t>
      </w:r>
    </w:p>
    <w:p>
      <w:pPr>
        <w:spacing w:line="360" w:lineRule="auto"/>
        <w:ind w:firstLine="480"/>
      </w:pPr>
      <w:r>
        <w:rPr>
          <w:rFonts w:ascii="宋体" w:hAnsi="宋体" w:eastAsia="宋体"/>
          <w:b w:val="0"/>
          <w:sz w:val="24"/>
        </w:rPr>
        <w:t>- 制定管理类治理措施（调整运行方式、优化无功配置等）</w:t>
      </w:r>
    </w:p>
    <w:p>
      <w:pPr>
        <w:spacing w:line="360" w:lineRule="auto"/>
        <w:ind w:firstLine="480"/>
      </w:pPr>
      <w:r>
        <w:rPr>
          <w:rFonts w:ascii="宋体" w:hAnsi="宋体" w:eastAsia="宋体"/>
          <w:b w:val="0"/>
          <w:sz w:val="24"/>
        </w:rPr>
        <w:t>- 制定运维类治理措施（设备巡检、缺陷处理等）</w:t>
      </w:r>
    </w:p>
    <w:p>
      <w:pPr>
        <w:spacing w:line="360" w:lineRule="auto"/>
        <w:ind w:firstLine="480"/>
      </w:pPr>
      <w:r>
        <w:rPr>
          <w:rFonts w:ascii="宋体" w:hAnsi="宋体" w:eastAsia="宋体"/>
          <w:b w:val="0"/>
          <w:sz w:val="24"/>
        </w:rPr>
        <w:t>- 制定项目类治理措施（网架改造、设备新建等）</w:t>
      </w:r>
    </w:p>
    <w:p>
      <w:pPr>
        <w:spacing w:line="360" w:lineRule="auto"/>
        <w:ind w:firstLine="480"/>
      </w:pPr>
      <w:r>
        <w:rPr>
          <w:rFonts w:ascii="宋体" w:hAnsi="宋体" w:eastAsia="宋体"/>
          <w:b w:val="0"/>
          <w:sz w:val="24"/>
        </w:rPr>
        <w:t>- 针对无法短期升级网架的线路，制定调压装置配置方案</w:t>
      </w:r>
    </w:p>
    <w:p>
      <w:pPr>
        <w:spacing w:line="360" w:lineRule="auto"/>
        <w:ind w:firstLine="480"/>
      </w:pPr>
      <w:r>
        <w:rPr>
          <w:rFonts w:ascii="宋体" w:hAnsi="宋体" w:eastAsia="宋体"/>
          <w:b w:val="0"/>
          <w:sz w:val="24"/>
        </w:rPr>
        <w:t>- 形成分阶段治理计划和项目储备清单</w:t>
      </w:r>
    </w:p>
    <w:p>
      <w:pPr>
        <w:spacing w:line="360" w:lineRule="auto"/>
        <w:ind w:firstLine="480"/>
      </w:pPr>
      <w:r>
        <w:rPr>
          <w:rFonts w:ascii="宋体" w:hAnsi="宋体" w:eastAsia="宋体"/>
          <w:b w:val="0"/>
          <w:sz w:val="24"/>
        </w:rPr>
        <w:t>- 开展仿真模拟验证方案可行性</w:t>
      </w:r>
    </w:p>
    <w:p>
      <w:pPr>
        <w:spacing w:line="360" w:lineRule="auto"/>
        <w:ind w:firstLine="480"/>
      </w:pPr>
      <w:r>
        <w:rPr>
          <w:rFonts w:ascii="宋体" w:hAnsi="宋体" w:eastAsia="宋体"/>
          <w:b/>
          <w:sz w:val="24"/>
        </w:rPr>
        <w:t>第四阶段：实施验证阶段</w:t>
      </w:r>
    </w:p>
    <w:p>
      <w:pPr>
        <w:spacing w:line="360" w:lineRule="auto"/>
        <w:ind w:firstLine="480"/>
      </w:pPr>
      <w:r>
        <w:rPr>
          <w:rFonts w:ascii="宋体" w:hAnsi="宋体" w:eastAsia="宋体"/>
          <w:b w:val="0"/>
          <w:sz w:val="24"/>
        </w:rPr>
        <w:t>针对严重越限典型台区开展专项治理，通过现场勘查、多维指标评价、仿真模拟制定精准治理方案，并跟踪治理效果。主要工作包括：</w:t>
      </w:r>
    </w:p>
    <w:p>
      <w:pPr>
        <w:spacing w:line="360" w:lineRule="auto"/>
        <w:ind w:firstLine="480"/>
      </w:pPr>
      <w:r>
        <w:rPr>
          <w:rFonts w:ascii="宋体" w:hAnsi="宋体" w:eastAsia="宋体"/>
          <w:b w:val="0"/>
          <w:sz w:val="24"/>
        </w:rPr>
        <w:t>- 典型台区现场勘查和问题诊断</w:t>
      </w:r>
    </w:p>
    <w:p>
      <w:pPr>
        <w:spacing w:line="360" w:lineRule="auto"/>
        <w:ind w:firstLine="480"/>
      </w:pPr>
      <w:r>
        <w:rPr>
          <w:rFonts w:ascii="宋体" w:hAnsi="宋体" w:eastAsia="宋体"/>
          <w:b w:val="0"/>
          <w:sz w:val="24"/>
        </w:rPr>
        <w:t>- 制定三相不平衡、重过载、电压波动等多维指标评价体系</w:t>
      </w:r>
    </w:p>
    <w:p>
      <w:pPr>
        <w:spacing w:line="360" w:lineRule="auto"/>
        <w:ind w:firstLine="480"/>
      </w:pPr>
      <w:r>
        <w:rPr>
          <w:rFonts w:ascii="宋体" w:hAnsi="宋体" w:eastAsia="宋体"/>
          <w:b w:val="0"/>
          <w:sz w:val="24"/>
        </w:rPr>
        <w:t>- 基于仿真模拟制定精准治理方案</w:t>
      </w:r>
    </w:p>
    <w:p>
      <w:pPr>
        <w:spacing w:line="360" w:lineRule="auto"/>
        <w:ind w:firstLine="480"/>
      </w:pPr>
      <w:r>
        <w:rPr>
          <w:rFonts w:ascii="宋体" w:hAnsi="宋体" w:eastAsia="宋体"/>
          <w:b w:val="0"/>
          <w:sz w:val="24"/>
        </w:rPr>
        <w:t>- 配合博尔塔拉公司开展监管类电压"四不两直"现场检查</w:t>
      </w:r>
    </w:p>
    <w:p>
      <w:pPr>
        <w:spacing w:line="360" w:lineRule="auto"/>
        <w:ind w:firstLine="480"/>
      </w:pPr>
      <w:r>
        <w:rPr>
          <w:rFonts w:ascii="宋体" w:hAnsi="宋体" w:eastAsia="宋体"/>
          <w:b w:val="0"/>
          <w:sz w:val="24"/>
        </w:rPr>
        <w:t>- 编制现场检查报告</w:t>
      </w:r>
    </w:p>
    <w:p>
      <w:pPr>
        <w:spacing w:line="360" w:lineRule="auto"/>
        <w:ind w:firstLine="480"/>
      </w:pPr>
      <w:r>
        <w:rPr>
          <w:rFonts w:ascii="宋体" w:hAnsi="宋体" w:eastAsia="宋体"/>
          <w:b w:val="0"/>
          <w:sz w:val="24"/>
        </w:rPr>
        <w:t>- 跟踪治理效果，验证方案有效性</w:t>
      </w:r>
    </w:p>
    <w:p>
      <w:pPr>
        <w:pStyle w:val="Heading2"/>
      </w:pPr>
      <w:r>
        <w:rPr>
          <w:rFonts w:ascii="黑体" w:hAnsi="黑体" w:eastAsia="黑体"/>
        </w:rPr>
        <w:t>5.2 技术路线</w:t>
      </w:r>
    </w:p>
    <w:p>
      <w:pPr>
        <w:spacing w:line="360" w:lineRule="auto"/>
        <w:ind w:firstLine="480"/>
      </w:pPr>
      <w:r>
        <w:rPr>
          <w:rFonts w:ascii="宋体" w:hAnsi="宋体" w:eastAsia="宋体"/>
          <w:b w:val="0"/>
          <w:sz w:val="24"/>
        </w:rPr>
        <w:t>本项目的技术路线遵循"数据驱动、精准诊断、科学治理、闭环验证"的核心理念，具体技术路线如下：</w:t>
      </w:r>
    </w:p>
    <w:p>
      <w:pPr>
        <w:spacing w:line="360" w:lineRule="auto"/>
        <w:ind w:firstLine="480"/>
      </w:pPr>
      <w:r>
        <w:rPr>
          <w:rFonts w:ascii="宋体" w:hAnsi="宋体" w:eastAsia="宋体"/>
          <w:b w:val="0"/>
          <w:sz w:val="24"/>
        </w:rPr>
        <w:t>（1）数据采集与处理环节</w:t>
      </w:r>
    </w:p>
    <w:p>
      <w:pPr>
        <w:spacing w:line="360" w:lineRule="auto"/>
        <w:ind w:firstLine="480"/>
      </w:pPr>
      <w:r>
        <w:rPr>
          <w:rFonts w:ascii="宋体" w:hAnsi="宋体" w:eastAsia="宋体"/>
          <w:b w:val="0"/>
          <w:sz w:val="24"/>
        </w:rPr>
        <w:t>从SCADA系统获取变电站母线电压数据；从用电信息采集系统获取台区和用户电压数据；从PMS系统获取设备台账和参数信息；从配电自动化系统获取开关状态和故障信息。对多源数据进行标准化处理、清洗校核和融合分析。</w:t>
      </w:r>
    </w:p>
    <w:p>
      <w:pPr>
        <w:spacing w:line="360" w:lineRule="auto"/>
        <w:ind w:firstLine="480"/>
      </w:pPr>
      <w:r>
        <w:rPr>
          <w:rFonts w:ascii="宋体" w:hAnsi="宋体" w:eastAsia="宋体"/>
          <w:b w:val="0"/>
          <w:sz w:val="24"/>
        </w:rPr>
        <w:t>（2）分析诊断环节</w:t>
      </w:r>
    </w:p>
    <w:p>
      <w:pPr>
        <w:spacing w:line="360" w:lineRule="auto"/>
        <w:ind w:firstLine="480"/>
      </w:pPr>
      <w:r>
        <w:rPr>
          <w:rFonts w:ascii="宋体" w:hAnsi="宋体" w:eastAsia="宋体"/>
          <w:b w:val="0"/>
          <w:sz w:val="24"/>
        </w:rPr>
        <w:t>采用电压灵敏度分析、潮流计算、统计分析等方法，对各层级电压质量进行系统评估。通过电压越限分析、趋势分析、相关性分析等手段，精准定位电压问题的时空分布特征和关键影响因素。</w:t>
      </w:r>
    </w:p>
    <w:p>
      <w:pPr>
        <w:spacing w:line="360" w:lineRule="auto"/>
        <w:ind w:firstLine="480"/>
      </w:pPr>
      <w:r>
        <w:rPr>
          <w:rFonts w:ascii="宋体" w:hAnsi="宋体" w:eastAsia="宋体"/>
          <w:b w:val="0"/>
          <w:sz w:val="24"/>
        </w:rPr>
        <w:t>（3）方案优化环节</w:t>
      </w:r>
    </w:p>
    <w:p>
      <w:pPr>
        <w:spacing w:line="360" w:lineRule="auto"/>
        <w:ind w:firstLine="480"/>
      </w:pPr>
      <w:r>
        <w:rPr>
          <w:rFonts w:ascii="宋体" w:hAnsi="宋体" w:eastAsia="宋体"/>
          <w:b w:val="0"/>
          <w:sz w:val="24"/>
        </w:rPr>
        <w:t>以电压合格率最高和网络损耗最小为优化目标，以电压约束、容量约束、投资约束为边界条件，采用智能优化算法求解调压装置和无功补偿装置的最优配置方案。对各方案进行全面的技术经济比较，推荐最优方案。</w:t>
      </w:r>
    </w:p>
    <w:p>
      <w:pPr>
        <w:spacing w:line="360" w:lineRule="auto"/>
        <w:ind w:firstLine="480"/>
      </w:pPr>
      <w:r>
        <w:rPr>
          <w:rFonts w:ascii="宋体" w:hAnsi="宋体" w:eastAsia="宋体"/>
          <w:b w:val="0"/>
          <w:sz w:val="24"/>
        </w:rPr>
        <w:t>（4）仿真验证环节</w:t>
      </w:r>
    </w:p>
    <w:p>
      <w:pPr>
        <w:spacing w:line="360" w:lineRule="auto"/>
        <w:ind w:firstLine="480"/>
      </w:pPr>
      <w:r>
        <w:rPr>
          <w:rFonts w:ascii="宋体" w:hAnsi="宋体" w:eastAsia="宋体"/>
          <w:b w:val="0"/>
          <w:sz w:val="24"/>
        </w:rPr>
        <w:t>建立博州地区配电网仿真模型，导入实际运行数据进行模型校核。在此基础上，对各治理方案进行仿真模拟，评估方案实施后的电压改善效果，验证方案的可行性和有效性。</w:t>
      </w:r>
    </w:p>
    <w:p>
      <w:pPr>
        <w:pStyle w:val="Heading2"/>
      </w:pPr>
      <w:r>
        <w:rPr>
          <w:rFonts w:ascii="黑体" w:hAnsi="黑体" w:eastAsia="黑体"/>
        </w:rPr>
        <w:t>5.3 工作流程</w:t>
      </w:r>
    </w:p>
    <w:p>
      <w:pPr>
        <w:spacing w:line="360" w:lineRule="auto"/>
        <w:ind w:firstLine="480"/>
      </w:pPr>
      <w:r>
        <w:rPr>
          <w:rFonts w:ascii="宋体" w:hAnsi="宋体" w:eastAsia="宋体"/>
          <w:b w:val="0"/>
          <w:sz w:val="24"/>
        </w:rPr>
        <w:t>项目实施的详细工作流程如下：</w:t>
      </w:r>
    </w:p>
    <w:p>
      <w:pPr>
        <w:spacing w:line="360" w:lineRule="auto"/>
        <w:ind w:firstLine="480"/>
      </w:pPr>
      <w:r>
        <w:rPr>
          <w:rFonts w:ascii="宋体" w:hAnsi="宋体" w:eastAsia="宋体"/>
          <w:b w:val="0"/>
          <w:sz w:val="24"/>
        </w:rPr>
        <w:t>步骤1：项目启动与资料收集</w:t>
      </w:r>
    </w:p>
    <w:p>
      <w:pPr>
        <w:spacing w:line="360" w:lineRule="auto"/>
        <w:ind w:firstLine="480"/>
      </w:pPr>
      <w:r>
        <w:rPr>
          <w:rFonts w:ascii="宋体" w:hAnsi="宋体" w:eastAsia="宋体"/>
          <w:b w:val="0"/>
          <w:sz w:val="24"/>
        </w:rPr>
        <w:t>召开项目启动会，明确工作目标、任务分工和进度安排。收集博州地区电网基础资料，建立项目资料库。</w:t>
      </w:r>
    </w:p>
    <w:p>
      <w:pPr>
        <w:spacing w:line="360" w:lineRule="auto"/>
        <w:ind w:firstLine="480"/>
      </w:pPr>
      <w:r>
        <w:rPr>
          <w:rFonts w:ascii="宋体" w:hAnsi="宋体" w:eastAsia="宋体"/>
          <w:b w:val="0"/>
          <w:sz w:val="24"/>
        </w:rPr>
        <w:t>步骤2：数据获取与质量核查</w:t>
      </w:r>
    </w:p>
    <w:p>
      <w:pPr>
        <w:spacing w:line="360" w:lineRule="auto"/>
        <w:ind w:firstLine="480"/>
      </w:pPr>
      <w:r>
        <w:rPr>
          <w:rFonts w:ascii="宋体" w:hAnsi="宋体" w:eastAsia="宋体"/>
          <w:b w:val="0"/>
          <w:sz w:val="24"/>
        </w:rPr>
        <w:t>从各信息系统获取电压监测数据，开展数据质量核查，编制问题清单，配合完成数据整改。</w:t>
      </w:r>
    </w:p>
    <w:p>
      <w:pPr>
        <w:spacing w:line="360" w:lineRule="auto"/>
        <w:ind w:firstLine="480"/>
      </w:pPr>
      <w:r>
        <w:rPr>
          <w:rFonts w:ascii="宋体" w:hAnsi="宋体" w:eastAsia="宋体"/>
          <w:b w:val="0"/>
          <w:sz w:val="24"/>
        </w:rPr>
        <w:t>步骤3：总体情况分析</w:t>
      </w:r>
    </w:p>
    <w:p>
      <w:pPr>
        <w:spacing w:line="360" w:lineRule="auto"/>
        <w:ind w:firstLine="480"/>
      </w:pPr>
      <w:r>
        <w:rPr>
          <w:rFonts w:ascii="宋体" w:hAnsi="宋体" w:eastAsia="宋体"/>
          <w:b w:val="0"/>
          <w:sz w:val="24"/>
        </w:rPr>
        <w:t>系统梳理博州地区电网网架结构、负荷特性、无功调压装备配置、电压合格率等情况，形成总体情况报告。</w:t>
      </w:r>
    </w:p>
    <w:p>
      <w:pPr>
        <w:spacing w:line="360" w:lineRule="auto"/>
        <w:ind w:firstLine="480"/>
      </w:pPr>
      <w:r>
        <w:rPr>
          <w:rFonts w:ascii="宋体" w:hAnsi="宋体" w:eastAsia="宋体"/>
          <w:b w:val="0"/>
          <w:sz w:val="24"/>
        </w:rPr>
        <w:t>步骤4：分层分类深度分析</w:t>
      </w:r>
    </w:p>
    <w:p>
      <w:pPr>
        <w:spacing w:line="360" w:lineRule="auto"/>
        <w:ind w:firstLine="480"/>
      </w:pPr>
      <w:r>
        <w:rPr>
          <w:rFonts w:ascii="宋体" w:hAnsi="宋体" w:eastAsia="宋体"/>
          <w:b w:val="0"/>
          <w:sz w:val="24"/>
        </w:rPr>
        <w:t>按照变电站-线路-台区-用户的层级结构，逐一开展深度分析，明确各层级存在的具体问题及其原因。</w:t>
      </w:r>
    </w:p>
    <w:p>
      <w:pPr>
        <w:spacing w:line="360" w:lineRule="auto"/>
        <w:ind w:firstLine="480"/>
      </w:pPr>
      <w:r>
        <w:rPr>
          <w:rFonts w:ascii="宋体" w:hAnsi="宋体" w:eastAsia="宋体"/>
          <w:b w:val="0"/>
          <w:sz w:val="24"/>
        </w:rPr>
        <w:t>步骤5：问题台账建立与贡献度测算</w:t>
      </w:r>
    </w:p>
    <w:p>
      <w:pPr>
        <w:spacing w:line="360" w:lineRule="auto"/>
        <w:ind w:firstLine="480"/>
      </w:pPr>
      <w:r>
        <w:rPr>
          <w:rFonts w:ascii="宋体" w:hAnsi="宋体" w:eastAsia="宋体"/>
          <w:b w:val="0"/>
          <w:sz w:val="24"/>
        </w:rPr>
        <w:t>建立完整的电压问题台账，测算各问题对电压指数的影响贡献度，确定治理优先级。</w:t>
      </w:r>
    </w:p>
    <w:p>
      <w:pPr>
        <w:spacing w:line="360" w:lineRule="auto"/>
        <w:ind w:firstLine="480"/>
      </w:pPr>
      <w:r>
        <w:rPr>
          <w:rFonts w:ascii="宋体" w:hAnsi="宋体" w:eastAsia="宋体"/>
          <w:b w:val="0"/>
          <w:sz w:val="24"/>
        </w:rPr>
        <w:t>步骤6：治理方案制定</w:t>
      </w:r>
    </w:p>
    <w:p>
      <w:pPr>
        <w:spacing w:line="360" w:lineRule="auto"/>
        <w:ind w:firstLine="480"/>
      </w:pPr>
      <w:r>
        <w:rPr>
          <w:rFonts w:ascii="宋体" w:hAnsi="宋体" w:eastAsia="宋体"/>
          <w:b w:val="0"/>
          <w:sz w:val="24"/>
        </w:rPr>
        <w:t>针对各类问题分别制定管理措施、运维措施和项目措施，编制调压装置配置方案。</w:t>
      </w:r>
    </w:p>
    <w:p>
      <w:pPr>
        <w:spacing w:line="360" w:lineRule="auto"/>
        <w:ind w:firstLine="480"/>
      </w:pPr>
      <w:r>
        <w:rPr>
          <w:rFonts w:ascii="宋体" w:hAnsi="宋体" w:eastAsia="宋体"/>
          <w:b w:val="0"/>
          <w:sz w:val="24"/>
        </w:rPr>
        <w:t>步骤7：仿真验证与方案优化</w:t>
      </w:r>
    </w:p>
    <w:p>
      <w:pPr>
        <w:spacing w:line="360" w:lineRule="auto"/>
        <w:ind w:firstLine="480"/>
      </w:pPr>
      <w:r>
        <w:rPr>
          <w:rFonts w:ascii="宋体" w:hAnsi="宋体" w:eastAsia="宋体"/>
          <w:b w:val="0"/>
          <w:sz w:val="24"/>
        </w:rPr>
        <w:t>建立仿真模型，对治理方案进行模拟验证，根据仿真结果优化完善方案。</w:t>
      </w:r>
    </w:p>
    <w:p>
      <w:pPr>
        <w:spacing w:line="360" w:lineRule="auto"/>
        <w:ind w:firstLine="480"/>
      </w:pPr>
      <w:r>
        <w:rPr>
          <w:rFonts w:ascii="宋体" w:hAnsi="宋体" w:eastAsia="宋体"/>
          <w:b w:val="0"/>
          <w:sz w:val="24"/>
        </w:rPr>
        <w:t>步骤8：典型台区专项治理</w:t>
      </w:r>
    </w:p>
    <w:p>
      <w:pPr>
        <w:spacing w:line="360" w:lineRule="auto"/>
        <w:ind w:firstLine="480"/>
      </w:pPr>
      <w:r>
        <w:rPr>
          <w:rFonts w:ascii="宋体" w:hAnsi="宋体" w:eastAsia="宋体"/>
          <w:b w:val="0"/>
          <w:sz w:val="24"/>
        </w:rPr>
        <w:t>选取严重越限典型台区，开展现场勘查，制定多维评价指标，编制精准治理方案。</w:t>
      </w:r>
    </w:p>
    <w:p>
      <w:pPr>
        <w:spacing w:line="360" w:lineRule="auto"/>
        <w:ind w:firstLine="480"/>
      </w:pPr>
      <w:r>
        <w:rPr>
          <w:rFonts w:ascii="宋体" w:hAnsi="宋体" w:eastAsia="宋体"/>
          <w:b w:val="0"/>
          <w:sz w:val="24"/>
        </w:rPr>
        <w:t>步骤9：现场检查与报告编制</w:t>
      </w:r>
    </w:p>
    <w:p>
      <w:pPr>
        <w:spacing w:line="360" w:lineRule="auto"/>
        <w:ind w:firstLine="480"/>
      </w:pPr>
      <w:r>
        <w:rPr>
          <w:rFonts w:ascii="宋体" w:hAnsi="宋体" w:eastAsia="宋体"/>
          <w:b w:val="0"/>
          <w:sz w:val="24"/>
        </w:rPr>
        <w:t>配合开展"四不两直"现场检查，编制检查报告，跟踪问题整改落实情况。</w:t>
      </w:r>
    </w:p>
    <w:p>
      <w:pPr>
        <w:spacing w:line="360" w:lineRule="auto"/>
        <w:ind w:firstLine="480"/>
      </w:pPr>
      <w:r>
        <w:rPr>
          <w:rFonts w:ascii="宋体" w:hAnsi="宋体" w:eastAsia="宋体"/>
          <w:b w:val="0"/>
          <w:sz w:val="24"/>
        </w:rPr>
        <w:t>步骤10：成果总结与交付</w:t>
      </w:r>
    </w:p>
    <w:p>
      <w:pPr>
        <w:spacing w:line="360" w:lineRule="auto"/>
        <w:ind w:firstLine="480"/>
      </w:pPr>
      <w:r>
        <w:rPr>
          <w:rFonts w:ascii="宋体" w:hAnsi="宋体" w:eastAsia="宋体"/>
          <w:b w:val="0"/>
          <w:sz w:val="24"/>
        </w:rPr>
        <w:t>整理项目全部成果文件，编制项目总结报告，完成成果交付和验收。</w:t>
      </w:r>
    </w:p>
    <w:p>
      <w:r>
        <w:br w:type="page"/>
      </w:r>
    </w:p>
    <w:p>
      <w:pPr>
        <w:pStyle w:val="Heading1"/>
      </w:pPr>
      <w:r>
        <w:rPr>
          <w:rFonts w:ascii="黑体" w:hAnsi="黑体" w:eastAsia="黑体"/>
        </w:rPr>
        <w:t>六、对工程有帮助的可行性建议</w:t>
      </w:r>
    </w:p>
    <w:p>
      <w:pPr>
        <w:pStyle w:val="Heading2"/>
      </w:pPr>
      <w:r>
        <w:rPr>
          <w:rFonts w:ascii="黑体" w:hAnsi="黑体" w:eastAsia="黑体"/>
        </w:rPr>
        <w:t>6.1 电压管理体系建设建议</w:t>
      </w:r>
    </w:p>
    <w:p>
      <w:pPr>
        <w:spacing w:line="360" w:lineRule="auto"/>
        <w:ind w:firstLine="480"/>
      </w:pPr>
      <w:r>
        <w:rPr>
          <w:rFonts w:ascii="宋体" w:hAnsi="宋体" w:eastAsia="宋体"/>
          <w:b w:val="0"/>
          <w:sz w:val="24"/>
        </w:rPr>
        <w:t>建议博尔塔拉供电公司在项目实施过程中，同步推进电压管理体系的建设和完善：</w:t>
      </w:r>
    </w:p>
    <w:p>
      <w:pPr>
        <w:spacing w:line="360" w:lineRule="auto"/>
        <w:ind w:firstLine="480"/>
      </w:pPr>
      <w:r>
        <w:rPr>
          <w:rFonts w:ascii="宋体" w:hAnsi="宋体" w:eastAsia="宋体"/>
          <w:b w:val="0"/>
          <w:sz w:val="24"/>
        </w:rPr>
        <w:t>（1）建立三级电压管理组织体系。建议在公司层面设立电压管理领导小组，在各县市公司设立电压管理工作组，在供电所层面明确电压管理专责人员，形成层级分明、职责清晰的管理组织体系。</w:t>
      </w:r>
    </w:p>
    <w:p>
      <w:pPr>
        <w:spacing w:line="360" w:lineRule="auto"/>
        <w:ind w:firstLine="480"/>
      </w:pPr>
      <w:r>
        <w:rPr>
          <w:rFonts w:ascii="宋体" w:hAnsi="宋体" w:eastAsia="宋体"/>
          <w:b w:val="0"/>
          <w:sz w:val="24"/>
        </w:rPr>
        <w:t>（2）完善电压管理制度流程。建议制定或修订电压监测管理办法、电压异常处置流程、电压治理项目管理办法等制度文件，形成制度化、规范化的管理机制。</w:t>
      </w:r>
    </w:p>
    <w:p>
      <w:pPr>
        <w:spacing w:line="360" w:lineRule="auto"/>
        <w:ind w:firstLine="480"/>
      </w:pPr>
      <w:r>
        <w:rPr>
          <w:rFonts w:ascii="宋体" w:hAnsi="宋体" w:eastAsia="宋体"/>
          <w:b w:val="0"/>
          <w:sz w:val="24"/>
        </w:rPr>
        <w:t>（3）建立电压质量考核评价机制。建议将电压合格率、电压指数等关键指标纳入各级单位的绩效考核体系，建立奖惩分明的激励约束机制。</w:t>
      </w:r>
    </w:p>
    <w:p>
      <w:pPr>
        <w:pStyle w:val="Heading2"/>
      </w:pPr>
      <w:r>
        <w:rPr>
          <w:rFonts w:ascii="黑体" w:hAnsi="黑体" w:eastAsia="黑体"/>
        </w:rPr>
        <w:t>6.2 数据管理优化建议</w:t>
      </w:r>
    </w:p>
    <w:p>
      <w:pPr>
        <w:spacing w:line="360" w:lineRule="auto"/>
        <w:ind w:firstLine="480"/>
      </w:pPr>
      <w:r>
        <w:rPr>
          <w:rFonts w:ascii="宋体" w:hAnsi="宋体" w:eastAsia="宋体"/>
          <w:b w:val="0"/>
          <w:sz w:val="24"/>
        </w:rPr>
        <w:t>（1）加强用电信息采集系统运维管理。建议定期开展采集终端巡检和维护，及时处理通信异常和数据缺失问题，确保电压数据采集的完整性和准确性。建议采集成功率不低于99.5%。</w:t>
      </w:r>
    </w:p>
    <w:p>
      <w:pPr>
        <w:spacing w:line="360" w:lineRule="auto"/>
        <w:ind w:firstLine="480"/>
      </w:pPr>
      <w:r>
        <w:rPr>
          <w:rFonts w:ascii="宋体" w:hAnsi="宋体" w:eastAsia="宋体"/>
          <w:b w:val="0"/>
          <w:sz w:val="24"/>
        </w:rPr>
        <w:t>（2）建立数据质量常态化核查机制。建议每月开展一次全口径与监管类电压数据比对分析，及时发现并处理数据偏差问题，建立数据质量问题台账和闭环管理机制。</w:t>
      </w:r>
    </w:p>
    <w:p>
      <w:pPr>
        <w:spacing w:line="360" w:lineRule="auto"/>
        <w:ind w:firstLine="480"/>
      </w:pPr>
      <w:r>
        <w:rPr>
          <w:rFonts w:ascii="宋体" w:hAnsi="宋体" w:eastAsia="宋体"/>
          <w:b w:val="0"/>
          <w:sz w:val="24"/>
        </w:rPr>
        <w:t>（3）推进电压监测系统升级改造。对于D类电压监测点数据失真问题，建议从终端设备、通信链路、主站系统三个环节进行全面排查和优化升级，从根本上解决数据质量问题。</w:t>
      </w:r>
    </w:p>
    <w:p>
      <w:pPr>
        <w:pStyle w:val="Heading2"/>
      </w:pPr>
      <w:r>
        <w:rPr>
          <w:rFonts w:ascii="黑体" w:hAnsi="黑体" w:eastAsia="黑体"/>
        </w:rPr>
        <w:t>6.3 网架结构优化建议</w:t>
      </w:r>
    </w:p>
    <w:p>
      <w:pPr>
        <w:spacing w:line="360" w:lineRule="auto"/>
        <w:ind w:firstLine="480"/>
      </w:pPr>
      <w:r>
        <w:rPr>
          <w:rFonts w:ascii="宋体" w:hAnsi="宋体" w:eastAsia="宋体"/>
          <w:b w:val="0"/>
          <w:sz w:val="24"/>
        </w:rPr>
        <w:t>（1）提高配网联络率和转供电能力。建议在负荷密集区域增设联络通道，提高线路间的互联互供能力，为负荷转供和电压调节提供更多灵活手段。</w:t>
      </w:r>
    </w:p>
    <w:p>
      <w:pPr>
        <w:spacing w:line="360" w:lineRule="auto"/>
        <w:ind w:firstLine="480"/>
      </w:pPr>
      <w:r>
        <w:rPr>
          <w:rFonts w:ascii="宋体" w:hAnsi="宋体" w:eastAsia="宋体"/>
          <w:b w:val="0"/>
          <w:sz w:val="24"/>
        </w:rPr>
        <w:t>（2）优化供电半径和台区布局。针对供电半径过长导致末端低电压的线路，建议通过新建配电设施、分割台区等措施，合理缩短供电半径，改善末端电压质量。</w:t>
      </w:r>
    </w:p>
    <w:p>
      <w:pPr>
        <w:spacing w:line="360" w:lineRule="auto"/>
        <w:ind w:firstLine="480"/>
      </w:pPr>
      <w:r>
        <w:rPr>
          <w:rFonts w:ascii="宋体" w:hAnsi="宋体" w:eastAsia="宋体"/>
          <w:b w:val="0"/>
          <w:sz w:val="24"/>
        </w:rPr>
        <w:t>（3）加强中压线路无功补偿配置。建议在10kV线路沿线适当位置增设无功补偿装置，就地补偿无功缺额，减少线路电压降落，提高线路末端电压水平。</w:t>
      </w:r>
    </w:p>
    <w:p>
      <w:pPr>
        <w:spacing w:line="360" w:lineRule="auto"/>
        <w:ind w:firstLine="480"/>
      </w:pPr>
      <w:r>
        <w:rPr>
          <w:rFonts w:ascii="宋体" w:hAnsi="宋体" w:eastAsia="宋体"/>
          <w:b w:val="0"/>
          <w:sz w:val="24"/>
        </w:rPr>
        <w:t>（4）推进老旧设备更新改造。建议对运行年限较长、性能指标下降的配电变压器、线路等设备进行更新改造，消除设备因素造成的电压质量隐患。</w:t>
      </w:r>
    </w:p>
    <w:p>
      <w:pPr>
        <w:pStyle w:val="Heading2"/>
      </w:pPr>
      <w:r>
        <w:rPr>
          <w:rFonts w:ascii="黑体" w:hAnsi="黑体" w:eastAsia="黑体"/>
        </w:rPr>
        <w:t>6.4 运行管理优化建议</w:t>
      </w:r>
    </w:p>
    <w:p>
      <w:pPr>
        <w:spacing w:line="360" w:lineRule="auto"/>
        <w:ind w:firstLine="480"/>
      </w:pPr>
      <w:r>
        <w:rPr>
          <w:rFonts w:ascii="宋体" w:hAnsi="宋体" w:eastAsia="宋体"/>
          <w:b w:val="0"/>
          <w:sz w:val="24"/>
        </w:rPr>
        <w:t>（1）优化变电站有载调压变压器档位管理。建议根据负荷变化规律，优化各变电站主变有载调压开关的档位调整策略，实现季节性、时段性的电压精细化调节。</w:t>
      </w:r>
    </w:p>
    <w:p>
      <w:pPr>
        <w:spacing w:line="360" w:lineRule="auto"/>
        <w:ind w:firstLine="480"/>
      </w:pPr>
      <w:r>
        <w:rPr>
          <w:rFonts w:ascii="宋体" w:hAnsi="宋体" w:eastAsia="宋体"/>
          <w:b w:val="0"/>
          <w:sz w:val="24"/>
        </w:rPr>
        <w:t>（2）加强三相负荷不平衡治理。建议定期开展台区三相不平衡度检测，对不平衡度超标的台区及时进行负荷调相或增设换相开关，降低因三相不平衡导致的电压偏差。</w:t>
      </w:r>
    </w:p>
    <w:p>
      <w:pPr>
        <w:spacing w:line="360" w:lineRule="auto"/>
        <w:ind w:firstLine="480"/>
      </w:pPr>
      <w:r>
        <w:rPr>
          <w:rFonts w:ascii="宋体" w:hAnsi="宋体" w:eastAsia="宋体"/>
          <w:b w:val="0"/>
          <w:sz w:val="24"/>
        </w:rPr>
        <w:t>（3）强化重过载台区管控。建议建立配变负荷预警机制，对重过载风险台区提前采取负荷转移、临时增容等措施，避免因过载引起电压质量问题。</w:t>
      </w:r>
    </w:p>
    <w:p>
      <w:pPr>
        <w:spacing w:line="360" w:lineRule="auto"/>
        <w:ind w:firstLine="480"/>
      </w:pPr>
      <w:r>
        <w:rPr>
          <w:rFonts w:ascii="宋体" w:hAnsi="宋体" w:eastAsia="宋体"/>
          <w:b w:val="0"/>
          <w:sz w:val="24"/>
        </w:rPr>
        <w:t>（4）推广智能调压设备应用。建议在条件具备的区域推广应用智能调压器、SVG等新型调压设备，提高电压调节的自动化和智能化水平。</w:t>
      </w:r>
    </w:p>
    <w:p>
      <w:pPr>
        <w:pStyle w:val="Heading2"/>
      </w:pPr>
      <w:r>
        <w:rPr>
          <w:rFonts w:ascii="黑体" w:hAnsi="黑体" w:eastAsia="黑体"/>
        </w:rPr>
        <w:t>6.5 技术创新应用建议</w:t>
      </w:r>
    </w:p>
    <w:p>
      <w:pPr>
        <w:spacing w:line="360" w:lineRule="auto"/>
        <w:ind w:firstLine="480"/>
      </w:pPr>
      <w:r>
        <w:rPr>
          <w:rFonts w:ascii="宋体" w:hAnsi="宋体" w:eastAsia="宋体"/>
          <w:b w:val="0"/>
          <w:sz w:val="24"/>
        </w:rPr>
        <w:t>（1）应用大数据分析技术。建议引入大数据分析平台，对海量电压监测数据进行深度挖掘和智能分析，发现传统方法难以识别的电压问题规律和趋势。</w:t>
      </w:r>
    </w:p>
    <w:p>
      <w:pPr>
        <w:spacing w:line="360" w:lineRule="auto"/>
        <w:ind w:firstLine="480"/>
      </w:pPr>
      <w:r>
        <w:rPr>
          <w:rFonts w:ascii="宋体" w:hAnsi="宋体" w:eastAsia="宋体"/>
          <w:b w:val="0"/>
          <w:sz w:val="24"/>
        </w:rPr>
        <w:t>（2）应用人工智能辅助决策。建议探索应用机器学习算法进行电压异常预测和治理方案智能推荐，提高电压管理的预见性和决策效率。</w:t>
      </w:r>
    </w:p>
    <w:p>
      <w:pPr>
        <w:spacing w:line="360" w:lineRule="auto"/>
        <w:ind w:firstLine="480"/>
      </w:pPr>
      <w:r>
        <w:rPr>
          <w:rFonts w:ascii="宋体" w:hAnsi="宋体" w:eastAsia="宋体"/>
          <w:b w:val="0"/>
          <w:sz w:val="24"/>
        </w:rPr>
        <w:t>（3）推进数字孪生技术应用。建议建立博州地区配电网的数字孪生模型，实现电网运行状态的实时映射和治理方案的虚拟验证，提升决策的科学性。</w:t>
      </w:r>
    </w:p>
    <w:p>
      <w:pPr>
        <w:spacing w:line="360" w:lineRule="auto"/>
        <w:ind w:firstLine="480"/>
      </w:pPr>
      <w:r>
        <w:rPr>
          <w:rFonts w:ascii="宋体" w:hAnsi="宋体" w:eastAsia="宋体"/>
          <w:b w:val="0"/>
          <w:sz w:val="24"/>
        </w:rPr>
        <w:t>（4）加强新能源并网电压影响分析。随着新能源接入比例的不断提高，建议开展新能源并网对配电网电压影响的专项分析，制定针对性的电压管控措施。</w:t>
      </w:r>
    </w:p>
    <w:p>
      <w:pPr>
        <w:pStyle w:val="Heading2"/>
      </w:pPr>
      <w:r>
        <w:rPr>
          <w:rFonts w:ascii="黑体" w:hAnsi="黑体" w:eastAsia="黑体"/>
        </w:rPr>
        <w:t>6.6 人才队伍建设建议</w:t>
      </w:r>
    </w:p>
    <w:p>
      <w:pPr>
        <w:spacing w:line="360" w:lineRule="auto"/>
        <w:ind w:firstLine="480"/>
      </w:pPr>
      <w:r>
        <w:rPr>
          <w:rFonts w:ascii="宋体" w:hAnsi="宋体" w:eastAsia="宋体"/>
          <w:b w:val="0"/>
          <w:sz w:val="24"/>
        </w:rPr>
        <w:t>（1）加强电压管理专业培训。建议定期组织电压管理专业知识和技能培训，提升基层人员的电压分析和治理能力。</w:t>
      </w:r>
    </w:p>
    <w:p>
      <w:pPr>
        <w:spacing w:line="360" w:lineRule="auto"/>
        <w:ind w:firstLine="480"/>
      </w:pPr>
      <w:r>
        <w:rPr>
          <w:rFonts w:ascii="宋体" w:hAnsi="宋体" w:eastAsia="宋体"/>
          <w:b w:val="0"/>
          <w:sz w:val="24"/>
        </w:rPr>
        <w:t>（2）建立电压管理专家团队。建议从公司各专业选拔骨干人才，组建电压管理专家团队，为电压质量持续改善提供技术支撑。</w:t>
      </w:r>
    </w:p>
    <w:p>
      <w:pPr>
        <w:spacing w:line="360" w:lineRule="auto"/>
        <w:ind w:firstLine="480"/>
      </w:pPr>
      <w:r>
        <w:rPr>
          <w:rFonts w:ascii="宋体" w:hAnsi="宋体" w:eastAsia="宋体"/>
          <w:b w:val="0"/>
          <w:sz w:val="24"/>
        </w:rPr>
        <w:t>（3）促进经验交流与知识共享。建议与区内外先进单位开展电压管理经验交流，学习借鉴先进做法和成功经验。</w:t>
      </w:r>
    </w:p>
    <w:p>
      <w:r>
        <w:br w:type="page"/>
      </w:r>
    </w:p>
    <w:p>
      <w:pPr>
        <w:pStyle w:val="Heading1"/>
      </w:pPr>
      <w:r>
        <w:rPr>
          <w:rFonts w:ascii="黑体" w:hAnsi="黑体" w:eastAsia="黑体"/>
        </w:rPr>
        <w:t>七、项目意义与展望</w:t>
      </w:r>
    </w:p>
    <w:p>
      <w:pPr>
        <w:pStyle w:val="Heading2"/>
      </w:pPr>
      <w:r>
        <w:rPr>
          <w:rFonts w:ascii="黑体" w:hAnsi="黑体" w:eastAsia="黑体"/>
        </w:rPr>
        <w:t>7.1 项目实施意义</w:t>
      </w:r>
    </w:p>
    <w:p>
      <w:pPr>
        <w:spacing w:line="360" w:lineRule="auto"/>
        <w:ind w:firstLine="480"/>
      </w:pPr>
      <w:r>
        <w:rPr>
          <w:rFonts w:ascii="宋体" w:hAnsi="宋体" w:eastAsia="宋体"/>
          <w:b/>
          <w:sz w:val="24"/>
        </w:rPr>
        <w:t>7.1.1 对电网安全运行的意义</w:t>
      </w:r>
    </w:p>
    <w:p>
      <w:pPr>
        <w:spacing w:line="360" w:lineRule="auto"/>
        <w:ind w:firstLine="480"/>
      </w:pPr>
      <w:r>
        <w:rPr>
          <w:rFonts w:ascii="宋体" w:hAnsi="宋体" w:eastAsia="宋体"/>
          <w:b w:val="0"/>
          <w:sz w:val="24"/>
        </w:rPr>
        <w:t>电压是电力系统运行的核心参数之一，电压质量的好坏直接关系到电网的安全稳定运行。通过本项目的实施，可以全面掌握博州地区电压运行的真实状态，及时发现和消除电压安全隐患，降低因电压问题导致的设备损坏和故障跳闸风险，提高电网运行的安全性和可靠性。</w:t>
      </w:r>
    </w:p>
    <w:p>
      <w:pPr>
        <w:spacing w:line="360" w:lineRule="auto"/>
        <w:ind w:firstLine="480"/>
      </w:pPr>
      <w:r>
        <w:rPr>
          <w:rFonts w:ascii="宋体" w:hAnsi="宋体" w:eastAsia="宋体"/>
          <w:b/>
          <w:sz w:val="24"/>
        </w:rPr>
        <w:t>7.1.2 对用户服务质量的意义</w:t>
      </w:r>
    </w:p>
    <w:p>
      <w:pPr>
        <w:spacing w:line="360" w:lineRule="auto"/>
        <w:ind w:firstLine="480"/>
      </w:pPr>
      <w:r>
        <w:rPr>
          <w:rFonts w:ascii="宋体" w:hAnsi="宋体" w:eastAsia="宋体"/>
          <w:b w:val="0"/>
          <w:sz w:val="24"/>
        </w:rPr>
        <w:t>供电电压质量是衡量供电服务水平的重要指标，直接影响用户的用电体验和生产生活质量。通过精准治理电压短板问题，可以有效减少低电压投诉和用户设备损坏事件，提升广大用电客户的满意度和获得感，树立良好的企业服务形象。</w:t>
      </w:r>
    </w:p>
    <w:p>
      <w:pPr>
        <w:spacing w:line="360" w:lineRule="auto"/>
        <w:ind w:firstLine="480"/>
      </w:pPr>
      <w:r>
        <w:rPr>
          <w:rFonts w:ascii="宋体" w:hAnsi="宋体" w:eastAsia="宋体"/>
          <w:b/>
          <w:sz w:val="24"/>
        </w:rPr>
        <w:t>7.1.3 对企业管理提升的意义</w:t>
      </w:r>
    </w:p>
    <w:p>
      <w:pPr>
        <w:spacing w:line="360" w:lineRule="auto"/>
        <w:ind w:firstLine="480"/>
      </w:pPr>
      <w:r>
        <w:rPr>
          <w:rFonts w:ascii="宋体" w:hAnsi="宋体" w:eastAsia="宋体"/>
          <w:b w:val="0"/>
          <w:sz w:val="24"/>
        </w:rPr>
        <w:t>本项目的实施将推动博尔塔拉供电公司电压管理从粗放型向精细化转变，从经验驱动向数据驱动转变，从被动应对向主动预防转变。通过建立完善的电压管理体系和长效机制，可以显著提升公司的专业管理水平和核心竞争力。</w:t>
      </w:r>
    </w:p>
    <w:p>
      <w:pPr>
        <w:spacing w:line="360" w:lineRule="auto"/>
        <w:ind w:firstLine="480"/>
      </w:pPr>
      <w:r>
        <w:rPr>
          <w:rFonts w:ascii="宋体" w:hAnsi="宋体" w:eastAsia="宋体"/>
          <w:b/>
          <w:sz w:val="24"/>
        </w:rPr>
        <w:t>7.1.4 对社会经济发展的意义</w:t>
      </w:r>
    </w:p>
    <w:p>
      <w:pPr>
        <w:spacing w:line="360" w:lineRule="auto"/>
        <w:ind w:firstLine="480"/>
      </w:pPr>
      <w:r>
        <w:rPr>
          <w:rFonts w:ascii="宋体" w:hAnsi="宋体" w:eastAsia="宋体"/>
          <w:b w:val="0"/>
          <w:sz w:val="24"/>
        </w:rPr>
        <w:t>高质量的供电服务是区域经济社会发展的基础保障。通过改善电压质量，可以为博州地区的工农业生产、商贸服务、民生保障提供更加优质可靠的电力支撑，助力区域经济社会的高质量发展。</w:t>
      </w:r>
    </w:p>
    <w:p>
      <w:pPr>
        <w:spacing w:line="360" w:lineRule="auto"/>
        <w:ind w:firstLine="480"/>
      </w:pPr>
      <w:r>
        <w:rPr>
          <w:rFonts w:ascii="宋体" w:hAnsi="宋体" w:eastAsia="宋体"/>
          <w:b/>
          <w:sz w:val="24"/>
        </w:rPr>
        <w:t>7.1.5 对行业示范引领的意义</w:t>
      </w:r>
    </w:p>
    <w:p>
      <w:pPr>
        <w:spacing w:line="360" w:lineRule="auto"/>
        <w:ind w:firstLine="480"/>
      </w:pPr>
      <w:r>
        <w:rPr>
          <w:rFonts w:ascii="宋体" w:hAnsi="宋体" w:eastAsia="宋体"/>
          <w:b w:val="0"/>
          <w:sz w:val="24"/>
        </w:rPr>
        <w:t>本项目的成功实施，可以为新疆电力公司乃至国家电网公司系统内的其他边疆地区供电企业提供可借鉴、可复制的电压管理经验和模式，发挥示范引领作用，推动全系统电压管理水平的整体提升。</w:t>
      </w:r>
    </w:p>
    <w:p>
      <w:pPr>
        <w:pStyle w:val="Heading2"/>
      </w:pPr>
      <w:r>
        <w:rPr>
          <w:rFonts w:ascii="黑体" w:hAnsi="黑体" w:eastAsia="黑体"/>
        </w:rPr>
        <w:t>7.2 预期成效</w:t>
      </w:r>
    </w:p>
    <w:p>
      <w:pPr>
        <w:spacing w:line="360" w:lineRule="auto"/>
        <w:ind w:firstLine="480"/>
      </w:pPr>
      <w:r>
        <w:rPr>
          <w:rFonts w:ascii="宋体" w:hAnsi="宋体" w:eastAsia="宋体"/>
          <w:b w:val="0"/>
          <w:sz w:val="24"/>
        </w:rPr>
        <w:t>通过本项目的全面实施，预期将取得以下成效：</w:t>
      </w:r>
    </w:p>
    <w:p>
      <w:pPr>
        <w:spacing w:line="360" w:lineRule="auto"/>
        <w:ind w:firstLine="480"/>
      </w:pPr>
      <w:r>
        <w:rPr>
          <w:rFonts w:ascii="宋体" w:hAnsi="宋体" w:eastAsia="宋体"/>
          <w:b w:val="0"/>
          <w:sz w:val="24"/>
        </w:rPr>
        <w:t>（1）电压质量显著改善。项目实施后，博州地区整体电压合格率预期提升2-5个百分点，严重越限问题基本消除，电压指数达到新疆公司考核目标值。</w:t>
      </w:r>
    </w:p>
    <w:p>
      <w:pPr>
        <w:spacing w:line="360" w:lineRule="auto"/>
        <w:ind w:firstLine="480"/>
      </w:pPr>
      <w:r>
        <w:rPr>
          <w:rFonts w:ascii="宋体" w:hAnsi="宋体" w:eastAsia="宋体"/>
          <w:b w:val="0"/>
          <w:sz w:val="24"/>
        </w:rPr>
        <w:t>（2）管理水平明显提升。建立完善的电压问题台账和管理档案，形成常态化的跟踪分析和治理机制，电压管理精细化水平显著提高。</w:t>
      </w:r>
    </w:p>
    <w:p>
      <w:pPr>
        <w:spacing w:line="360" w:lineRule="auto"/>
        <w:ind w:firstLine="480"/>
      </w:pPr>
      <w:r>
        <w:rPr>
          <w:rFonts w:ascii="宋体" w:hAnsi="宋体" w:eastAsia="宋体"/>
          <w:b w:val="0"/>
          <w:sz w:val="24"/>
        </w:rPr>
        <w:t>（3）数据基础不断夯实。通过全面的数据质量核查和整改，电压监测数据的准确性和完整性得到根本性提升，为后续精准管理奠定坚实基础。</w:t>
      </w:r>
    </w:p>
    <w:p>
      <w:pPr>
        <w:spacing w:line="360" w:lineRule="auto"/>
        <w:ind w:firstLine="480"/>
      </w:pPr>
      <w:r>
        <w:rPr>
          <w:rFonts w:ascii="宋体" w:hAnsi="宋体" w:eastAsia="宋体"/>
          <w:b w:val="0"/>
          <w:sz w:val="24"/>
        </w:rPr>
        <w:t>（4）治理储备充分。形成系统完整的治理方案和项目储备清单，为后续电压治理工作提供明确的方向指引和项目支撑。</w:t>
      </w:r>
    </w:p>
    <w:p>
      <w:pPr>
        <w:spacing w:line="360" w:lineRule="auto"/>
        <w:ind w:firstLine="480"/>
      </w:pPr>
      <w:r>
        <w:rPr>
          <w:rFonts w:ascii="宋体" w:hAnsi="宋体" w:eastAsia="宋体"/>
          <w:b w:val="0"/>
          <w:sz w:val="24"/>
        </w:rPr>
        <w:t>（5）人员能力增强。通过项目实施过程中的技术交流和实践锻炼，博尔塔拉供电公司相关人员的电压管理专业能力得到有效提升。</w:t>
      </w:r>
    </w:p>
    <w:p>
      <w:pPr>
        <w:pStyle w:val="Heading2"/>
      </w:pPr>
      <w:r>
        <w:rPr>
          <w:rFonts w:ascii="黑体" w:hAnsi="黑体" w:eastAsia="黑体"/>
        </w:rPr>
        <w:t>7.3 未来展望</w:t>
      </w:r>
    </w:p>
    <w:p>
      <w:pPr>
        <w:spacing w:line="360" w:lineRule="auto"/>
        <w:ind w:firstLine="480"/>
      </w:pPr>
      <w:r>
        <w:rPr>
          <w:rFonts w:ascii="宋体" w:hAnsi="宋体" w:eastAsia="宋体"/>
          <w:b w:val="0"/>
          <w:sz w:val="24"/>
        </w:rPr>
        <w:t>展望未来，随着电力体制改革的深入推进、新型电力系统的加快构建以及数字化转型的持续深化，电压管理工作将面临新的机遇和挑战：</w:t>
      </w:r>
    </w:p>
    <w:p>
      <w:pPr>
        <w:spacing w:line="360" w:lineRule="auto"/>
        <w:ind w:firstLine="480"/>
      </w:pPr>
      <w:r>
        <w:rPr>
          <w:rFonts w:ascii="宋体" w:hAnsi="宋体" w:eastAsia="宋体"/>
          <w:b w:val="0"/>
          <w:sz w:val="24"/>
        </w:rPr>
        <w:t>（1）智能化方向。随着人工智能、大数据等技术的不断成熟，电压管理将逐步实现智能监测、智能诊断、智能决策和智能控制的全流程智能化，大幅提高管理效率和治理精度。</w:t>
      </w:r>
    </w:p>
    <w:p>
      <w:pPr>
        <w:spacing w:line="360" w:lineRule="auto"/>
        <w:ind w:firstLine="480"/>
      </w:pPr>
      <w:r>
        <w:rPr>
          <w:rFonts w:ascii="宋体" w:hAnsi="宋体" w:eastAsia="宋体"/>
          <w:b w:val="0"/>
          <w:sz w:val="24"/>
        </w:rPr>
        <w:t>（2）精细化方向。电压管理的颗粒度将从台区级向用户级延伸，实现每一个用户电压质量的精准把控和个性化服务。</w:t>
      </w:r>
    </w:p>
    <w:p>
      <w:pPr>
        <w:spacing w:line="360" w:lineRule="auto"/>
        <w:ind w:firstLine="480"/>
      </w:pPr>
      <w:r>
        <w:rPr>
          <w:rFonts w:ascii="宋体" w:hAnsi="宋体" w:eastAsia="宋体"/>
          <w:b w:val="0"/>
          <w:sz w:val="24"/>
        </w:rPr>
        <w:t>（3）协同化方向。电压管理将与配网规划、调度运行、营销服务等业务深度融合，形成跨专业、跨层级的协同管理模式。</w:t>
      </w:r>
    </w:p>
    <w:p>
      <w:pPr>
        <w:spacing w:line="360" w:lineRule="auto"/>
        <w:ind w:firstLine="480"/>
      </w:pPr>
      <w:r>
        <w:rPr>
          <w:rFonts w:ascii="宋体" w:hAnsi="宋体" w:eastAsia="宋体"/>
          <w:b w:val="0"/>
          <w:sz w:val="24"/>
        </w:rPr>
        <w:t>（4）预防化方向。通过数字孪生、预测分析等技术手段，实现电压问题的提前预警和主动预防，从根本上减少电压质量问题的发生。</w:t>
      </w:r>
    </w:p>
    <w:p>
      <w:pPr>
        <w:spacing w:line="360" w:lineRule="auto"/>
        <w:ind w:firstLine="480"/>
      </w:pPr>
      <w:r>
        <w:rPr>
          <w:rFonts w:ascii="宋体" w:hAnsi="宋体" w:eastAsia="宋体"/>
          <w:b w:val="0"/>
          <w:sz w:val="24"/>
        </w:rPr>
        <w:t>我们坚信，通过本项目的扎实推进和后续工作的持续深化，博尔塔拉供电公司的电压管理水平将实现跨越式提升，为建设世界一流供电企业奠定坚实基础。</w:t>
      </w:r>
    </w:p>
    <w:p>
      <w:r>
        <w:br w:type="page"/>
      </w:r>
    </w:p>
    <w:p>
      <w:pPr>
        <w:pStyle w:val="Heading1"/>
      </w:pPr>
      <w:r>
        <w:rPr>
          <w:rFonts w:ascii="黑体" w:hAnsi="黑体" w:eastAsia="黑体"/>
        </w:rPr>
        <w:t>八、工作规划描述</w:t>
      </w:r>
    </w:p>
    <w:p>
      <w:pPr>
        <w:pStyle w:val="Heading2"/>
      </w:pPr>
      <w:r>
        <w:rPr>
          <w:rFonts w:ascii="黑体" w:hAnsi="黑体" w:eastAsia="黑体"/>
        </w:rPr>
        <w:t>8.1 工作总体规划</w:t>
      </w:r>
    </w:p>
    <w:p>
      <w:pPr>
        <w:spacing w:line="360" w:lineRule="auto"/>
        <w:ind w:firstLine="480"/>
      </w:pPr>
      <w:r>
        <w:rPr>
          <w:rFonts w:ascii="宋体" w:hAnsi="宋体" w:eastAsia="宋体"/>
          <w:b w:val="0"/>
          <w:sz w:val="24"/>
        </w:rPr>
        <w:t>本项目工作规划以"系统谋划、分步实施、重点突破、全面覆盖"为基本原则，按照项目周期合理安排各阶段工作任务，确保项目目标的有序推进和顺利实现。</w:t>
      </w:r>
    </w:p>
    <w:p>
      <w:pPr>
        <w:spacing w:line="360" w:lineRule="auto"/>
        <w:ind w:firstLine="480"/>
      </w:pPr>
      <w:r>
        <w:rPr>
          <w:rFonts w:ascii="宋体" w:hAnsi="宋体" w:eastAsia="宋体"/>
          <w:b w:val="0"/>
          <w:sz w:val="24"/>
        </w:rPr>
        <w:t>项目整体工作规划分为四个主要阶段：</w:t>
      </w:r>
    </w:p>
    <w:p>
      <w:pPr>
        <w:spacing w:line="360" w:lineRule="auto"/>
        <w:ind w:firstLine="480"/>
      </w:pPr>
      <w:r>
        <w:rPr>
          <w:rFonts w:ascii="宋体" w:hAnsi="宋体" w:eastAsia="宋体"/>
          <w:b/>
          <w:sz w:val="24"/>
        </w:rPr>
        <w:t>第一阶段（第1-2个月）：项目启动与基础摸底阶段</w:t>
      </w:r>
    </w:p>
    <w:p>
      <w:pPr>
        <w:spacing w:line="360" w:lineRule="auto"/>
        <w:ind w:firstLine="480"/>
      </w:pPr>
      <w:r>
        <w:rPr>
          <w:rFonts w:ascii="宋体" w:hAnsi="宋体" w:eastAsia="宋体"/>
          <w:b w:val="0"/>
          <w:sz w:val="24"/>
        </w:rPr>
        <w:t>主要完成项目启动准备、基础资料收集、数据获取和初步分析等工作。具体包括：</w:t>
      </w:r>
    </w:p>
    <w:p>
      <w:pPr>
        <w:spacing w:line="360" w:lineRule="auto"/>
        <w:ind w:firstLine="480"/>
      </w:pPr>
      <w:r>
        <w:rPr>
          <w:rFonts w:ascii="宋体" w:hAnsi="宋体" w:eastAsia="宋体"/>
          <w:b w:val="0"/>
          <w:sz w:val="24"/>
        </w:rPr>
        <w:t>- 组建项目团队，明确人员分工和职责</w:t>
      </w:r>
    </w:p>
    <w:p>
      <w:pPr>
        <w:spacing w:line="360" w:lineRule="auto"/>
        <w:ind w:firstLine="480"/>
      </w:pPr>
      <w:r>
        <w:rPr>
          <w:rFonts w:ascii="宋体" w:hAnsi="宋体" w:eastAsia="宋体"/>
          <w:b w:val="0"/>
          <w:sz w:val="24"/>
        </w:rPr>
        <w:t>- 召开项目启动会，与博尔塔拉供电公司对接工作要求</w:t>
      </w:r>
    </w:p>
    <w:p>
      <w:pPr>
        <w:spacing w:line="360" w:lineRule="auto"/>
        <w:ind w:firstLine="480"/>
      </w:pPr>
      <w:r>
        <w:rPr>
          <w:rFonts w:ascii="宋体" w:hAnsi="宋体" w:eastAsia="宋体"/>
          <w:b w:val="0"/>
          <w:sz w:val="24"/>
        </w:rPr>
        <w:t>- 收集电网基础资料（网架图、设备台账、运行数据等）</w:t>
      </w:r>
    </w:p>
    <w:p>
      <w:pPr>
        <w:spacing w:line="360" w:lineRule="auto"/>
        <w:ind w:firstLine="480"/>
      </w:pPr>
      <w:r>
        <w:rPr>
          <w:rFonts w:ascii="宋体" w:hAnsi="宋体" w:eastAsia="宋体"/>
          <w:b w:val="0"/>
          <w:sz w:val="24"/>
        </w:rPr>
        <w:t>- 获取各系统电压监测数据并进行质量核查</w:t>
      </w:r>
    </w:p>
    <w:p>
      <w:pPr>
        <w:spacing w:line="360" w:lineRule="auto"/>
        <w:ind w:firstLine="480"/>
      </w:pPr>
      <w:r>
        <w:rPr>
          <w:rFonts w:ascii="宋体" w:hAnsi="宋体" w:eastAsia="宋体"/>
          <w:b w:val="0"/>
          <w:sz w:val="24"/>
        </w:rPr>
        <w:t>- 开展全口径与监管类电压数据比对分析</w:t>
      </w:r>
    </w:p>
    <w:p>
      <w:pPr>
        <w:spacing w:line="360" w:lineRule="auto"/>
        <w:ind w:firstLine="480"/>
      </w:pPr>
      <w:r>
        <w:rPr>
          <w:rFonts w:ascii="宋体" w:hAnsi="宋体" w:eastAsia="宋体"/>
          <w:b w:val="0"/>
          <w:sz w:val="24"/>
        </w:rPr>
        <w:t>- 编制数据质量问题清单</w:t>
      </w:r>
    </w:p>
    <w:p>
      <w:pPr>
        <w:spacing w:line="360" w:lineRule="auto"/>
        <w:ind w:firstLine="480"/>
      </w:pPr>
      <w:r>
        <w:rPr>
          <w:rFonts w:ascii="宋体" w:hAnsi="宋体" w:eastAsia="宋体"/>
          <w:b w:val="0"/>
          <w:sz w:val="24"/>
        </w:rPr>
        <w:t>- 形成博州地区供电电压总体情况报告初稿</w:t>
      </w:r>
    </w:p>
    <w:p>
      <w:pPr>
        <w:spacing w:line="360" w:lineRule="auto"/>
        <w:ind w:firstLine="480"/>
      </w:pPr>
      <w:r>
        <w:rPr>
          <w:rFonts w:ascii="宋体" w:hAnsi="宋体" w:eastAsia="宋体"/>
          <w:b/>
          <w:sz w:val="24"/>
        </w:rPr>
        <w:t>第二阶段（第3-5个月）：深度分析与方案制定阶段</w:t>
      </w:r>
    </w:p>
    <w:p>
      <w:pPr>
        <w:spacing w:line="360" w:lineRule="auto"/>
        <w:ind w:firstLine="480"/>
      </w:pPr>
      <w:r>
        <w:rPr>
          <w:rFonts w:ascii="宋体" w:hAnsi="宋体" w:eastAsia="宋体"/>
          <w:b w:val="0"/>
          <w:sz w:val="24"/>
        </w:rPr>
        <w:t>主要完成逐站逐线逐台区深度分析、问题诊断和治理方案制定等工作。具体包括：</w:t>
      </w:r>
    </w:p>
    <w:p>
      <w:pPr>
        <w:spacing w:line="360" w:lineRule="auto"/>
        <w:ind w:firstLine="480"/>
      </w:pPr>
      <w:r>
        <w:rPr>
          <w:rFonts w:ascii="宋体" w:hAnsi="宋体" w:eastAsia="宋体"/>
          <w:b w:val="0"/>
          <w:sz w:val="24"/>
        </w:rPr>
        <w:t>- 逐站开展变电站层面电压深度分析</w:t>
      </w:r>
    </w:p>
    <w:p>
      <w:pPr>
        <w:spacing w:line="360" w:lineRule="auto"/>
        <w:ind w:firstLine="480"/>
      </w:pPr>
      <w:r>
        <w:rPr>
          <w:rFonts w:ascii="宋体" w:hAnsi="宋体" w:eastAsia="宋体"/>
          <w:b w:val="0"/>
          <w:sz w:val="24"/>
        </w:rPr>
        <w:t>- 逐线开展10kV线路层面电压深度分析</w:t>
      </w:r>
    </w:p>
    <w:p>
      <w:pPr>
        <w:spacing w:line="360" w:lineRule="auto"/>
        <w:ind w:firstLine="480"/>
      </w:pPr>
      <w:r>
        <w:rPr>
          <w:rFonts w:ascii="宋体" w:hAnsi="宋体" w:eastAsia="宋体"/>
          <w:b w:val="0"/>
          <w:sz w:val="24"/>
        </w:rPr>
        <w:t>- 逐台区开展配电台区层面电压深度分析</w:t>
      </w:r>
    </w:p>
    <w:p>
      <w:pPr>
        <w:spacing w:line="360" w:lineRule="auto"/>
        <w:ind w:firstLine="480"/>
      </w:pPr>
      <w:r>
        <w:rPr>
          <w:rFonts w:ascii="宋体" w:hAnsi="宋体" w:eastAsia="宋体"/>
          <w:b w:val="0"/>
          <w:sz w:val="24"/>
        </w:rPr>
        <w:t>- 建立完整的电压问题台账</w:t>
      </w:r>
    </w:p>
    <w:p>
      <w:pPr>
        <w:spacing w:line="360" w:lineRule="auto"/>
        <w:ind w:firstLine="480"/>
      </w:pPr>
      <w:r>
        <w:rPr>
          <w:rFonts w:ascii="宋体" w:hAnsi="宋体" w:eastAsia="宋体"/>
          <w:b w:val="0"/>
          <w:sz w:val="24"/>
        </w:rPr>
        <w:t>- 制定各类问题的治理措施（管理、运维、项目）</w:t>
      </w:r>
    </w:p>
    <w:p>
      <w:pPr>
        <w:spacing w:line="360" w:lineRule="auto"/>
        <w:ind w:firstLine="480"/>
      </w:pPr>
      <w:r>
        <w:rPr>
          <w:rFonts w:ascii="宋体" w:hAnsi="宋体" w:eastAsia="宋体"/>
          <w:b w:val="0"/>
          <w:sz w:val="24"/>
        </w:rPr>
        <w:t>- 开展调压装置和无功补偿装置优化配置计算</w:t>
      </w:r>
    </w:p>
    <w:p>
      <w:pPr>
        <w:spacing w:line="360" w:lineRule="auto"/>
        <w:ind w:firstLine="480"/>
      </w:pPr>
      <w:r>
        <w:rPr>
          <w:rFonts w:ascii="宋体" w:hAnsi="宋体" w:eastAsia="宋体"/>
          <w:b w:val="0"/>
          <w:sz w:val="24"/>
        </w:rPr>
        <w:t>- 提供线路负荷转供、分段开关配置建议</w:t>
      </w:r>
    </w:p>
    <w:p>
      <w:pPr>
        <w:spacing w:line="360" w:lineRule="auto"/>
        <w:ind w:firstLine="480"/>
      </w:pPr>
      <w:r>
        <w:rPr>
          <w:rFonts w:ascii="宋体" w:hAnsi="宋体" w:eastAsia="宋体"/>
          <w:b w:val="0"/>
          <w:sz w:val="24"/>
        </w:rPr>
        <w:t>- 形成近期、中期、远期治理计划</w:t>
      </w:r>
    </w:p>
    <w:p>
      <w:pPr>
        <w:spacing w:line="360" w:lineRule="auto"/>
        <w:ind w:firstLine="480"/>
      </w:pPr>
      <w:r>
        <w:rPr>
          <w:rFonts w:ascii="宋体" w:hAnsi="宋体" w:eastAsia="宋体"/>
          <w:b/>
          <w:sz w:val="24"/>
        </w:rPr>
        <w:t>第三阶段（第6-9个月）：专项治理与仿真验证阶段</w:t>
      </w:r>
    </w:p>
    <w:p>
      <w:pPr>
        <w:spacing w:line="360" w:lineRule="auto"/>
        <w:ind w:firstLine="480"/>
      </w:pPr>
      <w:r>
        <w:rPr>
          <w:rFonts w:ascii="宋体" w:hAnsi="宋体" w:eastAsia="宋体"/>
          <w:b w:val="0"/>
          <w:sz w:val="24"/>
        </w:rPr>
        <w:t>主要完成严重越限典型台区专项治理、仿真模拟验证等工作。具体包括：</w:t>
      </w:r>
    </w:p>
    <w:p>
      <w:pPr>
        <w:spacing w:line="360" w:lineRule="auto"/>
        <w:ind w:firstLine="480"/>
      </w:pPr>
      <w:r>
        <w:rPr>
          <w:rFonts w:ascii="宋体" w:hAnsi="宋体" w:eastAsia="宋体"/>
          <w:b w:val="0"/>
          <w:sz w:val="24"/>
        </w:rPr>
        <w:t>- 选定严重越限典型台区进行专项治理</w:t>
      </w:r>
    </w:p>
    <w:p>
      <w:pPr>
        <w:spacing w:line="360" w:lineRule="auto"/>
        <w:ind w:firstLine="480"/>
      </w:pPr>
      <w:r>
        <w:rPr>
          <w:rFonts w:ascii="宋体" w:hAnsi="宋体" w:eastAsia="宋体"/>
          <w:b w:val="0"/>
          <w:sz w:val="24"/>
        </w:rPr>
        <w:t>- 开展典型台区现场勘查勘察</w:t>
      </w:r>
    </w:p>
    <w:p>
      <w:pPr>
        <w:spacing w:line="360" w:lineRule="auto"/>
        <w:ind w:firstLine="480"/>
      </w:pPr>
      <w:r>
        <w:rPr>
          <w:rFonts w:ascii="宋体" w:hAnsi="宋体" w:eastAsia="宋体"/>
          <w:b w:val="0"/>
          <w:sz w:val="24"/>
        </w:rPr>
        <w:t>- 建立三相不平衡、重过载、电压波动等多维指标评价体系</w:t>
      </w:r>
    </w:p>
    <w:p>
      <w:pPr>
        <w:spacing w:line="360" w:lineRule="auto"/>
        <w:ind w:firstLine="480"/>
      </w:pPr>
      <w:r>
        <w:rPr>
          <w:rFonts w:ascii="宋体" w:hAnsi="宋体" w:eastAsia="宋体"/>
          <w:b w:val="0"/>
          <w:sz w:val="24"/>
        </w:rPr>
        <w:t>- 测算各影响因素的电压指数影响贡献度</w:t>
      </w:r>
    </w:p>
    <w:p>
      <w:pPr>
        <w:spacing w:line="360" w:lineRule="auto"/>
        <w:ind w:firstLine="480"/>
      </w:pPr>
      <w:r>
        <w:rPr>
          <w:rFonts w:ascii="宋体" w:hAnsi="宋体" w:eastAsia="宋体"/>
          <w:b w:val="0"/>
          <w:sz w:val="24"/>
        </w:rPr>
        <w:t>- 建立配电网仿真模型并进行校核</w:t>
      </w:r>
    </w:p>
    <w:p>
      <w:pPr>
        <w:spacing w:line="360" w:lineRule="auto"/>
        <w:ind w:firstLine="480"/>
      </w:pPr>
      <w:r>
        <w:rPr>
          <w:rFonts w:ascii="宋体" w:hAnsi="宋体" w:eastAsia="宋体"/>
          <w:b w:val="0"/>
          <w:sz w:val="24"/>
        </w:rPr>
        <w:t>- 基于仿真模拟制定精准治理方案</w:t>
      </w:r>
    </w:p>
    <w:p>
      <w:pPr>
        <w:spacing w:line="360" w:lineRule="auto"/>
        <w:ind w:firstLine="480"/>
      </w:pPr>
      <w:r>
        <w:rPr>
          <w:rFonts w:ascii="宋体" w:hAnsi="宋体" w:eastAsia="宋体"/>
          <w:b w:val="0"/>
          <w:sz w:val="24"/>
        </w:rPr>
        <w:t>- 配合开展"四不两直"现场检查</w:t>
      </w:r>
    </w:p>
    <w:p>
      <w:pPr>
        <w:spacing w:line="360" w:lineRule="auto"/>
        <w:ind w:firstLine="480"/>
      </w:pPr>
      <w:r>
        <w:rPr>
          <w:rFonts w:ascii="宋体" w:hAnsi="宋体" w:eastAsia="宋体"/>
          <w:b w:val="0"/>
          <w:sz w:val="24"/>
        </w:rPr>
        <w:t>- 编制现场检查报告</w:t>
      </w:r>
    </w:p>
    <w:p>
      <w:pPr>
        <w:spacing w:line="360" w:lineRule="auto"/>
        <w:ind w:firstLine="480"/>
      </w:pPr>
      <w:r>
        <w:rPr>
          <w:rFonts w:ascii="宋体" w:hAnsi="宋体" w:eastAsia="宋体"/>
          <w:b/>
          <w:sz w:val="24"/>
        </w:rPr>
        <w:t>第四阶段（第10-12个月）：效果验证与成果总结阶段</w:t>
      </w:r>
    </w:p>
    <w:p>
      <w:pPr>
        <w:spacing w:line="360" w:lineRule="auto"/>
        <w:ind w:firstLine="480"/>
      </w:pPr>
      <w:r>
        <w:rPr>
          <w:rFonts w:ascii="宋体" w:hAnsi="宋体" w:eastAsia="宋体"/>
          <w:b w:val="0"/>
          <w:sz w:val="24"/>
        </w:rPr>
        <w:t>主要完成治理效果跟踪验证、成果整理和项目验收等工作。具体包括：</w:t>
      </w:r>
    </w:p>
    <w:p>
      <w:pPr>
        <w:spacing w:line="360" w:lineRule="auto"/>
        <w:ind w:firstLine="480"/>
      </w:pPr>
      <w:r>
        <w:rPr>
          <w:rFonts w:ascii="宋体" w:hAnsi="宋体" w:eastAsia="宋体"/>
          <w:b w:val="0"/>
          <w:sz w:val="24"/>
        </w:rPr>
        <w:t>- 跟踪各项治理措施的实施效果</w:t>
      </w:r>
    </w:p>
    <w:p>
      <w:pPr>
        <w:spacing w:line="360" w:lineRule="auto"/>
        <w:ind w:firstLine="480"/>
      </w:pPr>
      <w:r>
        <w:rPr>
          <w:rFonts w:ascii="宋体" w:hAnsi="宋体" w:eastAsia="宋体"/>
          <w:b w:val="0"/>
          <w:sz w:val="24"/>
        </w:rPr>
        <w:t>- 对比治理前后电压指标变化情况</w:t>
      </w:r>
    </w:p>
    <w:p>
      <w:pPr>
        <w:spacing w:line="360" w:lineRule="auto"/>
        <w:ind w:firstLine="480"/>
      </w:pPr>
      <w:r>
        <w:rPr>
          <w:rFonts w:ascii="宋体" w:hAnsi="宋体" w:eastAsia="宋体"/>
          <w:b w:val="0"/>
          <w:sz w:val="24"/>
        </w:rPr>
        <w:t>- 持续开展电压短板动态跟踪分析</w:t>
      </w:r>
    </w:p>
    <w:p>
      <w:pPr>
        <w:spacing w:line="360" w:lineRule="auto"/>
        <w:ind w:firstLine="480"/>
      </w:pPr>
      <w:r>
        <w:rPr>
          <w:rFonts w:ascii="宋体" w:hAnsi="宋体" w:eastAsia="宋体"/>
          <w:b w:val="0"/>
          <w:sz w:val="24"/>
        </w:rPr>
        <w:t>- 整理项目全部过程文件和成果文件</w:t>
      </w:r>
    </w:p>
    <w:p>
      <w:pPr>
        <w:spacing w:line="360" w:lineRule="auto"/>
        <w:ind w:firstLine="480"/>
      </w:pPr>
      <w:r>
        <w:rPr>
          <w:rFonts w:ascii="宋体" w:hAnsi="宋体" w:eastAsia="宋体"/>
          <w:b w:val="0"/>
          <w:sz w:val="24"/>
        </w:rPr>
        <w:t>- 编制项目总结报告</w:t>
      </w:r>
    </w:p>
    <w:p>
      <w:pPr>
        <w:spacing w:line="360" w:lineRule="auto"/>
        <w:ind w:firstLine="480"/>
      </w:pPr>
      <w:r>
        <w:rPr>
          <w:rFonts w:ascii="宋体" w:hAnsi="宋体" w:eastAsia="宋体"/>
          <w:b w:val="0"/>
          <w:sz w:val="24"/>
        </w:rPr>
        <w:t>- 完成成果交付和项目验收</w:t>
      </w:r>
    </w:p>
    <w:p>
      <w:pPr>
        <w:pStyle w:val="Heading2"/>
      </w:pPr>
      <w:r>
        <w:rPr>
          <w:rFonts w:ascii="黑体" w:hAnsi="黑体" w:eastAsia="黑体"/>
        </w:rPr>
        <w:t>8.2 人员配置规划</w:t>
      </w:r>
    </w:p>
    <w:p>
      <w:pPr>
        <w:spacing w:line="360" w:lineRule="auto"/>
        <w:ind w:firstLine="480"/>
      </w:pPr>
      <w:r>
        <w:rPr>
          <w:rFonts w:ascii="宋体" w:hAnsi="宋体" w:eastAsia="宋体"/>
          <w:b w:val="0"/>
          <w:sz w:val="24"/>
        </w:rPr>
        <w:t>本项目拟配置以下专业技术人员团队：</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2"/>
              </w:rPr>
              <w:t>序号</w:t>
            </w:r>
          </w:p>
        </w:tc>
        <w:tc>
          <w:tcPr>
            <w:tcW w:type="dxa" w:w="1729"/>
          </w:tcPr>
          <w:p>
            <w:pPr>
              <w:jc w:val="center"/>
            </w:pPr>
            <w:r>
              <w:rPr>
                <w:rFonts w:ascii="宋体" w:hAnsi="宋体" w:eastAsia="宋体"/>
                <w:b/>
                <w:sz w:val="22"/>
              </w:rPr>
              <w:t>岗位</w:t>
            </w:r>
          </w:p>
        </w:tc>
        <w:tc>
          <w:tcPr>
            <w:tcW w:type="dxa" w:w="1729"/>
          </w:tcPr>
          <w:p>
            <w:pPr>
              <w:jc w:val="center"/>
            </w:pPr>
            <w:r>
              <w:rPr>
                <w:rFonts w:ascii="宋体" w:hAnsi="宋体" w:eastAsia="宋体"/>
                <w:b/>
                <w:sz w:val="22"/>
              </w:rPr>
              <w:t>人数</w:t>
            </w:r>
          </w:p>
        </w:tc>
        <w:tc>
          <w:tcPr>
            <w:tcW w:type="dxa" w:w="1729"/>
          </w:tcPr>
          <w:p>
            <w:pPr>
              <w:jc w:val="center"/>
            </w:pPr>
            <w:r>
              <w:rPr>
                <w:rFonts w:ascii="宋体" w:hAnsi="宋体" w:eastAsia="宋体"/>
                <w:b/>
                <w:sz w:val="22"/>
              </w:rPr>
              <w:t>主要职责</w:t>
            </w:r>
          </w:p>
        </w:tc>
        <w:tc>
          <w:tcPr>
            <w:tcW w:type="dxa" w:w="1729"/>
          </w:tcPr>
          <w:p>
            <w:pPr>
              <w:jc w:val="center"/>
            </w:pPr>
            <w:r>
              <w:rPr>
                <w:rFonts w:ascii="宋体" w:hAnsi="宋体" w:eastAsia="宋体"/>
                <w:b/>
                <w:sz w:val="22"/>
              </w:rPr>
              <w:t>资质要求</w:t>
            </w:r>
          </w:p>
        </w:tc>
      </w:tr>
      <w:tr>
        <w:tc>
          <w:tcPr>
            <w:tcW w:type="dxa" w:w="1729"/>
          </w:tcPr>
          <w:p>
            <w:r>
              <w:rPr>
                <w:rFonts w:ascii="宋体" w:hAnsi="宋体" w:eastAsia="宋体"/>
                <w:sz w:val="22"/>
              </w:rPr>
              <w:t>1</w:t>
            </w:r>
          </w:p>
        </w:tc>
        <w:tc>
          <w:tcPr>
            <w:tcW w:type="dxa" w:w="1729"/>
          </w:tcPr>
          <w:p>
            <w:r>
              <w:rPr>
                <w:rFonts w:ascii="宋体" w:hAnsi="宋体" w:eastAsia="宋体"/>
                <w:sz w:val="22"/>
              </w:rPr>
              <w:t>项目负责人</w:t>
            </w:r>
          </w:p>
        </w:tc>
        <w:tc>
          <w:tcPr>
            <w:tcW w:type="dxa" w:w="1729"/>
          </w:tcPr>
          <w:p>
            <w:r>
              <w:rPr>
                <w:rFonts w:ascii="宋体" w:hAnsi="宋体" w:eastAsia="宋体"/>
                <w:sz w:val="22"/>
              </w:rPr>
              <w:t>1</w:t>
            </w:r>
          </w:p>
        </w:tc>
        <w:tc>
          <w:tcPr>
            <w:tcW w:type="dxa" w:w="1729"/>
          </w:tcPr>
          <w:p>
            <w:r>
              <w:rPr>
                <w:rFonts w:ascii="宋体" w:hAnsi="宋体" w:eastAsia="宋体"/>
                <w:sz w:val="22"/>
              </w:rPr>
              <w:t>统筹项目管理，协调资源</w:t>
            </w:r>
          </w:p>
        </w:tc>
        <w:tc>
          <w:tcPr>
            <w:tcW w:type="dxa" w:w="1729"/>
          </w:tcPr>
          <w:p>
            <w:r>
              <w:rPr>
                <w:rFonts w:ascii="宋体" w:hAnsi="宋体" w:eastAsia="宋体"/>
                <w:sz w:val="22"/>
              </w:rPr>
              <w:t>高级工程师，10年以上电力行业经验</w:t>
            </w:r>
          </w:p>
        </w:tc>
      </w:tr>
      <w:tr>
        <w:tc>
          <w:tcPr>
            <w:tcW w:type="dxa" w:w="1729"/>
          </w:tcPr>
          <w:p>
            <w:r>
              <w:rPr>
                <w:rFonts w:ascii="宋体" w:hAnsi="宋体" w:eastAsia="宋体"/>
                <w:sz w:val="22"/>
              </w:rPr>
              <w:t>2</w:t>
            </w:r>
          </w:p>
        </w:tc>
        <w:tc>
          <w:tcPr>
            <w:tcW w:type="dxa" w:w="1729"/>
          </w:tcPr>
          <w:p>
            <w:r>
              <w:rPr>
                <w:rFonts w:ascii="宋体" w:hAnsi="宋体" w:eastAsia="宋体"/>
                <w:sz w:val="22"/>
              </w:rPr>
              <w:t>技术负责人</w:t>
            </w:r>
          </w:p>
        </w:tc>
        <w:tc>
          <w:tcPr>
            <w:tcW w:type="dxa" w:w="1729"/>
          </w:tcPr>
          <w:p>
            <w:r>
              <w:rPr>
                <w:rFonts w:ascii="宋体" w:hAnsi="宋体" w:eastAsia="宋体"/>
                <w:sz w:val="22"/>
              </w:rPr>
              <w:t>1</w:t>
            </w:r>
          </w:p>
        </w:tc>
        <w:tc>
          <w:tcPr>
            <w:tcW w:type="dxa" w:w="1729"/>
          </w:tcPr>
          <w:p>
            <w:r>
              <w:rPr>
                <w:rFonts w:ascii="宋体" w:hAnsi="宋体" w:eastAsia="宋体"/>
                <w:sz w:val="22"/>
              </w:rPr>
              <w:t>技术方案把关，质量控制</w:t>
            </w:r>
          </w:p>
        </w:tc>
        <w:tc>
          <w:tcPr>
            <w:tcW w:type="dxa" w:w="1729"/>
          </w:tcPr>
          <w:p>
            <w:r>
              <w:rPr>
                <w:rFonts w:ascii="宋体" w:hAnsi="宋体" w:eastAsia="宋体"/>
                <w:sz w:val="22"/>
              </w:rPr>
              <w:t>高级工程师，电压管理专业经验丰富</w:t>
            </w:r>
          </w:p>
        </w:tc>
      </w:tr>
      <w:tr>
        <w:tc>
          <w:tcPr>
            <w:tcW w:type="dxa" w:w="1729"/>
          </w:tcPr>
          <w:p>
            <w:r>
              <w:rPr>
                <w:rFonts w:ascii="宋体" w:hAnsi="宋体" w:eastAsia="宋体"/>
                <w:sz w:val="22"/>
              </w:rPr>
              <w:t>3</w:t>
            </w:r>
          </w:p>
        </w:tc>
        <w:tc>
          <w:tcPr>
            <w:tcW w:type="dxa" w:w="1729"/>
          </w:tcPr>
          <w:p>
            <w:r>
              <w:rPr>
                <w:rFonts w:ascii="宋体" w:hAnsi="宋体" w:eastAsia="宋体"/>
                <w:sz w:val="22"/>
              </w:rPr>
              <w:t>数据分析工程师</w:t>
            </w:r>
          </w:p>
        </w:tc>
        <w:tc>
          <w:tcPr>
            <w:tcW w:type="dxa" w:w="1729"/>
          </w:tcPr>
          <w:p>
            <w:r>
              <w:rPr>
                <w:rFonts w:ascii="宋体" w:hAnsi="宋体" w:eastAsia="宋体"/>
                <w:sz w:val="22"/>
              </w:rPr>
              <w:t>2</w:t>
            </w:r>
          </w:p>
        </w:tc>
        <w:tc>
          <w:tcPr>
            <w:tcW w:type="dxa" w:w="1729"/>
          </w:tcPr>
          <w:p>
            <w:r>
              <w:rPr>
                <w:rFonts w:ascii="宋体" w:hAnsi="宋体" w:eastAsia="宋体"/>
                <w:sz w:val="22"/>
              </w:rPr>
              <w:t>数据采集处理，统计分析</w:t>
            </w:r>
          </w:p>
        </w:tc>
        <w:tc>
          <w:tcPr>
            <w:tcW w:type="dxa" w:w="1729"/>
          </w:tcPr>
          <w:p>
            <w:r>
              <w:rPr>
                <w:rFonts w:ascii="宋体" w:hAnsi="宋体" w:eastAsia="宋体"/>
                <w:sz w:val="22"/>
              </w:rPr>
              <w:t>熟悉电力系统数据分析</w:t>
            </w:r>
          </w:p>
        </w:tc>
      </w:tr>
      <w:tr>
        <w:tc>
          <w:tcPr>
            <w:tcW w:type="dxa" w:w="1729"/>
          </w:tcPr>
          <w:p>
            <w:r>
              <w:rPr>
                <w:rFonts w:ascii="宋体" w:hAnsi="宋体" w:eastAsia="宋体"/>
                <w:sz w:val="22"/>
              </w:rPr>
              <w:t>4</w:t>
            </w:r>
          </w:p>
        </w:tc>
        <w:tc>
          <w:tcPr>
            <w:tcW w:type="dxa" w:w="1729"/>
          </w:tcPr>
          <w:p>
            <w:r>
              <w:rPr>
                <w:rFonts w:ascii="宋体" w:hAnsi="宋体" w:eastAsia="宋体"/>
                <w:sz w:val="22"/>
              </w:rPr>
              <w:t>电力系统分析师</w:t>
            </w:r>
          </w:p>
        </w:tc>
        <w:tc>
          <w:tcPr>
            <w:tcW w:type="dxa" w:w="1729"/>
          </w:tcPr>
          <w:p>
            <w:r>
              <w:rPr>
                <w:rFonts w:ascii="宋体" w:hAnsi="宋体" w:eastAsia="宋体"/>
                <w:sz w:val="22"/>
              </w:rPr>
              <w:t>2</w:t>
            </w:r>
          </w:p>
        </w:tc>
        <w:tc>
          <w:tcPr>
            <w:tcW w:type="dxa" w:w="1729"/>
          </w:tcPr>
          <w:p>
            <w:r>
              <w:rPr>
                <w:rFonts w:ascii="宋体" w:hAnsi="宋体" w:eastAsia="宋体"/>
                <w:sz w:val="22"/>
              </w:rPr>
              <w:t>潮流计算，电压分析</w:t>
            </w:r>
          </w:p>
        </w:tc>
        <w:tc>
          <w:tcPr>
            <w:tcW w:type="dxa" w:w="1729"/>
          </w:tcPr>
          <w:p>
            <w:r>
              <w:rPr>
                <w:rFonts w:ascii="宋体" w:hAnsi="宋体" w:eastAsia="宋体"/>
                <w:sz w:val="22"/>
              </w:rPr>
              <w:t>熟悉电力系统分析软件</w:t>
            </w:r>
          </w:p>
        </w:tc>
      </w:tr>
      <w:tr>
        <w:tc>
          <w:tcPr>
            <w:tcW w:type="dxa" w:w="1729"/>
          </w:tcPr>
          <w:p>
            <w:r>
              <w:rPr>
                <w:rFonts w:ascii="宋体" w:hAnsi="宋体" w:eastAsia="宋体"/>
                <w:sz w:val="22"/>
              </w:rPr>
              <w:t>5</w:t>
            </w:r>
          </w:p>
        </w:tc>
        <w:tc>
          <w:tcPr>
            <w:tcW w:type="dxa" w:w="1729"/>
          </w:tcPr>
          <w:p>
            <w:r>
              <w:rPr>
                <w:rFonts w:ascii="宋体" w:hAnsi="宋体" w:eastAsia="宋体"/>
                <w:sz w:val="22"/>
              </w:rPr>
              <w:t>仿真建模工程师</w:t>
            </w:r>
          </w:p>
        </w:tc>
        <w:tc>
          <w:tcPr>
            <w:tcW w:type="dxa" w:w="1729"/>
          </w:tcPr>
          <w:p>
            <w:r>
              <w:rPr>
                <w:rFonts w:ascii="宋体" w:hAnsi="宋体" w:eastAsia="宋体"/>
                <w:sz w:val="22"/>
              </w:rPr>
              <w:t>1</w:t>
            </w:r>
          </w:p>
        </w:tc>
        <w:tc>
          <w:tcPr>
            <w:tcW w:type="dxa" w:w="1729"/>
          </w:tcPr>
          <w:p>
            <w:r>
              <w:rPr>
                <w:rFonts w:ascii="宋体" w:hAnsi="宋体" w:eastAsia="宋体"/>
                <w:sz w:val="22"/>
              </w:rPr>
              <w:t>仿真模型建立，方案验证</w:t>
            </w:r>
          </w:p>
        </w:tc>
        <w:tc>
          <w:tcPr>
            <w:tcW w:type="dxa" w:w="1729"/>
          </w:tcPr>
          <w:p>
            <w:r>
              <w:rPr>
                <w:rFonts w:ascii="宋体" w:hAnsi="宋体" w:eastAsia="宋体"/>
                <w:sz w:val="22"/>
              </w:rPr>
              <w:t>精通电力系统仿真软件</w:t>
            </w:r>
          </w:p>
        </w:tc>
      </w:tr>
      <w:tr>
        <w:tc>
          <w:tcPr>
            <w:tcW w:type="dxa" w:w="1729"/>
          </w:tcPr>
          <w:p>
            <w:r>
              <w:rPr>
                <w:rFonts w:ascii="宋体" w:hAnsi="宋体" w:eastAsia="宋体"/>
                <w:sz w:val="22"/>
              </w:rPr>
              <w:t>6</w:t>
            </w:r>
          </w:p>
        </w:tc>
        <w:tc>
          <w:tcPr>
            <w:tcW w:type="dxa" w:w="1729"/>
          </w:tcPr>
          <w:p>
            <w:r>
              <w:rPr>
                <w:rFonts w:ascii="宋体" w:hAnsi="宋体" w:eastAsia="宋体"/>
                <w:sz w:val="22"/>
              </w:rPr>
              <w:t>现场勘查工程师</w:t>
            </w:r>
          </w:p>
        </w:tc>
        <w:tc>
          <w:tcPr>
            <w:tcW w:type="dxa" w:w="1729"/>
          </w:tcPr>
          <w:p>
            <w:r>
              <w:rPr>
                <w:rFonts w:ascii="宋体" w:hAnsi="宋体" w:eastAsia="宋体"/>
                <w:sz w:val="22"/>
              </w:rPr>
              <w:t>2</w:t>
            </w:r>
          </w:p>
        </w:tc>
        <w:tc>
          <w:tcPr>
            <w:tcW w:type="dxa" w:w="1729"/>
          </w:tcPr>
          <w:p>
            <w:r>
              <w:rPr>
                <w:rFonts w:ascii="宋体" w:hAnsi="宋体" w:eastAsia="宋体"/>
                <w:sz w:val="22"/>
              </w:rPr>
              <w:t>现场勘查，问题诊断</w:t>
            </w:r>
          </w:p>
        </w:tc>
        <w:tc>
          <w:tcPr>
            <w:tcW w:type="dxa" w:w="1729"/>
          </w:tcPr>
          <w:p>
            <w:r>
              <w:rPr>
                <w:rFonts w:ascii="宋体" w:hAnsi="宋体" w:eastAsia="宋体"/>
                <w:sz w:val="22"/>
              </w:rPr>
              <w:t>具备配电网运维经验</w:t>
            </w:r>
          </w:p>
        </w:tc>
      </w:tr>
      <w:tr>
        <w:tc>
          <w:tcPr>
            <w:tcW w:type="dxa" w:w="1729"/>
          </w:tcPr>
          <w:p>
            <w:r>
              <w:rPr>
                <w:rFonts w:ascii="宋体" w:hAnsi="宋体" w:eastAsia="宋体"/>
                <w:sz w:val="22"/>
              </w:rPr>
              <w:t>7</w:t>
            </w:r>
          </w:p>
        </w:tc>
        <w:tc>
          <w:tcPr>
            <w:tcW w:type="dxa" w:w="1729"/>
          </w:tcPr>
          <w:p>
            <w:r>
              <w:rPr>
                <w:rFonts w:ascii="宋体" w:hAnsi="宋体" w:eastAsia="宋体"/>
                <w:sz w:val="22"/>
              </w:rPr>
              <w:t>方案编制工程师</w:t>
            </w:r>
          </w:p>
        </w:tc>
        <w:tc>
          <w:tcPr>
            <w:tcW w:type="dxa" w:w="1729"/>
          </w:tcPr>
          <w:p>
            <w:r>
              <w:rPr>
                <w:rFonts w:ascii="宋体" w:hAnsi="宋体" w:eastAsia="宋体"/>
                <w:sz w:val="22"/>
              </w:rPr>
              <w:t>2</w:t>
            </w:r>
          </w:p>
        </w:tc>
        <w:tc>
          <w:tcPr>
            <w:tcW w:type="dxa" w:w="1729"/>
          </w:tcPr>
          <w:p>
            <w:r>
              <w:rPr>
                <w:rFonts w:ascii="宋体" w:hAnsi="宋体" w:eastAsia="宋体"/>
                <w:sz w:val="22"/>
              </w:rPr>
              <w:t>治理方案编制，报告撰写</w:t>
            </w:r>
          </w:p>
        </w:tc>
        <w:tc>
          <w:tcPr>
            <w:tcW w:type="dxa" w:w="1729"/>
          </w:tcPr>
          <w:p>
            <w:r>
              <w:rPr>
                <w:rFonts w:ascii="宋体" w:hAnsi="宋体" w:eastAsia="宋体"/>
                <w:sz w:val="22"/>
              </w:rPr>
              <w:t>具备电压治理项目经验</w:t>
            </w:r>
          </w:p>
        </w:tc>
      </w:tr>
      <w:tr>
        <w:tc>
          <w:tcPr>
            <w:tcW w:type="dxa" w:w="1729"/>
          </w:tcPr>
          <w:p>
            <w:r>
              <w:rPr>
                <w:rFonts w:ascii="宋体" w:hAnsi="宋体" w:eastAsia="宋体"/>
                <w:sz w:val="22"/>
              </w:rPr>
              <w:t>8</w:t>
            </w:r>
          </w:p>
        </w:tc>
        <w:tc>
          <w:tcPr>
            <w:tcW w:type="dxa" w:w="1729"/>
          </w:tcPr>
          <w:p>
            <w:r>
              <w:rPr>
                <w:rFonts w:ascii="宋体" w:hAnsi="宋体" w:eastAsia="宋体"/>
                <w:sz w:val="22"/>
              </w:rPr>
              <w:t>项目协调员</w:t>
            </w:r>
          </w:p>
        </w:tc>
        <w:tc>
          <w:tcPr>
            <w:tcW w:type="dxa" w:w="1729"/>
          </w:tcPr>
          <w:p>
            <w:r>
              <w:rPr>
                <w:rFonts w:ascii="宋体" w:hAnsi="宋体" w:eastAsia="宋体"/>
                <w:sz w:val="22"/>
              </w:rPr>
              <w:t>1</w:t>
            </w:r>
          </w:p>
        </w:tc>
        <w:tc>
          <w:tcPr>
            <w:tcW w:type="dxa" w:w="1729"/>
          </w:tcPr>
          <w:p>
            <w:r>
              <w:rPr>
                <w:rFonts w:ascii="宋体" w:hAnsi="宋体" w:eastAsia="宋体"/>
                <w:sz w:val="22"/>
              </w:rPr>
              <w:t>联络沟通，进度跟踪</w:t>
            </w:r>
          </w:p>
        </w:tc>
        <w:tc>
          <w:tcPr>
            <w:tcW w:type="dxa" w:w="1729"/>
          </w:tcPr>
          <w:p>
            <w:r>
              <w:rPr>
                <w:rFonts w:ascii="宋体" w:hAnsi="宋体" w:eastAsia="宋体"/>
                <w:sz w:val="22"/>
              </w:rPr>
              <w:t>沟通协调能力强</w:t>
            </w:r>
          </w:p>
        </w:tc>
      </w:tr>
    </w:tbl>
    <w:p/>
    <w:p>
      <w:pPr>
        <w:pStyle w:val="Heading2"/>
      </w:pPr>
      <w:r>
        <w:rPr>
          <w:rFonts w:ascii="黑体" w:hAnsi="黑体" w:eastAsia="黑体"/>
        </w:rPr>
        <w:t>8.3 质量保障规划</w:t>
      </w:r>
    </w:p>
    <w:p>
      <w:pPr>
        <w:spacing w:line="360" w:lineRule="auto"/>
        <w:ind w:firstLine="480"/>
      </w:pPr>
      <w:r>
        <w:rPr>
          <w:rFonts w:ascii="宋体" w:hAnsi="宋体" w:eastAsia="宋体"/>
          <w:b w:val="0"/>
          <w:sz w:val="24"/>
        </w:rPr>
        <w:t>为确保项目成果质量，制定以下质量保障措施：</w:t>
      </w:r>
    </w:p>
    <w:p>
      <w:pPr>
        <w:spacing w:line="360" w:lineRule="auto"/>
        <w:ind w:firstLine="480"/>
      </w:pPr>
      <w:r>
        <w:rPr>
          <w:rFonts w:ascii="宋体" w:hAnsi="宋体" w:eastAsia="宋体"/>
          <w:b w:val="0"/>
          <w:sz w:val="24"/>
        </w:rPr>
        <w:t>（1）建立三级审核制度。所有技术成果文件须经编制人自检、技术负责人审核、项目负责人审定三级审核后方可提交。</w:t>
      </w:r>
    </w:p>
    <w:p>
      <w:pPr>
        <w:spacing w:line="360" w:lineRule="auto"/>
        <w:ind w:firstLine="480"/>
      </w:pPr>
      <w:r>
        <w:rPr>
          <w:rFonts w:ascii="宋体" w:hAnsi="宋体" w:eastAsia="宋体"/>
          <w:b w:val="0"/>
          <w:sz w:val="24"/>
        </w:rPr>
        <w:t>（2）实施阶段性评审。每个阶段结束时，组织项目团队进行阶段性成果评审，确认工作质量达到要求后方可进入下一阶段。</w:t>
      </w:r>
    </w:p>
    <w:p>
      <w:pPr>
        <w:spacing w:line="360" w:lineRule="auto"/>
        <w:ind w:firstLine="480"/>
      </w:pPr>
      <w:r>
        <w:rPr>
          <w:rFonts w:ascii="宋体" w:hAnsi="宋体" w:eastAsia="宋体"/>
          <w:b w:val="0"/>
          <w:sz w:val="24"/>
        </w:rPr>
        <w:t>（3）建立问题跟踪闭环机制。对工作过程中发现的问题建立台账，明确整改要求和完成时限，确保问题逐一闭环。</w:t>
      </w:r>
    </w:p>
    <w:p>
      <w:pPr>
        <w:spacing w:line="360" w:lineRule="auto"/>
        <w:ind w:firstLine="480"/>
      </w:pPr>
      <w:r>
        <w:rPr>
          <w:rFonts w:ascii="宋体" w:hAnsi="宋体" w:eastAsia="宋体"/>
          <w:b w:val="0"/>
          <w:sz w:val="24"/>
        </w:rPr>
        <w:t>（4）开展客户满意度调查。定期征求博尔塔拉供电公司对工作质量的意见和建议，及时改进工作方法和服务方式。</w:t>
      </w:r>
    </w:p>
    <w:p>
      <w:r>
        <w:br w:type="page"/>
      </w:r>
    </w:p>
    <w:p>
      <w:pPr>
        <w:pStyle w:val="Heading1"/>
      </w:pPr>
      <w:r>
        <w:rPr>
          <w:rFonts w:ascii="黑体" w:hAnsi="黑体" w:eastAsia="黑体"/>
        </w:rPr>
        <w:t>九、项目实施规模、范围</w:t>
      </w:r>
    </w:p>
    <w:p>
      <w:pPr>
        <w:pStyle w:val="Heading2"/>
      </w:pPr>
      <w:r>
        <w:rPr>
          <w:rFonts w:ascii="黑体" w:hAnsi="黑体" w:eastAsia="黑体"/>
        </w:rPr>
        <w:t>9.1 项目实施规模</w:t>
      </w:r>
    </w:p>
    <w:p>
      <w:pPr>
        <w:spacing w:line="360" w:lineRule="auto"/>
        <w:ind w:firstLine="480"/>
      </w:pPr>
      <w:r>
        <w:rPr>
          <w:rFonts w:ascii="宋体" w:hAnsi="宋体" w:eastAsia="宋体"/>
          <w:b w:val="0"/>
          <w:sz w:val="24"/>
        </w:rPr>
        <w:t>本项目的实施规模覆盖博尔塔拉蒙古自治州全部供电区域，涉及博尔塔拉供电公司所辖全部电网设施和用电客户。具体实施规模如下：</w:t>
      </w:r>
    </w:p>
    <w:p>
      <w:pPr>
        <w:spacing w:line="360" w:lineRule="auto"/>
        <w:ind w:firstLine="480"/>
      </w:pPr>
      <w:r>
        <w:rPr>
          <w:rFonts w:ascii="宋体" w:hAnsi="宋体" w:eastAsia="宋体"/>
          <w:b w:val="0"/>
          <w:sz w:val="24"/>
        </w:rPr>
        <w:t>（1）变电站层面：覆盖博州地区全部35kV及以上变电站，包括各电压等级变电站的母线电压监测、有载调压控制、无功补偿配置等方面的分析评估。</w:t>
      </w:r>
    </w:p>
    <w:p>
      <w:pPr>
        <w:spacing w:line="360" w:lineRule="auto"/>
        <w:ind w:firstLine="480"/>
      </w:pPr>
      <w:r>
        <w:rPr>
          <w:rFonts w:ascii="宋体" w:hAnsi="宋体" w:eastAsia="宋体"/>
          <w:b w:val="0"/>
          <w:sz w:val="24"/>
        </w:rPr>
        <w:t>（2）线路层面：覆盖博州地区全部10kV配电线路，包括各线路的电压分布、负荷特性、网架结构、无功配置等方面的深度分析。</w:t>
      </w:r>
    </w:p>
    <w:p>
      <w:pPr>
        <w:spacing w:line="360" w:lineRule="auto"/>
        <w:ind w:firstLine="480"/>
      </w:pPr>
      <w:r>
        <w:rPr>
          <w:rFonts w:ascii="宋体" w:hAnsi="宋体" w:eastAsia="宋体"/>
          <w:b w:val="0"/>
          <w:sz w:val="24"/>
        </w:rPr>
        <w:t>（3）台区层面：覆盖博州地区全部配电台区（公用台区和专用台区），重点对存在电压质量问题的台区进行深度诊断和方案制定。</w:t>
      </w:r>
    </w:p>
    <w:p>
      <w:pPr>
        <w:spacing w:line="360" w:lineRule="auto"/>
        <w:ind w:firstLine="480"/>
      </w:pPr>
      <w:r>
        <w:rPr>
          <w:rFonts w:ascii="宋体" w:hAnsi="宋体" w:eastAsia="宋体"/>
          <w:b w:val="0"/>
          <w:sz w:val="24"/>
        </w:rPr>
        <w:t>（4）用户层面：覆盖博州地区全口径用电用户，重点关注低电压用户和电压越限用户的分布和治理。</w:t>
      </w:r>
    </w:p>
    <w:p>
      <w:pPr>
        <w:pStyle w:val="Heading2"/>
      </w:pPr>
      <w:r>
        <w:rPr>
          <w:rFonts w:ascii="黑体" w:hAnsi="黑体" w:eastAsia="黑体"/>
        </w:rPr>
        <w:t>9.2 项目实施范围</w:t>
      </w:r>
    </w:p>
    <w:p>
      <w:pPr>
        <w:spacing w:line="360" w:lineRule="auto"/>
        <w:ind w:firstLine="480"/>
      </w:pPr>
      <w:r>
        <w:rPr>
          <w:rFonts w:ascii="宋体" w:hAnsi="宋体" w:eastAsia="宋体"/>
          <w:b w:val="0"/>
          <w:sz w:val="24"/>
        </w:rPr>
        <w:t>本项目的实施范围从地域维度和业务维度两个方面进行界定：</w:t>
      </w:r>
    </w:p>
    <w:p>
      <w:pPr>
        <w:spacing w:line="360" w:lineRule="auto"/>
        <w:ind w:firstLine="480"/>
      </w:pPr>
      <w:r>
        <w:rPr>
          <w:rFonts w:ascii="宋体" w:hAnsi="宋体" w:eastAsia="宋体"/>
          <w:b/>
          <w:sz w:val="24"/>
        </w:rPr>
        <w:t>9.2.1 地域范围</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序号</w:t>
            </w:r>
          </w:p>
        </w:tc>
        <w:tc>
          <w:tcPr>
            <w:tcW w:type="dxa" w:w="2161"/>
          </w:tcPr>
          <w:p>
            <w:pPr>
              <w:jc w:val="center"/>
            </w:pPr>
            <w:r>
              <w:rPr>
                <w:rFonts w:ascii="宋体" w:hAnsi="宋体" w:eastAsia="宋体"/>
                <w:b/>
                <w:sz w:val="22"/>
              </w:rPr>
              <w:t>区域</w:t>
            </w:r>
          </w:p>
        </w:tc>
        <w:tc>
          <w:tcPr>
            <w:tcW w:type="dxa" w:w="2161"/>
          </w:tcPr>
          <w:p>
            <w:pPr>
              <w:jc w:val="center"/>
            </w:pPr>
            <w:r>
              <w:rPr>
                <w:rFonts w:ascii="宋体" w:hAnsi="宋体" w:eastAsia="宋体"/>
                <w:b/>
                <w:sz w:val="22"/>
              </w:rPr>
              <w:t>覆盖范围</w:t>
            </w:r>
          </w:p>
        </w:tc>
        <w:tc>
          <w:tcPr>
            <w:tcW w:type="dxa" w:w="2161"/>
          </w:tcPr>
          <w:p>
            <w:pPr>
              <w:jc w:val="center"/>
            </w:pPr>
            <w:r>
              <w:rPr>
                <w:rFonts w:ascii="宋体" w:hAnsi="宋体" w:eastAsia="宋体"/>
                <w:b/>
                <w:sz w:val="22"/>
              </w:rPr>
              <w:t>重点内容</w:t>
            </w:r>
          </w:p>
        </w:tc>
      </w:tr>
      <w:tr>
        <w:tc>
          <w:tcPr>
            <w:tcW w:type="dxa" w:w="2161"/>
          </w:tcPr>
          <w:p>
            <w:r>
              <w:rPr>
                <w:rFonts w:ascii="宋体" w:hAnsi="宋体" w:eastAsia="宋体"/>
                <w:sz w:val="22"/>
              </w:rPr>
              <w:t>1</w:t>
            </w:r>
          </w:p>
        </w:tc>
        <w:tc>
          <w:tcPr>
            <w:tcW w:type="dxa" w:w="2161"/>
          </w:tcPr>
          <w:p>
            <w:r>
              <w:rPr>
                <w:rFonts w:ascii="宋体" w:hAnsi="宋体" w:eastAsia="宋体"/>
                <w:sz w:val="22"/>
              </w:rPr>
              <w:t>博乐市</w:t>
            </w:r>
          </w:p>
        </w:tc>
        <w:tc>
          <w:tcPr>
            <w:tcW w:type="dxa" w:w="2161"/>
          </w:tcPr>
          <w:p>
            <w:r>
              <w:rPr>
                <w:rFonts w:ascii="宋体" w:hAnsi="宋体" w:eastAsia="宋体"/>
                <w:sz w:val="22"/>
              </w:rPr>
              <w:t>博乐市全部供电区域</w:t>
            </w:r>
          </w:p>
        </w:tc>
        <w:tc>
          <w:tcPr>
            <w:tcW w:type="dxa" w:w="2161"/>
          </w:tcPr>
          <w:p>
            <w:r>
              <w:rPr>
                <w:rFonts w:ascii="宋体" w:hAnsi="宋体" w:eastAsia="宋体"/>
                <w:sz w:val="22"/>
              </w:rPr>
              <w:t>指数短板变电站治理、城网电压优化</w:t>
            </w:r>
          </w:p>
        </w:tc>
      </w:tr>
      <w:tr>
        <w:tc>
          <w:tcPr>
            <w:tcW w:type="dxa" w:w="2161"/>
          </w:tcPr>
          <w:p>
            <w:r>
              <w:rPr>
                <w:rFonts w:ascii="宋体" w:hAnsi="宋体" w:eastAsia="宋体"/>
                <w:sz w:val="22"/>
              </w:rPr>
              <w:t>2</w:t>
            </w:r>
          </w:p>
        </w:tc>
        <w:tc>
          <w:tcPr>
            <w:tcW w:type="dxa" w:w="2161"/>
          </w:tcPr>
          <w:p>
            <w:r>
              <w:rPr>
                <w:rFonts w:ascii="宋体" w:hAnsi="宋体" w:eastAsia="宋体"/>
                <w:sz w:val="22"/>
              </w:rPr>
              <w:t>阿拉山口市</w:t>
            </w:r>
          </w:p>
        </w:tc>
        <w:tc>
          <w:tcPr>
            <w:tcW w:type="dxa" w:w="2161"/>
          </w:tcPr>
          <w:p>
            <w:r>
              <w:rPr>
                <w:rFonts w:ascii="宋体" w:hAnsi="宋体" w:eastAsia="宋体"/>
                <w:sz w:val="22"/>
              </w:rPr>
              <w:t>阿拉山口市全部供电区域</w:t>
            </w:r>
          </w:p>
        </w:tc>
        <w:tc>
          <w:tcPr>
            <w:tcW w:type="dxa" w:w="2161"/>
          </w:tcPr>
          <w:p>
            <w:r>
              <w:rPr>
                <w:rFonts w:ascii="宋体" w:hAnsi="宋体" w:eastAsia="宋体"/>
                <w:sz w:val="22"/>
              </w:rPr>
              <w:t>边境口岸供电电压保障、负荷波动应对</w:t>
            </w:r>
          </w:p>
        </w:tc>
      </w:tr>
      <w:tr>
        <w:tc>
          <w:tcPr>
            <w:tcW w:type="dxa" w:w="2161"/>
          </w:tcPr>
          <w:p>
            <w:r>
              <w:rPr>
                <w:rFonts w:ascii="宋体" w:hAnsi="宋体" w:eastAsia="宋体"/>
                <w:sz w:val="22"/>
              </w:rPr>
              <w:t>3</w:t>
            </w:r>
          </w:p>
        </w:tc>
        <w:tc>
          <w:tcPr>
            <w:tcW w:type="dxa" w:w="2161"/>
          </w:tcPr>
          <w:p>
            <w:r>
              <w:rPr>
                <w:rFonts w:ascii="宋体" w:hAnsi="宋体" w:eastAsia="宋体"/>
                <w:sz w:val="22"/>
              </w:rPr>
              <w:t>温泉县</w:t>
            </w:r>
          </w:p>
        </w:tc>
        <w:tc>
          <w:tcPr>
            <w:tcW w:type="dxa" w:w="2161"/>
          </w:tcPr>
          <w:p>
            <w:r>
              <w:rPr>
                <w:rFonts w:ascii="宋体" w:hAnsi="宋体" w:eastAsia="宋体"/>
                <w:sz w:val="22"/>
              </w:rPr>
              <w:t>温泉县全部供电区域</w:t>
            </w:r>
          </w:p>
        </w:tc>
        <w:tc>
          <w:tcPr>
            <w:tcW w:type="dxa" w:w="2161"/>
          </w:tcPr>
          <w:p>
            <w:r>
              <w:rPr>
                <w:rFonts w:ascii="宋体" w:hAnsi="宋体" w:eastAsia="宋体"/>
                <w:sz w:val="22"/>
              </w:rPr>
              <w:t>农牧区低电压治理、供电半径优化</w:t>
            </w:r>
          </w:p>
        </w:tc>
      </w:tr>
      <w:tr>
        <w:tc>
          <w:tcPr>
            <w:tcW w:type="dxa" w:w="2161"/>
          </w:tcPr>
          <w:p>
            <w:r>
              <w:rPr>
                <w:rFonts w:ascii="宋体" w:hAnsi="宋体" w:eastAsia="宋体"/>
                <w:sz w:val="22"/>
              </w:rPr>
              <w:t>4</w:t>
            </w:r>
          </w:p>
        </w:tc>
        <w:tc>
          <w:tcPr>
            <w:tcW w:type="dxa" w:w="2161"/>
          </w:tcPr>
          <w:p>
            <w:r>
              <w:rPr>
                <w:rFonts w:ascii="宋体" w:hAnsi="宋体" w:eastAsia="宋体"/>
                <w:sz w:val="22"/>
              </w:rPr>
              <w:t>精河县</w:t>
            </w:r>
          </w:p>
        </w:tc>
        <w:tc>
          <w:tcPr>
            <w:tcW w:type="dxa" w:w="2161"/>
          </w:tcPr>
          <w:p>
            <w:r>
              <w:rPr>
                <w:rFonts w:ascii="宋体" w:hAnsi="宋体" w:eastAsia="宋体"/>
                <w:sz w:val="22"/>
              </w:rPr>
              <w:t>精河县全部供电区域</w:t>
            </w:r>
          </w:p>
        </w:tc>
        <w:tc>
          <w:tcPr>
            <w:tcW w:type="dxa" w:w="2161"/>
          </w:tcPr>
          <w:p>
            <w:r>
              <w:rPr>
                <w:rFonts w:ascii="宋体" w:hAnsi="宋体" w:eastAsia="宋体"/>
                <w:sz w:val="22"/>
              </w:rPr>
              <w:t>重过载台区治理、负荷均衡配置</w:t>
            </w:r>
          </w:p>
        </w:tc>
      </w:tr>
    </w:tbl>
    <w:p/>
    <w:p>
      <w:pPr>
        <w:spacing w:line="360" w:lineRule="auto"/>
        <w:ind w:firstLine="480"/>
      </w:pPr>
      <w:r>
        <w:rPr>
          <w:rFonts w:ascii="宋体" w:hAnsi="宋体" w:eastAsia="宋体"/>
          <w:b/>
          <w:sz w:val="24"/>
        </w:rPr>
        <w:t>9.2.2 业务范围</w:t>
      </w:r>
    </w:p>
    <w:p>
      <w:pPr>
        <w:spacing w:line="360" w:lineRule="auto"/>
        <w:ind w:firstLine="480"/>
      </w:pPr>
      <w:r>
        <w:rPr>
          <w:rFonts w:ascii="宋体" w:hAnsi="宋体" w:eastAsia="宋体"/>
          <w:b w:val="0"/>
          <w:sz w:val="24"/>
        </w:rPr>
        <w:t>本项目的业务范围包括以下内容：</w:t>
      </w:r>
    </w:p>
    <w:p>
      <w:pPr>
        <w:spacing w:line="360" w:lineRule="auto"/>
        <w:ind w:firstLine="480"/>
      </w:pPr>
      <w:r>
        <w:rPr>
          <w:rFonts w:ascii="宋体" w:hAnsi="宋体" w:eastAsia="宋体"/>
          <w:b w:val="0"/>
          <w:sz w:val="24"/>
        </w:rPr>
        <w:t>（1）电压数据分析业务</w:t>
      </w:r>
    </w:p>
    <w:p>
      <w:pPr>
        <w:spacing w:line="360" w:lineRule="auto"/>
        <w:ind w:firstLine="480"/>
      </w:pPr>
      <w:r>
        <w:rPr>
          <w:rFonts w:ascii="宋体" w:hAnsi="宋体" w:eastAsia="宋体"/>
          <w:b w:val="0"/>
          <w:sz w:val="24"/>
        </w:rPr>
        <w:t>包括全口径电压数据采集、多源数据比对、数据质量核查、偏差分析等。涉及的数据系统包括：用电信息采集系统、SCADA系统、配电自动化系统、PMS系统等。</w:t>
      </w:r>
    </w:p>
    <w:p>
      <w:pPr>
        <w:spacing w:line="360" w:lineRule="auto"/>
        <w:ind w:firstLine="480"/>
      </w:pPr>
      <w:r>
        <w:rPr>
          <w:rFonts w:ascii="宋体" w:hAnsi="宋体" w:eastAsia="宋体"/>
          <w:b w:val="0"/>
          <w:sz w:val="24"/>
        </w:rPr>
        <w:t>（2）电压质量诊断业务</w:t>
      </w:r>
    </w:p>
    <w:p>
      <w:pPr>
        <w:spacing w:line="360" w:lineRule="auto"/>
        <w:ind w:firstLine="480"/>
      </w:pPr>
      <w:r>
        <w:rPr>
          <w:rFonts w:ascii="宋体" w:hAnsi="宋体" w:eastAsia="宋体"/>
          <w:b w:val="0"/>
          <w:sz w:val="24"/>
        </w:rPr>
        <w:t>包括变电站电压调节能力评估、线路电压分布分析、台区运行状况评估、用户电压合格率统计等。覆盖从电源侧到用户侧的全链条电压质量诊断。</w:t>
      </w:r>
    </w:p>
    <w:p>
      <w:pPr>
        <w:spacing w:line="360" w:lineRule="auto"/>
        <w:ind w:firstLine="480"/>
      </w:pPr>
      <w:r>
        <w:rPr>
          <w:rFonts w:ascii="宋体" w:hAnsi="宋体" w:eastAsia="宋体"/>
          <w:b w:val="0"/>
          <w:sz w:val="24"/>
        </w:rPr>
        <w:t>（3）治理方案编制业务</w:t>
      </w:r>
    </w:p>
    <w:p>
      <w:pPr>
        <w:spacing w:line="360" w:lineRule="auto"/>
        <w:ind w:firstLine="480"/>
      </w:pPr>
      <w:r>
        <w:rPr>
          <w:rFonts w:ascii="宋体" w:hAnsi="宋体" w:eastAsia="宋体"/>
          <w:b w:val="0"/>
          <w:sz w:val="24"/>
        </w:rPr>
        <w:t>包括管理措施制定、运维措施制定、项目措施制定、调压装置配置方案编制、无功补偿方案编制等。涵盖短期、中期、长期各时段的治理方案。</w:t>
      </w:r>
    </w:p>
    <w:p>
      <w:pPr>
        <w:spacing w:line="360" w:lineRule="auto"/>
        <w:ind w:firstLine="480"/>
      </w:pPr>
      <w:r>
        <w:rPr>
          <w:rFonts w:ascii="宋体" w:hAnsi="宋体" w:eastAsia="宋体"/>
          <w:b w:val="0"/>
          <w:sz w:val="24"/>
        </w:rPr>
        <w:t>（4）仿真分析业务</w:t>
      </w:r>
    </w:p>
    <w:p>
      <w:pPr>
        <w:spacing w:line="360" w:lineRule="auto"/>
        <w:ind w:firstLine="480"/>
      </w:pPr>
      <w:r>
        <w:rPr>
          <w:rFonts w:ascii="宋体" w:hAnsi="宋体" w:eastAsia="宋体"/>
          <w:b w:val="0"/>
          <w:sz w:val="24"/>
        </w:rPr>
        <w:t>包括配电网仿真模型建立、模型参数校核、方案效果模拟、多方案比选分析等。</w:t>
      </w:r>
    </w:p>
    <w:p>
      <w:pPr>
        <w:spacing w:line="360" w:lineRule="auto"/>
        <w:ind w:firstLine="480"/>
      </w:pPr>
      <w:r>
        <w:rPr>
          <w:rFonts w:ascii="宋体" w:hAnsi="宋体" w:eastAsia="宋体"/>
          <w:b w:val="0"/>
          <w:sz w:val="24"/>
        </w:rPr>
        <w:t>（5）现场勘查业务</w:t>
      </w:r>
    </w:p>
    <w:p>
      <w:pPr>
        <w:spacing w:line="360" w:lineRule="auto"/>
        <w:ind w:firstLine="480"/>
      </w:pPr>
      <w:r>
        <w:rPr>
          <w:rFonts w:ascii="宋体" w:hAnsi="宋体" w:eastAsia="宋体"/>
          <w:b w:val="0"/>
          <w:sz w:val="24"/>
        </w:rPr>
        <w:t>包括典型台区现场勘查、设备状况检查、负荷特性测试、电压监测验证等。</w:t>
      </w:r>
    </w:p>
    <w:p>
      <w:pPr>
        <w:spacing w:line="360" w:lineRule="auto"/>
        <w:ind w:firstLine="480"/>
      </w:pPr>
      <w:r>
        <w:rPr>
          <w:rFonts w:ascii="宋体" w:hAnsi="宋体" w:eastAsia="宋体"/>
          <w:b w:val="0"/>
          <w:sz w:val="24"/>
        </w:rPr>
        <w:t>（6）技术支持业务</w:t>
      </w:r>
    </w:p>
    <w:p>
      <w:pPr>
        <w:spacing w:line="360" w:lineRule="auto"/>
        <w:ind w:firstLine="480"/>
      </w:pPr>
      <w:r>
        <w:rPr>
          <w:rFonts w:ascii="宋体" w:hAnsi="宋体" w:eastAsia="宋体"/>
          <w:b w:val="0"/>
          <w:sz w:val="24"/>
        </w:rPr>
        <w:t>包括"四不两直"现场检查支持、检查报告编制、技术咨询、成果交付等。</w:t>
      </w:r>
    </w:p>
    <w:p>
      <w:pPr>
        <w:pStyle w:val="Heading2"/>
      </w:pPr>
      <w:r>
        <w:rPr>
          <w:rFonts w:ascii="黑体" w:hAnsi="黑体" w:eastAsia="黑体"/>
        </w:rPr>
        <w:t>9.3 实施边界说明</w:t>
      </w:r>
    </w:p>
    <w:p>
      <w:pPr>
        <w:spacing w:line="360" w:lineRule="auto"/>
        <w:ind w:firstLine="480"/>
      </w:pPr>
      <w:r>
        <w:rPr>
          <w:rFonts w:ascii="宋体" w:hAnsi="宋体" w:eastAsia="宋体"/>
          <w:b w:val="0"/>
          <w:sz w:val="24"/>
        </w:rPr>
        <w:t>为确保项目实施的针对性和可操作性，对项目实施边界作如下说明：</w:t>
      </w:r>
    </w:p>
    <w:p>
      <w:pPr>
        <w:spacing w:line="360" w:lineRule="auto"/>
        <w:ind w:firstLine="480"/>
      </w:pPr>
      <w:r>
        <w:rPr>
          <w:rFonts w:ascii="宋体" w:hAnsi="宋体" w:eastAsia="宋体"/>
          <w:b w:val="0"/>
          <w:sz w:val="24"/>
        </w:rPr>
        <w:t>（1）本项目为技术服务项目，负责电压问题的分析诊断和方案制定，治理方案的具体实施由博尔塔拉供电公司按照方案要求组织实施。</w:t>
      </w:r>
    </w:p>
    <w:p>
      <w:pPr>
        <w:spacing w:line="360" w:lineRule="auto"/>
        <w:ind w:firstLine="480"/>
      </w:pPr>
      <w:r>
        <w:rPr>
          <w:rFonts w:ascii="宋体" w:hAnsi="宋体" w:eastAsia="宋体"/>
          <w:b w:val="0"/>
          <w:sz w:val="24"/>
        </w:rPr>
        <w:t>（2）项目涉及的数据和资料由博尔塔拉供电公司负责提供，项目团队负责数据的分析处理和应用。</w:t>
      </w:r>
    </w:p>
    <w:p>
      <w:pPr>
        <w:spacing w:line="360" w:lineRule="auto"/>
        <w:ind w:firstLine="480"/>
      </w:pPr>
      <w:r>
        <w:rPr>
          <w:rFonts w:ascii="宋体" w:hAnsi="宋体" w:eastAsia="宋体"/>
          <w:b w:val="0"/>
          <w:sz w:val="24"/>
        </w:rPr>
        <w:t>（3）项目实施过程中涉及的现场勘查、检测等工作，需由博尔塔拉供电公司配合安排相关工作条件和安全保障。</w:t>
      </w:r>
    </w:p>
    <w:p>
      <w:pPr>
        <w:spacing w:line="360" w:lineRule="auto"/>
        <w:ind w:firstLine="480"/>
      </w:pPr>
      <w:r>
        <w:rPr>
          <w:rFonts w:ascii="宋体" w:hAnsi="宋体" w:eastAsia="宋体"/>
          <w:b w:val="0"/>
          <w:sz w:val="24"/>
        </w:rPr>
        <w:t>（4）项目成果以技术报告、分析报告、治理方案等文字成果为主要交付形式。</w:t>
      </w:r>
    </w:p>
    <w:p>
      <w:r>
        <w:br w:type="page"/>
      </w:r>
    </w:p>
    <w:p>
      <w:pPr>
        <w:pStyle w:val="Heading1"/>
      </w:pPr>
      <w:r>
        <w:rPr>
          <w:rFonts w:ascii="黑体" w:hAnsi="黑体" w:eastAsia="黑体"/>
        </w:rPr>
        <w:t>十、项目建设依据</w:t>
      </w:r>
    </w:p>
    <w:p>
      <w:pPr>
        <w:pStyle w:val="Heading2"/>
      </w:pPr>
      <w:r>
        <w:rPr>
          <w:rFonts w:ascii="黑体" w:hAnsi="黑体" w:eastAsia="黑体"/>
        </w:rPr>
        <w:t>10.1 国家法律法规</w:t>
      </w:r>
    </w:p>
    <w:p>
      <w:pPr>
        <w:spacing w:line="360" w:lineRule="auto"/>
        <w:ind w:firstLine="480"/>
      </w:pPr>
      <w:r>
        <w:rPr>
          <w:rFonts w:ascii="宋体" w:hAnsi="宋体" w:eastAsia="宋体"/>
          <w:b w:val="0"/>
          <w:sz w:val="24"/>
        </w:rPr>
        <w:t>（1）《中华人民共和国电力法》</w:t>
      </w:r>
    </w:p>
    <w:p>
      <w:pPr>
        <w:spacing w:line="360" w:lineRule="auto"/>
        <w:ind w:firstLine="480"/>
      </w:pPr>
      <w:r>
        <w:rPr>
          <w:rFonts w:ascii="宋体" w:hAnsi="宋体" w:eastAsia="宋体"/>
          <w:b w:val="0"/>
          <w:sz w:val="24"/>
        </w:rPr>
        <w:t>该法明确规定供电企业应当保证供电质量，供电电压应当符合国家标准，为本项目开展电压质量提升工作提供了法律依据。</w:t>
      </w:r>
    </w:p>
    <w:p>
      <w:pPr>
        <w:spacing w:line="360" w:lineRule="auto"/>
        <w:ind w:firstLine="480"/>
      </w:pPr>
      <w:r>
        <w:rPr>
          <w:rFonts w:ascii="宋体" w:hAnsi="宋体" w:eastAsia="宋体"/>
          <w:b w:val="0"/>
          <w:sz w:val="24"/>
        </w:rPr>
        <w:t>（2）《电力供应与使用条例》</w:t>
      </w:r>
    </w:p>
    <w:p>
      <w:pPr>
        <w:spacing w:line="360" w:lineRule="auto"/>
        <w:ind w:firstLine="480"/>
      </w:pPr>
      <w:r>
        <w:rPr>
          <w:rFonts w:ascii="宋体" w:hAnsi="宋体" w:eastAsia="宋体"/>
          <w:b w:val="0"/>
          <w:sz w:val="24"/>
        </w:rPr>
        <w:t>该条例对供电质量的具体要求和管理职责进行了明确规定，是本项目工作的重要法规依据。</w:t>
      </w:r>
    </w:p>
    <w:p>
      <w:pPr>
        <w:spacing w:line="360" w:lineRule="auto"/>
        <w:ind w:firstLine="480"/>
      </w:pPr>
      <w:r>
        <w:rPr>
          <w:rFonts w:ascii="宋体" w:hAnsi="宋体" w:eastAsia="宋体"/>
          <w:b w:val="0"/>
          <w:sz w:val="24"/>
        </w:rPr>
        <w:t>（3）《供电营业规则》</w:t>
      </w:r>
    </w:p>
    <w:p>
      <w:pPr>
        <w:spacing w:line="360" w:lineRule="auto"/>
        <w:ind w:firstLine="480"/>
      </w:pPr>
      <w:r>
        <w:rPr>
          <w:rFonts w:ascii="宋体" w:hAnsi="宋体" w:eastAsia="宋体"/>
          <w:b w:val="0"/>
          <w:sz w:val="24"/>
        </w:rPr>
        <w:t>该规则对供电电压允许偏差范围进行了具体规定，是衡量电压质量是否达标的基本准则。</w:t>
      </w:r>
    </w:p>
    <w:p>
      <w:pPr>
        <w:pStyle w:val="Heading2"/>
      </w:pPr>
      <w:r>
        <w:rPr>
          <w:rFonts w:ascii="黑体" w:hAnsi="黑体" w:eastAsia="黑体"/>
        </w:rPr>
        <w:t>10.2 国家标准</w:t>
      </w:r>
    </w:p>
    <w:p>
      <w:pPr>
        <w:spacing w:line="360" w:lineRule="auto"/>
        <w:ind w:firstLine="480"/>
      </w:pPr>
      <w:r>
        <w:rPr>
          <w:rFonts w:ascii="宋体" w:hAnsi="宋体" w:eastAsia="宋体"/>
          <w:b w:val="0"/>
          <w:sz w:val="24"/>
        </w:rPr>
        <w:t>（1）GB/T 12325-2008《电能质量 供电电压偏差》</w:t>
      </w:r>
    </w:p>
    <w:p>
      <w:pPr>
        <w:spacing w:line="360" w:lineRule="auto"/>
        <w:ind w:firstLine="480"/>
      </w:pPr>
      <w:r>
        <w:rPr>
          <w:rFonts w:ascii="宋体" w:hAnsi="宋体" w:eastAsia="宋体"/>
          <w:b w:val="0"/>
          <w:sz w:val="24"/>
        </w:rPr>
        <w:t>该标准规定了各电压等级供电电压偏差的允许范围：35kV及以上供电电压正负偏差的绝对值之和不超过标称电压的10%；10kV及以下三相供电电压偏差为标称电压的±7%；220V单相供电电压偏差为标称电压的+7%/-10%。</w:t>
      </w:r>
    </w:p>
    <w:p>
      <w:pPr>
        <w:spacing w:line="360" w:lineRule="auto"/>
        <w:ind w:firstLine="480"/>
      </w:pPr>
      <w:r>
        <w:rPr>
          <w:rFonts w:ascii="宋体" w:hAnsi="宋体" w:eastAsia="宋体"/>
          <w:b w:val="0"/>
          <w:sz w:val="24"/>
        </w:rPr>
        <w:t>（2）GB/T 15543-2008《电能质量 三相电压不平衡》</w:t>
      </w:r>
    </w:p>
    <w:p>
      <w:pPr>
        <w:spacing w:line="360" w:lineRule="auto"/>
        <w:ind w:firstLine="480"/>
      </w:pPr>
      <w:r>
        <w:rPr>
          <w:rFonts w:ascii="宋体" w:hAnsi="宋体" w:eastAsia="宋体"/>
          <w:b w:val="0"/>
          <w:sz w:val="24"/>
        </w:rPr>
        <w:t>该标准规定了电力系统公共连接点三相电压不平衡度的限值和测量方法。</w:t>
      </w:r>
    </w:p>
    <w:p>
      <w:pPr>
        <w:spacing w:line="360" w:lineRule="auto"/>
        <w:ind w:firstLine="480"/>
      </w:pPr>
      <w:r>
        <w:rPr>
          <w:rFonts w:ascii="宋体" w:hAnsi="宋体" w:eastAsia="宋体"/>
          <w:b w:val="0"/>
          <w:sz w:val="24"/>
        </w:rPr>
        <w:t>（3）GB/T 14549-1993《电能质量 公用电网谐波》</w:t>
      </w:r>
    </w:p>
    <w:p>
      <w:pPr>
        <w:spacing w:line="360" w:lineRule="auto"/>
        <w:ind w:firstLine="480"/>
      </w:pPr>
      <w:r>
        <w:rPr>
          <w:rFonts w:ascii="宋体" w:hAnsi="宋体" w:eastAsia="宋体"/>
          <w:b w:val="0"/>
          <w:sz w:val="24"/>
        </w:rPr>
        <w:t>该标准规定了公用电网谐波电压和谐波电流的限值。</w:t>
      </w:r>
    </w:p>
    <w:p>
      <w:pPr>
        <w:spacing w:line="360" w:lineRule="auto"/>
        <w:ind w:firstLine="480"/>
      </w:pPr>
      <w:r>
        <w:rPr>
          <w:rFonts w:ascii="宋体" w:hAnsi="宋体" w:eastAsia="宋体"/>
          <w:b w:val="0"/>
          <w:sz w:val="24"/>
        </w:rPr>
        <w:t>（4）GB/T 12326-2008《电能质量 电压波动和闪变》</w:t>
      </w:r>
    </w:p>
    <w:p>
      <w:pPr>
        <w:spacing w:line="360" w:lineRule="auto"/>
        <w:ind w:firstLine="480"/>
      </w:pPr>
      <w:r>
        <w:rPr>
          <w:rFonts w:ascii="宋体" w:hAnsi="宋体" w:eastAsia="宋体"/>
          <w:b w:val="0"/>
          <w:sz w:val="24"/>
        </w:rPr>
        <w:t>该标准规定了电力系统公共连接点电压波动和闪变的限值。</w:t>
      </w:r>
    </w:p>
    <w:p>
      <w:pPr>
        <w:pStyle w:val="Heading2"/>
      </w:pPr>
      <w:r>
        <w:rPr>
          <w:rFonts w:ascii="黑体" w:hAnsi="黑体" w:eastAsia="黑体"/>
        </w:rPr>
        <w:t>10.3 行业标准</w:t>
      </w:r>
    </w:p>
    <w:p>
      <w:pPr>
        <w:spacing w:line="360" w:lineRule="auto"/>
        <w:ind w:firstLine="480"/>
      </w:pPr>
      <w:r>
        <w:rPr>
          <w:rFonts w:ascii="宋体" w:hAnsi="宋体" w:eastAsia="宋体"/>
          <w:b w:val="0"/>
          <w:sz w:val="24"/>
        </w:rPr>
        <w:t>（1）DL/T 1198-2013《电力系统电压和无功电力技术导则》</w:t>
      </w:r>
    </w:p>
    <w:p>
      <w:pPr>
        <w:spacing w:line="360" w:lineRule="auto"/>
        <w:ind w:firstLine="480"/>
      </w:pPr>
      <w:r>
        <w:rPr>
          <w:rFonts w:ascii="宋体" w:hAnsi="宋体" w:eastAsia="宋体"/>
          <w:b w:val="0"/>
          <w:sz w:val="24"/>
        </w:rPr>
        <w:t>该导则规定了电力系统电压和无功电力管理的基本原则、技术要求和管理措施。</w:t>
      </w:r>
    </w:p>
    <w:p>
      <w:pPr>
        <w:spacing w:line="360" w:lineRule="auto"/>
        <w:ind w:firstLine="480"/>
      </w:pPr>
      <w:r>
        <w:rPr>
          <w:rFonts w:ascii="宋体" w:hAnsi="宋体" w:eastAsia="宋体"/>
          <w:b w:val="0"/>
          <w:sz w:val="24"/>
        </w:rPr>
        <w:t>（2）DL/T 599-2016《城市中低压配电网改造技术导则》</w:t>
      </w:r>
    </w:p>
    <w:p>
      <w:pPr>
        <w:spacing w:line="360" w:lineRule="auto"/>
        <w:ind w:firstLine="480"/>
      </w:pPr>
      <w:r>
        <w:rPr>
          <w:rFonts w:ascii="宋体" w:hAnsi="宋体" w:eastAsia="宋体"/>
          <w:b w:val="0"/>
          <w:sz w:val="24"/>
        </w:rPr>
        <w:t>该导则对配电网改造的技术原则和方案设计提出了指导性要求。</w:t>
      </w:r>
    </w:p>
    <w:p>
      <w:pPr>
        <w:spacing w:line="360" w:lineRule="auto"/>
        <w:ind w:firstLine="480"/>
      </w:pPr>
      <w:r>
        <w:rPr>
          <w:rFonts w:ascii="宋体" w:hAnsi="宋体" w:eastAsia="宋体"/>
          <w:b w:val="0"/>
          <w:sz w:val="24"/>
        </w:rPr>
        <w:t>（3）DL/T 5729-2016《配电网规划设计技术导则》</w:t>
      </w:r>
    </w:p>
    <w:p>
      <w:pPr>
        <w:spacing w:line="360" w:lineRule="auto"/>
        <w:ind w:firstLine="480"/>
      </w:pPr>
      <w:r>
        <w:rPr>
          <w:rFonts w:ascii="宋体" w:hAnsi="宋体" w:eastAsia="宋体"/>
          <w:b w:val="0"/>
          <w:sz w:val="24"/>
        </w:rPr>
        <w:t>该导则对配电网规划设计的技术原则和方法进行了规定，为电压治理项目方案提供技术参考。</w:t>
      </w:r>
    </w:p>
    <w:p>
      <w:pPr>
        <w:pStyle w:val="Heading2"/>
      </w:pPr>
      <w:r>
        <w:rPr>
          <w:rFonts w:ascii="黑体" w:hAnsi="黑体" w:eastAsia="黑体"/>
        </w:rPr>
        <w:t>10.4 国家电网公司文件</w:t>
      </w:r>
    </w:p>
    <w:p>
      <w:pPr>
        <w:spacing w:line="360" w:lineRule="auto"/>
        <w:ind w:firstLine="480"/>
      </w:pPr>
      <w:r>
        <w:rPr>
          <w:rFonts w:ascii="宋体" w:hAnsi="宋体" w:eastAsia="宋体"/>
          <w:b w:val="0"/>
          <w:sz w:val="24"/>
        </w:rPr>
        <w:t>（1）《国家电网有限公司关于全面构建新型供电电压管理体系的意见》（国家电网设备〔2023〕98号）</w:t>
      </w:r>
    </w:p>
    <w:p>
      <w:pPr>
        <w:spacing w:line="360" w:lineRule="auto"/>
        <w:ind w:firstLine="480"/>
      </w:pPr>
      <w:r>
        <w:rPr>
          <w:rFonts w:ascii="宋体" w:hAnsi="宋体" w:eastAsia="宋体"/>
          <w:b w:val="0"/>
          <w:sz w:val="24"/>
        </w:rPr>
        <w:t>该文件系统提出了新型供电电压管理体系的建设目标、总体框架和重点任务，是本项目工作的核心指导文件。文件要求各省公司加强电压质量全过程管理，建立数据驱动的精准治理模式，实现电压管理水平的全面提升。</w:t>
      </w:r>
    </w:p>
    <w:p>
      <w:pPr>
        <w:spacing w:line="360" w:lineRule="auto"/>
        <w:ind w:firstLine="480"/>
      </w:pPr>
      <w:r>
        <w:rPr>
          <w:rFonts w:ascii="宋体" w:hAnsi="宋体" w:eastAsia="宋体"/>
          <w:b w:val="0"/>
          <w:sz w:val="24"/>
        </w:rPr>
        <w:t>（2）《国网设备部关于印发2026年技术专业重点工作任务的通知》（设备技术〔2026〕10号）</w:t>
      </w:r>
    </w:p>
    <w:p>
      <w:pPr>
        <w:spacing w:line="360" w:lineRule="auto"/>
        <w:ind w:firstLine="480"/>
      </w:pPr>
      <w:r>
        <w:rPr>
          <w:rFonts w:ascii="宋体" w:hAnsi="宋体" w:eastAsia="宋体"/>
          <w:b w:val="0"/>
          <w:sz w:val="24"/>
        </w:rPr>
        <w:t>该文件明确了2026年电压管理的重点工作任务，包括加强全口径电压管理、推进电压短板问题攻坚、提升电压监测数据质量等具体要求，为本项目工作提供了明确的任务导向。</w:t>
      </w:r>
    </w:p>
    <w:p>
      <w:pPr>
        <w:spacing w:line="360" w:lineRule="auto"/>
        <w:ind w:firstLine="480"/>
      </w:pPr>
      <w:r>
        <w:rPr>
          <w:rFonts w:ascii="宋体" w:hAnsi="宋体" w:eastAsia="宋体"/>
          <w:b w:val="0"/>
          <w:sz w:val="24"/>
        </w:rPr>
        <w:t>（3）《国网营销部、设备部关于建立供电服务问题"四步法"闭环管控机制的通知》</w:t>
      </w:r>
    </w:p>
    <w:p>
      <w:pPr>
        <w:spacing w:line="360" w:lineRule="auto"/>
        <w:ind w:firstLine="480"/>
      </w:pPr>
      <w:r>
        <w:rPr>
          <w:rFonts w:ascii="宋体" w:hAnsi="宋体" w:eastAsia="宋体"/>
          <w:b w:val="0"/>
          <w:sz w:val="24"/>
        </w:rPr>
        <w:t>该文件建立了"发现问题—分析原因—制定措施—跟踪落实"的闭环管控机制，要求各级供电企业对供电服务问题（包括电压质量问题）实施闭环管理，确保问题得到彻底解决。</w:t>
      </w:r>
    </w:p>
    <w:p>
      <w:pPr>
        <w:pStyle w:val="Heading2"/>
      </w:pPr>
      <w:r>
        <w:rPr>
          <w:rFonts w:ascii="黑体" w:hAnsi="黑体" w:eastAsia="黑体"/>
        </w:rPr>
        <w:t>10.5 新疆电力公司相关要求</w:t>
      </w:r>
    </w:p>
    <w:p>
      <w:pPr>
        <w:spacing w:line="360" w:lineRule="auto"/>
        <w:ind w:firstLine="480"/>
      </w:pPr>
      <w:r>
        <w:rPr>
          <w:rFonts w:ascii="宋体" w:hAnsi="宋体" w:eastAsia="宋体"/>
          <w:b w:val="0"/>
          <w:sz w:val="24"/>
        </w:rPr>
        <w:t>（1）国网新疆电力有限公司关于电压管理的相关工作部署和考核要求</w:t>
      </w:r>
    </w:p>
    <w:p>
      <w:pPr>
        <w:spacing w:line="360" w:lineRule="auto"/>
        <w:ind w:firstLine="480"/>
      </w:pPr>
      <w:r>
        <w:rPr>
          <w:rFonts w:ascii="宋体" w:hAnsi="宋体" w:eastAsia="宋体"/>
          <w:b w:val="0"/>
          <w:sz w:val="24"/>
        </w:rPr>
        <w:t>新疆公司对各地州供电公司的电压合格率、电压指数等指标设定了明确的考核目标值，博尔塔拉供电公司需确保各项电压指标达到考核要求。</w:t>
      </w:r>
    </w:p>
    <w:p>
      <w:pPr>
        <w:spacing w:line="360" w:lineRule="auto"/>
        <w:ind w:firstLine="480"/>
      </w:pPr>
      <w:r>
        <w:rPr>
          <w:rFonts w:ascii="宋体" w:hAnsi="宋体" w:eastAsia="宋体"/>
          <w:b w:val="0"/>
          <w:sz w:val="24"/>
        </w:rPr>
        <w:t>（2）国网新疆电力有限公司关于配电网精益管理的相关要求</w:t>
      </w:r>
    </w:p>
    <w:p>
      <w:pPr>
        <w:spacing w:line="360" w:lineRule="auto"/>
        <w:ind w:firstLine="480"/>
      </w:pPr>
      <w:r>
        <w:rPr>
          <w:rFonts w:ascii="宋体" w:hAnsi="宋体" w:eastAsia="宋体"/>
          <w:b w:val="0"/>
          <w:sz w:val="24"/>
        </w:rPr>
        <w:t>新疆公司要求各单位加强配电网精益化管理，提升配电网运行水平，为电压质量保障提供基础支撑。</w:t>
      </w:r>
    </w:p>
    <w:p>
      <w:pPr>
        <w:pStyle w:val="Heading2"/>
      </w:pPr>
      <w:r>
        <w:rPr>
          <w:rFonts w:ascii="黑体" w:hAnsi="黑体" w:eastAsia="黑体"/>
        </w:rPr>
        <w:t>10.6 博尔塔拉供电公司相关文件</w:t>
      </w:r>
    </w:p>
    <w:p>
      <w:pPr>
        <w:spacing w:line="360" w:lineRule="auto"/>
        <w:ind w:firstLine="480"/>
      </w:pPr>
      <w:r>
        <w:rPr>
          <w:rFonts w:ascii="宋体" w:hAnsi="宋体" w:eastAsia="宋体"/>
          <w:b w:val="0"/>
          <w:sz w:val="24"/>
        </w:rPr>
        <w:t>（1）博尔塔拉供电公司电压管理工作实施方案</w:t>
      </w:r>
    </w:p>
    <w:p>
      <w:pPr>
        <w:spacing w:line="360" w:lineRule="auto"/>
        <w:ind w:firstLine="480"/>
      </w:pPr>
      <w:r>
        <w:rPr>
          <w:rFonts w:ascii="宋体" w:hAnsi="宋体" w:eastAsia="宋体"/>
          <w:b w:val="0"/>
          <w:sz w:val="24"/>
        </w:rPr>
        <w:t>（2）博尔塔拉供电公司配电网发展规划</w:t>
      </w:r>
    </w:p>
    <w:p>
      <w:pPr>
        <w:spacing w:line="360" w:lineRule="auto"/>
        <w:ind w:firstLine="480"/>
      </w:pPr>
      <w:r>
        <w:rPr>
          <w:rFonts w:ascii="宋体" w:hAnsi="宋体" w:eastAsia="宋体"/>
          <w:b w:val="0"/>
          <w:sz w:val="24"/>
        </w:rPr>
        <w:t>（3）博尔塔拉供电公司年度重点工作任务清单</w:t>
      </w:r>
    </w:p>
    <w:p>
      <w:pPr>
        <w:spacing w:line="360" w:lineRule="auto"/>
        <w:ind w:firstLine="480"/>
      </w:pPr>
      <w:r>
        <w:rPr>
          <w:rFonts w:ascii="宋体" w:hAnsi="宋体" w:eastAsia="宋体"/>
          <w:b w:val="0"/>
          <w:sz w:val="24"/>
        </w:rPr>
        <w:t>（4）本项目技术规范书</w:t>
      </w:r>
    </w:p>
    <w:p>
      <w:r>
        <w:br w:type="page"/>
      </w:r>
    </w:p>
    <w:p>
      <w:pPr>
        <w:pStyle w:val="Heading1"/>
      </w:pPr>
      <w:r>
        <w:rPr>
          <w:rFonts w:ascii="黑体" w:hAnsi="黑体" w:eastAsia="黑体"/>
        </w:rPr>
        <w:t>十一、项目服务目标</w:t>
      </w:r>
    </w:p>
    <w:p>
      <w:pPr>
        <w:pStyle w:val="Heading2"/>
      </w:pPr>
      <w:r>
        <w:rPr>
          <w:rFonts w:ascii="黑体" w:hAnsi="黑体" w:eastAsia="黑体"/>
        </w:rPr>
        <w:t>11.1 服务质量目标</w:t>
      </w:r>
    </w:p>
    <w:p>
      <w:pPr>
        <w:spacing w:line="360" w:lineRule="auto"/>
        <w:ind w:firstLine="480"/>
      </w:pPr>
      <w:r>
        <w:rPr>
          <w:rFonts w:ascii="宋体" w:hAnsi="宋体" w:eastAsia="宋体"/>
          <w:b w:val="0"/>
          <w:sz w:val="24"/>
        </w:rPr>
        <w:t>本项目致力于为博尔塔拉供电公司提供高质量、高标准的技术服务，具体服务质量目标如下：</w:t>
      </w:r>
    </w:p>
    <w:p>
      <w:pPr>
        <w:spacing w:line="360" w:lineRule="auto"/>
        <w:ind w:firstLine="480"/>
      </w:pPr>
      <w:r>
        <w:rPr>
          <w:rFonts w:ascii="宋体" w:hAnsi="宋体" w:eastAsia="宋体"/>
          <w:b w:val="0"/>
          <w:sz w:val="24"/>
        </w:rPr>
        <w:t>（1）成果质量目标</w:t>
      </w:r>
    </w:p>
    <w:p>
      <w:pPr>
        <w:spacing w:line="360" w:lineRule="auto"/>
        <w:ind w:firstLine="480"/>
      </w:pPr>
      <w:r>
        <w:rPr>
          <w:rFonts w:ascii="宋体" w:hAnsi="宋体" w:eastAsia="宋体"/>
          <w:b w:val="0"/>
          <w:sz w:val="24"/>
        </w:rPr>
        <w:t>所有技术分析报告、治理方案等成果文件内容全面、数据准确、逻辑清晰、结论可靠，经博尔塔拉供电公司审核确认后一次性通过率不低于95%。</w:t>
      </w:r>
    </w:p>
    <w:p>
      <w:pPr>
        <w:spacing w:line="360" w:lineRule="auto"/>
        <w:ind w:firstLine="480"/>
      </w:pPr>
      <w:r>
        <w:rPr>
          <w:rFonts w:ascii="宋体" w:hAnsi="宋体" w:eastAsia="宋体"/>
          <w:b w:val="0"/>
          <w:sz w:val="24"/>
        </w:rPr>
        <w:t>（2）服务响应目标</w:t>
      </w:r>
    </w:p>
    <w:p>
      <w:pPr>
        <w:spacing w:line="360" w:lineRule="auto"/>
        <w:ind w:firstLine="480"/>
      </w:pPr>
      <w:r>
        <w:rPr>
          <w:rFonts w:ascii="宋体" w:hAnsi="宋体" w:eastAsia="宋体"/>
          <w:b w:val="0"/>
          <w:sz w:val="24"/>
        </w:rPr>
        <w:t>提供7×24小时的服务电话支持，一般技术咨询在4小时内响应，紧急技术问题在2小时内响应，需要现场支持的在24小时内到达现场。</w:t>
      </w:r>
    </w:p>
    <w:p>
      <w:pPr>
        <w:spacing w:line="360" w:lineRule="auto"/>
        <w:ind w:firstLine="480"/>
      </w:pPr>
      <w:r>
        <w:rPr>
          <w:rFonts w:ascii="宋体" w:hAnsi="宋体" w:eastAsia="宋体"/>
          <w:b w:val="0"/>
          <w:sz w:val="24"/>
        </w:rPr>
        <w:t>（3）进度控制目标</w:t>
      </w:r>
    </w:p>
    <w:p>
      <w:pPr>
        <w:spacing w:line="360" w:lineRule="auto"/>
        <w:ind w:firstLine="480"/>
      </w:pPr>
      <w:r>
        <w:rPr>
          <w:rFonts w:ascii="宋体" w:hAnsi="宋体" w:eastAsia="宋体"/>
          <w:b w:val="0"/>
          <w:sz w:val="24"/>
        </w:rPr>
        <w:t>严格按照项目计划节点完成各阶段工作任务，关键里程碑节点偏差不超过5个工作日，确保项目按期交付。</w:t>
      </w:r>
    </w:p>
    <w:p>
      <w:pPr>
        <w:spacing w:line="360" w:lineRule="auto"/>
        <w:ind w:firstLine="480"/>
      </w:pPr>
      <w:r>
        <w:rPr>
          <w:rFonts w:ascii="宋体" w:hAnsi="宋体" w:eastAsia="宋体"/>
          <w:b w:val="0"/>
          <w:sz w:val="24"/>
        </w:rPr>
        <w:t>（4）治理效果目标</w:t>
      </w:r>
    </w:p>
    <w:p>
      <w:pPr>
        <w:spacing w:line="360" w:lineRule="auto"/>
        <w:ind w:firstLine="480"/>
      </w:pPr>
      <w:r>
        <w:rPr>
          <w:rFonts w:ascii="宋体" w:hAnsi="宋体" w:eastAsia="宋体"/>
          <w:b w:val="0"/>
          <w:sz w:val="24"/>
        </w:rPr>
        <w:t>通过精准分析和方案制定，确保严重越限压降治理后能达到新疆公司考核目标值。提出的治理方案具有可操作性和经济性，为博尔塔拉供电公司电压指数提升提供有力支撑。</w:t>
      </w:r>
    </w:p>
    <w:p>
      <w:pPr>
        <w:pStyle w:val="Heading2"/>
      </w:pPr>
      <w:r>
        <w:rPr>
          <w:rFonts w:ascii="黑体" w:hAnsi="黑体" w:eastAsia="黑体"/>
        </w:rPr>
        <w:t>11.2 服务保障目标</w:t>
      </w:r>
    </w:p>
    <w:p>
      <w:pPr>
        <w:spacing w:line="360" w:lineRule="auto"/>
        <w:ind w:firstLine="480"/>
      </w:pPr>
      <w:r>
        <w:rPr>
          <w:rFonts w:ascii="宋体" w:hAnsi="宋体" w:eastAsia="宋体"/>
          <w:b w:val="0"/>
          <w:sz w:val="24"/>
        </w:rPr>
        <w:t>（1）人员保障目标</w:t>
      </w:r>
    </w:p>
    <w:p>
      <w:pPr>
        <w:spacing w:line="360" w:lineRule="auto"/>
        <w:ind w:firstLine="480"/>
      </w:pPr>
      <w:r>
        <w:rPr>
          <w:rFonts w:ascii="宋体" w:hAnsi="宋体" w:eastAsia="宋体"/>
          <w:b w:val="0"/>
          <w:sz w:val="24"/>
        </w:rPr>
        <w:t>项目团队人员稳定，核心技术人员在项目实施期间不做调整。如因特殊原因确需调整，须提前通知博尔塔拉供电公司并确保替换人员具备同等能力。</w:t>
      </w:r>
    </w:p>
    <w:p>
      <w:pPr>
        <w:spacing w:line="360" w:lineRule="auto"/>
        <w:ind w:firstLine="480"/>
      </w:pPr>
      <w:r>
        <w:rPr>
          <w:rFonts w:ascii="宋体" w:hAnsi="宋体" w:eastAsia="宋体"/>
          <w:b w:val="0"/>
          <w:sz w:val="24"/>
        </w:rPr>
        <w:t>（2）信息安全目标</w:t>
      </w:r>
    </w:p>
    <w:p>
      <w:pPr>
        <w:spacing w:line="360" w:lineRule="auto"/>
        <w:ind w:firstLine="480"/>
      </w:pPr>
      <w:r>
        <w:rPr>
          <w:rFonts w:ascii="宋体" w:hAnsi="宋体" w:eastAsia="宋体"/>
          <w:b w:val="0"/>
          <w:sz w:val="24"/>
        </w:rPr>
        <w:t>严格遵守国家电网公司信息安全管理规定，所有参与人员签订保密协议。项目过程中涉及的业务数据、技术资料等保密信息不得以任何形式泄露。</w:t>
      </w:r>
    </w:p>
    <w:p>
      <w:pPr>
        <w:spacing w:line="360" w:lineRule="auto"/>
        <w:ind w:firstLine="480"/>
      </w:pPr>
      <w:r>
        <w:rPr>
          <w:rFonts w:ascii="宋体" w:hAnsi="宋体" w:eastAsia="宋体"/>
          <w:b w:val="0"/>
          <w:sz w:val="24"/>
        </w:rPr>
        <w:t>（3）安全生产目标</w:t>
      </w:r>
    </w:p>
    <w:p>
      <w:pPr>
        <w:spacing w:line="360" w:lineRule="auto"/>
        <w:ind w:firstLine="480"/>
      </w:pPr>
      <w:r>
        <w:rPr>
          <w:rFonts w:ascii="宋体" w:hAnsi="宋体" w:eastAsia="宋体"/>
          <w:b w:val="0"/>
          <w:sz w:val="24"/>
        </w:rPr>
        <w:t>项目实施过程中安全事故零发生。所有现场工作严格遵守安全规程，做好安全防护措施。</w:t>
      </w:r>
    </w:p>
    <w:p>
      <w:pPr>
        <w:spacing w:line="360" w:lineRule="auto"/>
        <w:ind w:firstLine="480"/>
      </w:pPr>
      <w:r>
        <w:rPr>
          <w:rFonts w:ascii="宋体" w:hAnsi="宋体" w:eastAsia="宋体"/>
          <w:b w:val="0"/>
          <w:sz w:val="24"/>
        </w:rPr>
        <w:t>（4）沟通协调目标</w:t>
      </w:r>
    </w:p>
    <w:p>
      <w:pPr>
        <w:spacing w:line="360" w:lineRule="auto"/>
        <w:ind w:firstLine="480"/>
      </w:pPr>
      <w:r>
        <w:rPr>
          <w:rFonts w:ascii="宋体" w:hAnsi="宋体" w:eastAsia="宋体"/>
          <w:b w:val="0"/>
          <w:sz w:val="24"/>
        </w:rPr>
        <w:t>建立高效的沟通协调机制，确保与博尔塔拉供电公司各部门之间信息传递及时、准确、完整。每周提交工作周报，每月提交工作月报。</w:t>
      </w:r>
    </w:p>
    <w:p>
      <w:pPr>
        <w:pStyle w:val="Heading2"/>
      </w:pPr>
      <w:r>
        <w:rPr>
          <w:rFonts w:ascii="黑体" w:hAnsi="黑体" w:eastAsia="黑体"/>
        </w:rPr>
        <w:t>11.3 服务标准承诺</w:t>
      </w:r>
    </w:p>
    <w:p>
      <w:pPr>
        <w:spacing w:line="360" w:lineRule="auto"/>
        <w:ind w:firstLine="480"/>
      </w:pPr>
      <w:r>
        <w:rPr>
          <w:rFonts w:ascii="宋体" w:hAnsi="宋体" w:eastAsia="宋体"/>
          <w:b w:val="0"/>
          <w:sz w:val="24"/>
        </w:rPr>
        <w:t>我们郑重承诺：</w:t>
      </w:r>
    </w:p>
    <w:p>
      <w:pPr>
        <w:spacing w:line="360" w:lineRule="auto"/>
        <w:ind w:firstLine="480"/>
      </w:pPr>
      <w:r>
        <w:rPr>
          <w:rFonts w:ascii="宋体" w:hAnsi="宋体" w:eastAsia="宋体"/>
          <w:b w:val="0"/>
          <w:sz w:val="24"/>
        </w:rPr>
        <w:t>（1）严格按照技术规范书的各项要求开展工作，不打折扣，不降标准。</w:t>
      </w:r>
    </w:p>
    <w:p>
      <w:pPr>
        <w:spacing w:line="360" w:lineRule="auto"/>
        <w:ind w:firstLine="480"/>
      </w:pPr>
      <w:r>
        <w:rPr>
          <w:rFonts w:ascii="宋体" w:hAnsi="宋体" w:eastAsia="宋体"/>
          <w:b w:val="0"/>
          <w:sz w:val="24"/>
        </w:rPr>
        <w:t>（2）提供的所有技术成果均经过严格的内部审核，确保质量可靠。</w:t>
      </w:r>
    </w:p>
    <w:p>
      <w:pPr>
        <w:spacing w:line="360" w:lineRule="auto"/>
        <w:ind w:firstLine="480"/>
      </w:pPr>
      <w:r>
        <w:rPr>
          <w:rFonts w:ascii="宋体" w:hAnsi="宋体" w:eastAsia="宋体"/>
          <w:b w:val="0"/>
          <w:sz w:val="24"/>
        </w:rPr>
        <w:t>（3）主动接受博尔塔拉供电公司的监督检查和质量考核评价。</w:t>
      </w:r>
    </w:p>
    <w:p>
      <w:pPr>
        <w:spacing w:line="360" w:lineRule="auto"/>
        <w:ind w:firstLine="480"/>
      </w:pPr>
      <w:r>
        <w:rPr>
          <w:rFonts w:ascii="宋体" w:hAnsi="宋体" w:eastAsia="宋体"/>
          <w:b w:val="0"/>
          <w:sz w:val="24"/>
        </w:rPr>
        <w:t>（4）对发现的问题和不足，及时整改到位，确保服务质量持续改进。</w:t>
      </w:r>
    </w:p>
    <w:p>
      <w:pPr>
        <w:spacing w:line="360" w:lineRule="auto"/>
        <w:ind w:firstLine="480"/>
      </w:pPr>
      <w:r>
        <w:rPr>
          <w:rFonts w:ascii="宋体" w:hAnsi="宋体" w:eastAsia="宋体"/>
          <w:b w:val="0"/>
          <w:sz w:val="24"/>
        </w:rPr>
        <w:t>（5）在项目实施过程中，积极主动地提供技术建议和专业支持，为博尔塔拉供电公司的电压管理工作创造附加价值。</w:t>
      </w:r>
    </w:p>
    <w:p>
      <w:pPr>
        <w:pStyle w:val="Heading2"/>
      </w:pPr>
      <w:r>
        <w:rPr>
          <w:rFonts w:ascii="黑体" w:hAnsi="黑体" w:eastAsia="黑体"/>
        </w:rPr>
        <w:t>11.4 服务效果衡量标准</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序号</w:t>
            </w:r>
          </w:p>
        </w:tc>
        <w:tc>
          <w:tcPr>
            <w:tcW w:type="dxa" w:w="2161"/>
          </w:tcPr>
          <w:p>
            <w:pPr>
              <w:jc w:val="center"/>
            </w:pPr>
            <w:r>
              <w:rPr>
                <w:rFonts w:ascii="宋体" w:hAnsi="宋体" w:eastAsia="宋体"/>
                <w:b/>
                <w:sz w:val="22"/>
              </w:rPr>
              <w:t>服务项目</w:t>
            </w:r>
          </w:p>
        </w:tc>
        <w:tc>
          <w:tcPr>
            <w:tcW w:type="dxa" w:w="2161"/>
          </w:tcPr>
          <w:p>
            <w:pPr>
              <w:jc w:val="center"/>
            </w:pPr>
            <w:r>
              <w:rPr>
                <w:rFonts w:ascii="宋体" w:hAnsi="宋体" w:eastAsia="宋体"/>
                <w:b/>
                <w:sz w:val="22"/>
              </w:rPr>
              <w:t>衡量标准</w:t>
            </w:r>
          </w:p>
        </w:tc>
        <w:tc>
          <w:tcPr>
            <w:tcW w:type="dxa" w:w="2161"/>
          </w:tcPr>
          <w:p>
            <w:pPr>
              <w:jc w:val="center"/>
            </w:pPr>
            <w:r>
              <w:rPr>
                <w:rFonts w:ascii="宋体" w:hAnsi="宋体" w:eastAsia="宋体"/>
                <w:b/>
                <w:sz w:val="22"/>
              </w:rPr>
              <w:t>目标值</w:t>
            </w:r>
          </w:p>
        </w:tc>
      </w:tr>
      <w:tr>
        <w:tc>
          <w:tcPr>
            <w:tcW w:type="dxa" w:w="2161"/>
          </w:tcPr>
          <w:p>
            <w:r>
              <w:rPr>
                <w:rFonts w:ascii="宋体" w:hAnsi="宋体" w:eastAsia="宋体"/>
                <w:sz w:val="22"/>
              </w:rPr>
              <w:t>1</w:t>
            </w:r>
          </w:p>
        </w:tc>
        <w:tc>
          <w:tcPr>
            <w:tcW w:type="dxa" w:w="2161"/>
          </w:tcPr>
          <w:p>
            <w:r>
              <w:rPr>
                <w:rFonts w:ascii="宋体" w:hAnsi="宋体" w:eastAsia="宋体"/>
                <w:sz w:val="22"/>
              </w:rPr>
              <w:t>总体情况报告</w:t>
            </w:r>
          </w:p>
        </w:tc>
        <w:tc>
          <w:tcPr>
            <w:tcW w:type="dxa" w:w="2161"/>
          </w:tcPr>
          <w:p>
            <w:r>
              <w:rPr>
                <w:rFonts w:ascii="宋体" w:hAnsi="宋体" w:eastAsia="宋体"/>
                <w:sz w:val="22"/>
              </w:rPr>
              <w:t>内容完整性、数据准确性</w:t>
            </w:r>
          </w:p>
        </w:tc>
        <w:tc>
          <w:tcPr>
            <w:tcW w:type="dxa" w:w="2161"/>
          </w:tcPr>
          <w:p>
            <w:r>
              <w:rPr>
                <w:rFonts w:ascii="宋体" w:hAnsi="宋体" w:eastAsia="宋体"/>
                <w:sz w:val="22"/>
              </w:rPr>
              <w:t>审核一次通过率≥95%</w:t>
            </w:r>
          </w:p>
        </w:tc>
      </w:tr>
      <w:tr>
        <w:tc>
          <w:tcPr>
            <w:tcW w:type="dxa" w:w="2161"/>
          </w:tcPr>
          <w:p>
            <w:r>
              <w:rPr>
                <w:rFonts w:ascii="宋体" w:hAnsi="宋体" w:eastAsia="宋体"/>
                <w:sz w:val="22"/>
              </w:rPr>
              <w:t>2</w:t>
            </w:r>
          </w:p>
        </w:tc>
        <w:tc>
          <w:tcPr>
            <w:tcW w:type="dxa" w:w="2161"/>
          </w:tcPr>
          <w:p>
            <w:r>
              <w:rPr>
                <w:rFonts w:ascii="宋体" w:hAnsi="宋体" w:eastAsia="宋体"/>
                <w:sz w:val="22"/>
              </w:rPr>
              <w:t>深度分析报告</w:t>
            </w:r>
          </w:p>
        </w:tc>
        <w:tc>
          <w:tcPr>
            <w:tcW w:type="dxa" w:w="2161"/>
          </w:tcPr>
          <w:p>
            <w:r>
              <w:rPr>
                <w:rFonts w:ascii="宋体" w:hAnsi="宋体" w:eastAsia="宋体"/>
                <w:sz w:val="22"/>
              </w:rPr>
              <w:t>问题覆盖率、诊断准确率</w:t>
            </w:r>
          </w:p>
        </w:tc>
        <w:tc>
          <w:tcPr>
            <w:tcW w:type="dxa" w:w="2161"/>
          </w:tcPr>
          <w:p>
            <w:r>
              <w:rPr>
                <w:rFonts w:ascii="宋体" w:hAnsi="宋体" w:eastAsia="宋体"/>
                <w:sz w:val="22"/>
              </w:rPr>
              <w:t>问题识别率100%</w:t>
            </w:r>
          </w:p>
        </w:tc>
      </w:tr>
      <w:tr>
        <w:tc>
          <w:tcPr>
            <w:tcW w:type="dxa" w:w="2161"/>
          </w:tcPr>
          <w:p>
            <w:r>
              <w:rPr>
                <w:rFonts w:ascii="宋体" w:hAnsi="宋体" w:eastAsia="宋体"/>
                <w:sz w:val="22"/>
              </w:rPr>
              <w:t>3</w:t>
            </w:r>
          </w:p>
        </w:tc>
        <w:tc>
          <w:tcPr>
            <w:tcW w:type="dxa" w:w="2161"/>
          </w:tcPr>
          <w:p>
            <w:r>
              <w:rPr>
                <w:rFonts w:ascii="宋体" w:hAnsi="宋体" w:eastAsia="宋体"/>
                <w:sz w:val="22"/>
              </w:rPr>
              <w:t>治理方案</w:t>
            </w:r>
          </w:p>
        </w:tc>
        <w:tc>
          <w:tcPr>
            <w:tcW w:type="dxa" w:w="2161"/>
          </w:tcPr>
          <w:p>
            <w:r>
              <w:rPr>
                <w:rFonts w:ascii="宋体" w:hAnsi="宋体" w:eastAsia="宋体"/>
                <w:sz w:val="22"/>
              </w:rPr>
              <w:t>可操作性、经济性评价</w:t>
            </w:r>
          </w:p>
        </w:tc>
        <w:tc>
          <w:tcPr>
            <w:tcW w:type="dxa" w:w="2161"/>
          </w:tcPr>
          <w:p>
            <w:r>
              <w:rPr>
                <w:rFonts w:ascii="宋体" w:hAnsi="宋体" w:eastAsia="宋体"/>
                <w:sz w:val="22"/>
              </w:rPr>
              <w:t>方案采纳率≥90%</w:t>
            </w:r>
          </w:p>
        </w:tc>
      </w:tr>
      <w:tr>
        <w:tc>
          <w:tcPr>
            <w:tcW w:type="dxa" w:w="2161"/>
          </w:tcPr>
          <w:p>
            <w:r>
              <w:rPr>
                <w:rFonts w:ascii="宋体" w:hAnsi="宋体" w:eastAsia="宋体"/>
                <w:sz w:val="22"/>
              </w:rPr>
              <w:t>4</w:t>
            </w:r>
          </w:p>
        </w:tc>
        <w:tc>
          <w:tcPr>
            <w:tcW w:type="dxa" w:w="2161"/>
          </w:tcPr>
          <w:p>
            <w:r>
              <w:rPr>
                <w:rFonts w:ascii="宋体" w:hAnsi="宋体" w:eastAsia="宋体"/>
                <w:sz w:val="22"/>
              </w:rPr>
              <w:t>仿真分析</w:t>
            </w:r>
          </w:p>
        </w:tc>
        <w:tc>
          <w:tcPr>
            <w:tcW w:type="dxa" w:w="2161"/>
          </w:tcPr>
          <w:p>
            <w:r>
              <w:rPr>
                <w:rFonts w:ascii="宋体" w:hAnsi="宋体" w:eastAsia="宋体"/>
                <w:sz w:val="22"/>
              </w:rPr>
              <w:t>模型精度、结论可靠性</w:t>
            </w:r>
          </w:p>
        </w:tc>
        <w:tc>
          <w:tcPr>
            <w:tcW w:type="dxa" w:w="2161"/>
          </w:tcPr>
          <w:p>
            <w:r>
              <w:rPr>
                <w:rFonts w:ascii="宋体" w:hAnsi="宋体" w:eastAsia="宋体"/>
                <w:sz w:val="22"/>
              </w:rPr>
              <w:t>仿真偏差≤5%</w:t>
            </w:r>
          </w:p>
        </w:tc>
      </w:tr>
      <w:tr>
        <w:tc>
          <w:tcPr>
            <w:tcW w:type="dxa" w:w="2161"/>
          </w:tcPr>
          <w:p>
            <w:r>
              <w:rPr>
                <w:rFonts w:ascii="宋体" w:hAnsi="宋体" w:eastAsia="宋体"/>
                <w:sz w:val="22"/>
              </w:rPr>
              <w:t>5</w:t>
            </w:r>
          </w:p>
        </w:tc>
        <w:tc>
          <w:tcPr>
            <w:tcW w:type="dxa" w:w="2161"/>
          </w:tcPr>
          <w:p>
            <w:r>
              <w:rPr>
                <w:rFonts w:ascii="宋体" w:hAnsi="宋体" w:eastAsia="宋体"/>
                <w:sz w:val="22"/>
              </w:rPr>
              <w:t>现场检查报告</w:t>
            </w:r>
          </w:p>
        </w:tc>
        <w:tc>
          <w:tcPr>
            <w:tcW w:type="dxa" w:w="2161"/>
          </w:tcPr>
          <w:p>
            <w:r>
              <w:rPr>
                <w:rFonts w:ascii="宋体" w:hAnsi="宋体" w:eastAsia="宋体"/>
                <w:sz w:val="22"/>
              </w:rPr>
              <w:t>规范性、时效性</w:t>
            </w:r>
          </w:p>
        </w:tc>
        <w:tc>
          <w:tcPr>
            <w:tcW w:type="dxa" w:w="2161"/>
          </w:tcPr>
          <w:p>
            <w:r>
              <w:rPr>
                <w:rFonts w:ascii="宋体" w:hAnsi="宋体" w:eastAsia="宋体"/>
                <w:sz w:val="22"/>
              </w:rPr>
              <w:t>按时提交率100%</w:t>
            </w:r>
          </w:p>
        </w:tc>
      </w:tr>
      <w:tr>
        <w:tc>
          <w:tcPr>
            <w:tcW w:type="dxa" w:w="2161"/>
          </w:tcPr>
          <w:p>
            <w:r>
              <w:rPr>
                <w:rFonts w:ascii="宋体" w:hAnsi="宋体" w:eastAsia="宋体"/>
                <w:sz w:val="22"/>
              </w:rPr>
              <w:t>6</w:t>
            </w:r>
          </w:p>
        </w:tc>
        <w:tc>
          <w:tcPr>
            <w:tcW w:type="dxa" w:w="2161"/>
          </w:tcPr>
          <w:p>
            <w:r>
              <w:rPr>
                <w:rFonts w:ascii="宋体" w:hAnsi="宋体" w:eastAsia="宋体"/>
                <w:sz w:val="22"/>
              </w:rPr>
              <w:t>技术咨询服务</w:t>
            </w:r>
          </w:p>
        </w:tc>
        <w:tc>
          <w:tcPr>
            <w:tcW w:type="dxa" w:w="2161"/>
          </w:tcPr>
          <w:p>
            <w:r>
              <w:rPr>
                <w:rFonts w:ascii="宋体" w:hAnsi="宋体" w:eastAsia="宋体"/>
                <w:sz w:val="22"/>
              </w:rPr>
              <w:t>响应速度、解决质量</w:t>
            </w:r>
          </w:p>
        </w:tc>
        <w:tc>
          <w:tcPr>
            <w:tcW w:type="dxa" w:w="2161"/>
          </w:tcPr>
          <w:p>
            <w:r>
              <w:rPr>
                <w:rFonts w:ascii="宋体" w:hAnsi="宋体" w:eastAsia="宋体"/>
                <w:sz w:val="22"/>
              </w:rPr>
              <w:t>满意度≥95%</w:t>
            </w:r>
          </w:p>
        </w:tc>
      </w:tr>
      <w:tr>
        <w:tc>
          <w:tcPr>
            <w:tcW w:type="dxa" w:w="2161"/>
          </w:tcPr>
          <w:p>
            <w:r>
              <w:rPr>
                <w:rFonts w:ascii="宋体" w:hAnsi="宋体" w:eastAsia="宋体"/>
                <w:sz w:val="22"/>
              </w:rPr>
              <w:t>7</w:t>
            </w:r>
          </w:p>
        </w:tc>
        <w:tc>
          <w:tcPr>
            <w:tcW w:type="dxa" w:w="2161"/>
          </w:tcPr>
          <w:p>
            <w:r>
              <w:rPr>
                <w:rFonts w:ascii="宋体" w:hAnsi="宋体" w:eastAsia="宋体"/>
                <w:sz w:val="22"/>
              </w:rPr>
              <w:t>成果文件交付</w:t>
            </w:r>
          </w:p>
        </w:tc>
        <w:tc>
          <w:tcPr>
            <w:tcW w:type="dxa" w:w="2161"/>
          </w:tcPr>
          <w:p>
            <w:r>
              <w:rPr>
                <w:rFonts w:ascii="宋体" w:hAnsi="宋体" w:eastAsia="宋体"/>
                <w:sz w:val="22"/>
              </w:rPr>
              <w:t>完整性、规范性</w:t>
            </w:r>
          </w:p>
        </w:tc>
        <w:tc>
          <w:tcPr>
            <w:tcW w:type="dxa" w:w="2161"/>
          </w:tcPr>
          <w:p>
            <w:r>
              <w:rPr>
                <w:rFonts w:ascii="宋体" w:hAnsi="宋体" w:eastAsia="宋体"/>
                <w:sz w:val="22"/>
              </w:rPr>
              <w:t>交付完整率100%</w:t>
            </w:r>
          </w:p>
        </w:tc>
      </w:tr>
    </w:tbl>
    <w:p/>
    <w:p>
      <w:r>
        <w:br w:type="page"/>
      </w:r>
    </w:p>
    <w:p>
      <w:pPr>
        <w:pStyle w:val="Heading1"/>
      </w:pPr>
      <w:r>
        <w:rPr>
          <w:rFonts w:ascii="黑体" w:hAnsi="黑体" w:eastAsia="黑体"/>
        </w:rPr>
        <w:t>十二、项目服务内容</w:t>
      </w:r>
    </w:p>
    <w:p>
      <w:pPr>
        <w:pStyle w:val="Heading2"/>
      </w:pPr>
      <w:r>
        <w:rPr>
          <w:rFonts w:ascii="黑体" w:hAnsi="黑体" w:eastAsia="黑体"/>
        </w:rPr>
        <w:t>12.1 服务内容一：全面摸清供电电压状况</w:t>
      </w:r>
    </w:p>
    <w:p>
      <w:pPr>
        <w:spacing w:line="360" w:lineRule="auto"/>
        <w:ind w:firstLine="480"/>
      </w:pPr>
      <w:r>
        <w:rPr>
          <w:rFonts w:ascii="宋体" w:hAnsi="宋体" w:eastAsia="宋体"/>
          <w:b/>
          <w:sz w:val="24"/>
        </w:rPr>
        <w:t>12.1.1 工作目标</w:t>
      </w:r>
    </w:p>
    <w:p>
      <w:pPr>
        <w:spacing w:line="360" w:lineRule="auto"/>
        <w:ind w:firstLine="480"/>
      </w:pPr>
      <w:r>
        <w:rPr>
          <w:rFonts w:ascii="宋体" w:hAnsi="宋体" w:eastAsia="宋体"/>
          <w:b w:val="0"/>
          <w:sz w:val="24"/>
        </w:rPr>
        <w:t>全面摸清博州地区供电电压真实状况，精准定位变电站、线路、台区、用户侧具体问题，明确管控策略、治理措施。</w:t>
      </w:r>
    </w:p>
    <w:p>
      <w:pPr>
        <w:spacing w:line="360" w:lineRule="auto"/>
        <w:ind w:firstLine="480"/>
      </w:pPr>
      <w:r>
        <w:rPr>
          <w:rFonts w:ascii="宋体" w:hAnsi="宋体" w:eastAsia="宋体"/>
          <w:b/>
          <w:sz w:val="24"/>
        </w:rPr>
        <w:t>12.1.2 工作内容</w:t>
      </w:r>
    </w:p>
    <w:p>
      <w:pPr>
        <w:spacing w:line="360" w:lineRule="auto"/>
        <w:ind w:firstLine="480"/>
      </w:pPr>
      <w:r>
        <w:rPr>
          <w:rFonts w:ascii="宋体" w:hAnsi="宋体" w:eastAsia="宋体"/>
          <w:b w:val="0"/>
          <w:sz w:val="24"/>
        </w:rPr>
        <w:t>（1）地区供电电压总体情况梳理</w:t>
      </w:r>
    </w:p>
    <w:p>
      <w:pPr>
        <w:spacing w:line="360" w:lineRule="auto"/>
        <w:ind w:firstLine="480"/>
      </w:pPr>
      <w:r>
        <w:rPr>
          <w:rFonts w:ascii="宋体" w:hAnsi="宋体" w:eastAsia="宋体"/>
          <w:b w:val="0"/>
          <w:sz w:val="24"/>
        </w:rPr>
        <w:t>系统梳理博州地区电网网架结构、负荷特性、无功调压装备配置、电压合格率等整体情况。重点分析各电压等级的电压水平、电压波动特征、无功平衡状况等。形成地区供电电压总体情况报告，全面客观地反映博州地区供电电压的整体水平和主要特征。</w:t>
      </w:r>
    </w:p>
    <w:p>
      <w:pPr>
        <w:spacing w:line="360" w:lineRule="auto"/>
        <w:ind w:firstLine="480"/>
      </w:pPr>
      <w:r>
        <w:rPr>
          <w:rFonts w:ascii="宋体" w:hAnsi="宋体" w:eastAsia="宋体"/>
          <w:b w:val="0"/>
          <w:sz w:val="24"/>
        </w:rPr>
        <w:t>（2）逐站深度分析</w:t>
      </w:r>
    </w:p>
    <w:p>
      <w:pPr>
        <w:spacing w:line="360" w:lineRule="auto"/>
        <w:ind w:firstLine="480"/>
      </w:pPr>
      <w:r>
        <w:rPr>
          <w:rFonts w:ascii="宋体" w:hAnsi="宋体" w:eastAsia="宋体"/>
          <w:b w:val="0"/>
          <w:sz w:val="24"/>
        </w:rPr>
        <w:t>对博州地区各35kV及以上变电站逐一进行深度分析，评估各站的电压调节能力、无功补偿配置合理性、有载调压控制策略有效性等。分析各站母线电压的日变化规律、季节变化特征、越限情况等，明确变电站层面存在的具体问题。</w:t>
      </w:r>
    </w:p>
    <w:p>
      <w:pPr>
        <w:spacing w:line="360" w:lineRule="auto"/>
        <w:ind w:firstLine="480"/>
      </w:pPr>
      <w:r>
        <w:rPr>
          <w:rFonts w:ascii="宋体" w:hAnsi="宋体" w:eastAsia="宋体"/>
          <w:b w:val="0"/>
          <w:sz w:val="24"/>
        </w:rPr>
        <w:t>（3）逐线深度分析</w:t>
      </w:r>
    </w:p>
    <w:p>
      <w:pPr>
        <w:spacing w:line="360" w:lineRule="auto"/>
        <w:ind w:firstLine="480"/>
      </w:pPr>
      <w:r>
        <w:rPr>
          <w:rFonts w:ascii="宋体" w:hAnsi="宋体" w:eastAsia="宋体"/>
          <w:b w:val="0"/>
          <w:sz w:val="24"/>
        </w:rPr>
        <w:t>对博州地区各10kV配电线路逐一进行深度分析，分析各线路的负荷分布、电压分布、无功分布、损耗水平等。重点关注供电半径过长、负荷集中度高、联络率低的线路，明确线路层面存在的具体问题及其对下游台区和用户电压的影响。</w:t>
      </w:r>
    </w:p>
    <w:p>
      <w:pPr>
        <w:spacing w:line="360" w:lineRule="auto"/>
        <w:ind w:firstLine="480"/>
      </w:pPr>
      <w:r>
        <w:rPr>
          <w:rFonts w:ascii="宋体" w:hAnsi="宋体" w:eastAsia="宋体"/>
          <w:b w:val="0"/>
          <w:sz w:val="24"/>
        </w:rPr>
        <w:t>（4）逐台区深度分析</w:t>
      </w:r>
    </w:p>
    <w:p>
      <w:pPr>
        <w:spacing w:line="360" w:lineRule="auto"/>
        <w:ind w:firstLine="480"/>
      </w:pPr>
      <w:r>
        <w:rPr>
          <w:rFonts w:ascii="宋体" w:hAnsi="宋体" w:eastAsia="宋体"/>
          <w:b w:val="0"/>
          <w:sz w:val="24"/>
        </w:rPr>
        <w:t>对博州地区各配电台区逐一进行深度分析，评估台区的负载率、三相不平衡度、低压线路供电半径、用户电压合格率等关键指标。识别重过载台区、高损台区、低电压台区等问题台区，明确台区层面存在的具体问题。</w:t>
      </w:r>
    </w:p>
    <w:p>
      <w:pPr>
        <w:spacing w:line="360" w:lineRule="auto"/>
        <w:ind w:firstLine="480"/>
      </w:pPr>
      <w:r>
        <w:rPr>
          <w:rFonts w:ascii="宋体" w:hAnsi="宋体" w:eastAsia="宋体"/>
          <w:b w:val="0"/>
          <w:sz w:val="24"/>
        </w:rPr>
        <w:t>（5）问题诊断与管控策略制定</w:t>
      </w:r>
    </w:p>
    <w:p>
      <w:pPr>
        <w:spacing w:line="360" w:lineRule="auto"/>
        <w:ind w:firstLine="480"/>
      </w:pPr>
      <w:r>
        <w:rPr>
          <w:rFonts w:ascii="宋体" w:hAnsi="宋体" w:eastAsia="宋体"/>
          <w:b w:val="0"/>
          <w:sz w:val="24"/>
        </w:rPr>
        <w:t>综合各层级分析结果，从系统网架、运维管理、装备设备等方面明确具体问题，结合设备参数、运行参数详细说明问题成因。针对排查出的具体问题，逐一制定管理措施、运维措施、项目措施。形成近期、中期、远期治理计划与项目储备清单。</w:t>
      </w:r>
    </w:p>
    <w:p>
      <w:pPr>
        <w:spacing w:line="360" w:lineRule="auto"/>
        <w:ind w:firstLine="480"/>
      </w:pPr>
      <w:r>
        <w:rPr>
          <w:rFonts w:ascii="宋体" w:hAnsi="宋体" w:eastAsia="宋体"/>
          <w:b/>
          <w:sz w:val="24"/>
        </w:rPr>
        <w:t>12.1.3 成果交付</w:t>
      </w:r>
    </w:p>
    <w:p>
      <w:pPr>
        <w:spacing w:line="360" w:lineRule="auto"/>
        <w:ind w:firstLine="480"/>
      </w:pPr>
      <w:r>
        <w:rPr>
          <w:rFonts w:ascii="宋体" w:hAnsi="宋体" w:eastAsia="宋体"/>
          <w:b w:val="0"/>
          <w:sz w:val="24"/>
        </w:rPr>
        <w:t>- 博州地区供电电压总体情况报告</w:t>
      </w:r>
    </w:p>
    <w:p>
      <w:pPr>
        <w:spacing w:line="360" w:lineRule="auto"/>
        <w:ind w:firstLine="480"/>
      </w:pPr>
      <w:r>
        <w:rPr>
          <w:rFonts w:ascii="宋体" w:hAnsi="宋体" w:eastAsia="宋体"/>
          <w:b w:val="0"/>
          <w:sz w:val="24"/>
        </w:rPr>
        <w:t>- 各变电站电压分析报告</w:t>
      </w:r>
    </w:p>
    <w:p>
      <w:pPr>
        <w:spacing w:line="360" w:lineRule="auto"/>
        <w:ind w:firstLine="480"/>
      </w:pPr>
      <w:r>
        <w:rPr>
          <w:rFonts w:ascii="宋体" w:hAnsi="宋体" w:eastAsia="宋体"/>
          <w:b w:val="0"/>
          <w:sz w:val="24"/>
        </w:rPr>
        <w:t>- 各10kV线路电压分析报告</w:t>
      </w:r>
    </w:p>
    <w:p>
      <w:pPr>
        <w:spacing w:line="360" w:lineRule="auto"/>
        <w:ind w:firstLine="480"/>
      </w:pPr>
      <w:r>
        <w:rPr>
          <w:rFonts w:ascii="宋体" w:hAnsi="宋体" w:eastAsia="宋体"/>
          <w:b w:val="0"/>
          <w:sz w:val="24"/>
        </w:rPr>
        <w:t>- 各配电台区电压分析报告</w:t>
      </w:r>
    </w:p>
    <w:p>
      <w:pPr>
        <w:spacing w:line="360" w:lineRule="auto"/>
        <w:ind w:firstLine="480"/>
      </w:pPr>
      <w:r>
        <w:rPr>
          <w:rFonts w:ascii="宋体" w:hAnsi="宋体" w:eastAsia="宋体"/>
          <w:b w:val="0"/>
          <w:sz w:val="24"/>
        </w:rPr>
        <w:t>- 电压问题台账</w:t>
      </w:r>
    </w:p>
    <w:p>
      <w:pPr>
        <w:spacing w:line="360" w:lineRule="auto"/>
        <w:ind w:firstLine="480"/>
      </w:pPr>
      <w:r>
        <w:rPr>
          <w:rFonts w:ascii="宋体" w:hAnsi="宋体" w:eastAsia="宋体"/>
          <w:b w:val="0"/>
          <w:sz w:val="24"/>
        </w:rPr>
        <w:t>- 治理措施清单（管理措施、运维措施、项目措施）</w:t>
      </w:r>
    </w:p>
    <w:p>
      <w:pPr>
        <w:spacing w:line="360" w:lineRule="auto"/>
        <w:ind w:firstLine="480"/>
      </w:pPr>
      <w:r>
        <w:rPr>
          <w:rFonts w:ascii="宋体" w:hAnsi="宋体" w:eastAsia="宋体"/>
          <w:b w:val="0"/>
          <w:sz w:val="24"/>
        </w:rPr>
        <w:t>- 近期、中期、远期治理计划</w:t>
      </w:r>
    </w:p>
    <w:p>
      <w:pPr>
        <w:spacing w:line="360" w:lineRule="auto"/>
        <w:ind w:firstLine="480"/>
      </w:pPr>
      <w:r>
        <w:rPr>
          <w:rFonts w:ascii="宋体" w:hAnsi="宋体" w:eastAsia="宋体"/>
          <w:b w:val="0"/>
          <w:sz w:val="24"/>
        </w:rPr>
        <w:t>- 项目储备清单</w:t>
      </w:r>
    </w:p>
    <w:p>
      <w:pPr>
        <w:pStyle w:val="Heading2"/>
      </w:pPr>
      <w:r>
        <w:rPr>
          <w:rFonts w:ascii="黑体" w:hAnsi="黑体" w:eastAsia="黑体"/>
        </w:rPr>
        <w:t>12.2 服务内容二：多源数据比对与质量核查</w:t>
      </w:r>
    </w:p>
    <w:p>
      <w:pPr>
        <w:spacing w:line="360" w:lineRule="auto"/>
        <w:ind w:firstLine="480"/>
      </w:pPr>
      <w:r>
        <w:rPr>
          <w:rFonts w:ascii="宋体" w:hAnsi="宋体" w:eastAsia="宋体"/>
          <w:b/>
          <w:sz w:val="24"/>
        </w:rPr>
        <w:t>12.2.1 工作目标</w:t>
      </w:r>
    </w:p>
    <w:p>
      <w:pPr>
        <w:spacing w:line="360" w:lineRule="auto"/>
        <w:ind w:firstLine="480"/>
      </w:pPr>
      <w:r>
        <w:rPr>
          <w:rFonts w:ascii="宋体" w:hAnsi="宋体" w:eastAsia="宋体"/>
          <w:b w:val="0"/>
          <w:sz w:val="24"/>
        </w:rPr>
        <w:t>结合全口径电压系统开展多源数据比对分析，开展全量数据质量核查，确保电压监测数据的真实性和可靠性。</w:t>
      </w:r>
    </w:p>
    <w:p>
      <w:pPr>
        <w:spacing w:line="360" w:lineRule="auto"/>
        <w:ind w:firstLine="480"/>
      </w:pPr>
      <w:r>
        <w:rPr>
          <w:rFonts w:ascii="宋体" w:hAnsi="宋体" w:eastAsia="宋体"/>
          <w:b/>
          <w:sz w:val="24"/>
        </w:rPr>
        <w:t>12.2.2 工作内容</w:t>
      </w:r>
    </w:p>
    <w:p>
      <w:pPr>
        <w:spacing w:line="360" w:lineRule="auto"/>
        <w:ind w:firstLine="480"/>
      </w:pPr>
      <w:r>
        <w:rPr>
          <w:rFonts w:ascii="宋体" w:hAnsi="宋体" w:eastAsia="宋体"/>
          <w:b w:val="0"/>
          <w:sz w:val="24"/>
        </w:rPr>
        <w:t>（1）多源数据比对分析</w:t>
      </w:r>
    </w:p>
    <w:p>
      <w:pPr>
        <w:spacing w:line="360" w:lineRule="auto"/>
        <w:ind w:firstLine="480"/>
      </w:pPr>
      <w:r>
        <w:rPr>
          <w:rFonts w:ascii="宋体" w:hAnsi="宋体" w:eastAsia="宋体"/>
          <w:b w:val="0"/>
          <w:sz w:val="24"/>
        </w:rPr>
        <w:t>从用电信息采集系统、SCADA系统、配电自动化系统等多个数据源获取电压监测数据，进行交叉比对分析。重点核查D类电压监测点数据的真实性，分析电压曲线与实际运行情况的一致性，识别数据异常和偏差。</w:t>
      </w:r>
    </w:p>
    <w:p>
      <w:pPr>
        <w:spacing w:line="360" w:lineRule="auto"/>
        <w:ind w:firstLine="480"/>
      </w:pPr>
      <w:r>
        <w:rPr>
          <w:rFonts w:ascii="宋体" w:hAnsi="宋体" w:eastAsia="宋体"/>
          <w:b w:val="0"/>
          <w:sz w:val="24"/>
        </w:rPr>
        <w:t>（2）全量数据质量核查</w:t>
      </w:r>
    </w:p>
    <w:p>
      <w:pPr>
        <w:spacing w:line="360" w:lineRule="auto"/>
        <w:ind w:firstLine="480"/>
      </w:pPr>
      <w:r>
        <w:rPr>
          <w:rFonts w:ascii="宋体" w:hAnsi="宋体" w:eastAsia="宋体"/>
          <w:b w:val="0"/>
          <w:sz w:val="24"/>
        </w:rPr>
        <w:t>对全口径用户电压监测数据进行全量质量核查，包括数据完整性检查、数据合理性验证、异常数据识别和标注等。分析数据缺失、数据跳变、数据固化等常见数据质量问题的分布和成因。</w:t>
      </w:r>
    </w:p>
    <w:p>
      <w:pPr>
        <w:spacing w:line="360" w:lineRule="auto"/>
        <w:ind w:firstLine="480"/>
      </w:pPr>
      <w:r>
        <w:rPr>
          <w:rFonts w:ascii="宋体" w:hAnsi="宋体" w:eastAsia="宋体"/>
          <w:b w:val="0"/>
          <w:sz w:val="24"/>
        </w:rPr>
        <w:t>（3）偏差问题清单编制</w:t>
      </w:r>
    </w:p>
    <w:p>
      <w:pPr>
        <w:spacing w:line="360" w:lineRule="auto"/>
        <w:ind w:firstLine="480"/>
      </w:pPr>
      <w:r>
        <w:rPr>
          <w:rFonts w:ascii="宋体" w:hAnsi="宋体" w:eastAsia="宋体"/>
          <w:b w:val="0"/>
          <w:sz w:val="24"/>
        </w:rPr>
        <w:t>编制全口径与监管类电压合格率偏差问题清单，明确偏差类型、偏差程度、影响范围和问题原因。按照偏差程度和影响范围进行分级分类，确定整改优先级。</w:t>
      </w:r>
    </w:p>
    <w:p>
      <w:pPr>
        <w:spacing w:line="360" w:lineRule="auto"/>
        <w:ind w:firstLine="480"/>
      </w:pPr>
      <w:r>
        <w:rPr>
          <w:rFonts w:ascii="宋体" w:hAnsi="宋体" w:eastAsia="宋体"/>
          <w:b w:val="0"/>
          <w:sz w:val="24"/>
        </w:rPr>
        <w:t>（4）配合完成整改</w:t>
      </w:r>
    </w:p>
    <w:p>
      <w:pPr>
        <w:spacing w:line="360" w:lineRule="auto"/>
        <w:ind w:firstLine="480"/>
      </w:pPr>
      <w:r>
        <w:rPr>
          <w:rFonts w:ascii="宋体" w:hAnsi="宋体" w:eastAsia="宋体"/>
          <w:b w:val="0"/>
          <w:sz w:val="24"/>
        </w:rPr>
        <w:t>配合博尔塔拉供电公司相关部门完成数据质量问题的整改工作。提供技术支持和整改建议，跟踪整改进度和效果，确保数据质量问题得到彻底解决。</w:t>
      </w:r>
    </w:p>
    <w:p>
      <w:pPr>
        <w:spacing w:line="360" w:lineRule="auto"/>
        <w:ind w:firstLine="480"/>
      </w:pPr>
      <w:r>
        <w:rPr>
          <w:rFonts w:ascii="宋体" w:hAnsi="宋体" w:eastAsia="宋体"/>
          <w:b w:val="0"/>
          <w:sz w:val="24"/>
        </w:rPr>
        <w:t>（5）"四不两直"现场检查</w:t>
      </w:r>
    </w:p>
    <w:p>
      <w:pPr>
        <w:spacing w:line="360" w:lineRule="auto"/>
        <w:ind w:firstLine="480"/>
      </w:pPr>
      <w:r>
        <w:rPr>
          <w:rFonts w:ascii="宋体" w:hAnsi="宋体" w:eastAsia="宋体"/>
          <w:b w:val="0"/>
          <w:sz w:val="24"/>
        </w:rPr>
        <w:t>配合博尔塔拉公司定期开展监管类电压的"四不两直"现场检查工作，对抽检点位的电压实测值与系统监测值进行比对验证，编制现场检查报告。</w:t>
      </w:r>
    </w:p>
    <w:p>
      <w:pPr>
        <w:spacing w:line="360" w:lineRule="auto"/>
        <w:ind w:firstLine="480"/>
      </w:pPr>
      <w:r>
        <w:rPr>
          <w:rFonts w:ascii="宋体" w:hAnsi="宋体" w:eastAsia="宋体"/>
          <w:b/>
          <w:sz w:val="24"/>
        </w:rPr>
        <w:t>12.2.3 成果交付</w:t>
      </w:r>
    </w:p>
    <w:p>
      <w:pPr>
        <w:spacing w:line="360" w:lineRule="auto"/>
        <w:ind w:firstLine="480"/>
      </w:pPr>
      <w:r>
        <w:rPr>
          <w:rFonts w:ascii="宋体" w:hAnsi="宋体" w:eastAsia="宋体"/>
          <w:b w:val="0"/>
          <w:sz w:val="24"/>
        </w:rPr>
        <w:t>- 多源数据比对分析报告</w:t>
      </w:r>
    </w:p>
    <w:p>
      <w:pPr>
        <w:spacing w:line="360" w:lineRule="auto"/>
        <w:ind w:firstLine="480"/>
      </w:pPr>
      <w:r>
        <w:rPr>
          <w:rFonts w:ascii="宋体" w:hAnsi="宋体" w:eastAsia="宋体"/>
          <w:b w:val="0"/>
          <w:sz w:val="24"/>
        </w:rPr>
        <w:t>- 全量数据质量核查报告</w:t>
      </w:r>
    </w:p>
    <w:p>
      <w:pPr>
        <w:spacing w:line="360" w:lineRule="auto"/>
        <w:ind w:firstLine="480"/>
      </w:pPr>
      <w:r>
        <w:rPr>
          <w:rFonts w:ascii="宋体" w:hAnsi="宋体" w:eastAsia="宋体"/>
          <w:b w:val="0"/>
          <w:sz w:val="24"/>
        </w:rPr>
        <w:t>- 全口径与监管类电压合格率偏差问题清单</w:t>
      </w:r>
    </w:p>
    <w:p>
      <w:pPr>
        <w:spacing w:line="360" w:lineRule="auto"/>
        <w:ind w:firstLine="480"/>
      </w:pPr>
      <w:r>
        <w:rPr>
          <w:rFonts w:ascii="宋体" w:hAnsi="宋体" w:eastAsia="宋体"/>
          <w:b w:val="0"/>
          <w:sz w:val="24"/>
        </w:rPr>
        <w:t>- 数据质量整改建议书</w:t>
      </w:r>
    </w:p>
    <w:p>
      <w:pPr>
        <w:spacing w:line="360" w:lineRule="auto"/>
        <w:ind w:firstLine="480"/>
      </w:pPr>
      <w:r>
        <w:rPr>
          <w:rFonts w:ascii="宋体" w:hAnsi="宋体" w:eastAsia="宋体"/>
          <w:b w:val="0"/>
          <w:sz w:val="24"/>
        </w:rPr>
        <w:t>- "四不两直"现场检查报告</w:t>
      </w:r>
    </w:p>
    <w:p>
      <w:pPr>
        <w:pStyle w:val="Heading2"/>
      </w:pPr>
      <w:r>
        <w:rPr>
          <w:rFonts w:ascii="黑体" w:hAnsi="黑体" w:eastAsia="黑体"/>
        </w:rPr>
        <w:t>12.3 服务内容三：调压装置优化配置</w:t>
      </w:r>
    </w:p>
    <w:p>
      <w:pPr>
        <w:spacing w:line="360" w:lineRule="auto"/>
        <w:ind w:firstLine="480"/>
      </w:pPr>
      <w:r>
        <w:rPr>
          <w:rFonts w:ascii="宋体" w:hAnsi="宋体" w:eastAsia="宋体"/>
          <w:b/>
          <w:sz w:val="24"/>
        </w:rPr>
        <w:t>12.3.1 工作目标</w:t>
      </w:r>
    </w:p>
    <w:p>
      <w:pPr>
        <w:spacing w:line="360" w:lineRule="auto"/>
        <w:ind w:firstLine="480"/>
      </w:pPr>
      <w:r>
        <w:rPr>
          <w:rFonts w:ascii="宋体" w:hAnsi="宋体" w:eastAsia="宋体"/>
          <w:b w:val="0"/>
          <w:sz w:val="24"/>
        </w:rPr>
        <w:t>针对短期内无法通过网架结构升级的线路，提供最优的调压装置和无功补偿装置配置方案。</w:t>
      </w:r>
    </w:p>
    <w:p>
      <w:pPr>
        <w:spacing w:line="360" w:lineRule="auto"/>
        <w:ind w:firstLine="480"/>
      </w:pPr>
      <w:r>
        <w:rPr>
          <w:rFonts w:ascii="宋体" w:hAnsi="宋体" w:eastAsia="宋体"/>
          <w:b/>
          <w:sz w:val="24"/>
        </w:rPr>
        <w:t>12.3.2 工作内容</w:t>
      </w:r>
    </w:p>
    <w:p>
      <w:pPr>
        <w:spacing w:line="360" w:lineRule="auto"/>
        <w:ind w:firstLine="480"/>
      </w:pPr>
      <w:r>
        <w:rPr>
          <w:rFonts w:ascii="宋体" w:hAnsi="宋体" w:eastAsia="宋体"/>
          <w:b w:val="0"/>
          <w:sz w:val="24"/>
        </w:rPr>
        <w:t>（1）线路负荷转供核查</w:t>
      </w:r>
    </w:p>
    <w:p>
      <w:pPr>
        <w:spacing w:line="360" w:lineRule="auto"/>
        <w:ind w:firstLine="480"/>
      </w:pPr>
      <w:r>
        <w:rPr>
          <w:rFonts w:ascii="宋体" w:hAnsi="宋体" w:eastAsia="宋体"/>
          <w:b w:val="0"/>
          <w:sz w:val="24"/>
        </w:rPr>
        <w:t>优先核查线路负荷转供的可能性和可行性。分析各线路的联络关系、转供能力、负荷分布等，评估通过负荷转移缓解电压问题的潜力。提供负荷转供方案建议。</w:t>
      </w:r>
    </w:p>
    <w:p>
      <w:pPr>
        <w:spacing w:line="360" w:lineRule="auto"/>
        <w:ind w:firstLine="480"/>
      </w:pPr>
      <w:r>
        <w:rPr>
          <w:rFonts w:ascii="宋体" w:hAnsi="宋体" w:eastAsia="宋体"/>
          <w:b w:val="0"/>
          <w:sz w:val="24"/>
        </w:rPr>
        <w:t>（2）分段开关配置建议</w:t>
      </w:r>
    </w:p>
    <w:p>
      <w:pPr>
        <w:spacing w:line="360" w:lineRule="auto"/>
        <w:ind w:firstLine="480"/>
      </w:pPr>
      <w:r>
        <w:rPr>
          <w:rFonts w:ascii="宋体" w:hAnsi="宋体" w:eastAsia="宋体"/>
          <w:b w:val="0"/>
          <w:sz w:val="24"/>
        </w:rPr>
        <w:t>对需要提高转供灵活性的线路，分析分段开关的最优配置位置和数量，提供分段开关配置建议方案。</w:t>
      </w:r>
    </w:p>
    <w:p>
      <w:pPr>
        <w:spacing w:line="360" w:lineRule="auto"/>
        <w:ind w:firstLine="480"/>
      </w:pPr>
      <w:r>
        <w:rPr>
          <w:rFonts w:ascii="宋体" w:hAnsi="宋体" w:eastAsia="宋体"/>
          <w:b w:val="0"/>
          <w:sz w:val="24"/>
        </w:rPr>
        <w:t>（3）调压装置优化配置</w:t>
      </w:r>
    </w:p>
    <w:p>
      <w:pPr>
        <w:spacing w:line="360" w:lineRule="auto"/>
        <w:ind w:firstLine="480"/>
      </w:pPr>
      <w:r>
        <w:rPr>
          <w:rFonts w:ascii="宋体" w:hAnsi="宋体" w:eastAsia="宋体"/>
          <w:b w:val="0"/>
          <w:sz w:val="24"/>
        </w:rPr>
        <w:t>对于电源点不足、无法通过负荷转出解决电压问题的线路，以电压合格率最优为目标，采用优化算法测算线路调压装置（如线路调压器、有载调容变压器等）的最优安装位置和容量配置。</w:t>
      </w:r>
    </w:p>
    <w:p>
      <w:pPr>
        <w:spacing w:line="360" w:lineRule="auto"/>
        <w:ind w:firstLine="480"/>
      </w:pPr>
      <w:r>
        <w:rPr>
          <w:rFonts w:ascii="宋体" w:hAnsi="宋体" w:eastAsia="宋体"/>
          <w:b w:val="0"/>
          <w:sz w:val="24"/>
        </w:rPr>
        <w:t>（4）无功补偿装置优化配置</w:t>
      </w:r>
    </w:p>
    <w:p>
      <w:pPr>
        <w:spacing w:line="360" w:lineRule="auto"/>
        <w:ind w:firstLine="480"/>
      </w:pPr>
      <w:r>
        <w:rPr>
          <w:rFonts w:ascii="宋体" w:hAnsi="宋体" w:eastAsia="宋体"/>
          <w:b w:val="0"/>
          <w:sz w:val="24"/>
        </w:rPr>
        <w:t>以线损最优为目标，结合电压约束条件，测算无功补偿装置（如电容器组、SVG等）的最优安装位置和补偿容量。</w:t>
      </w:r>
    </w:p>
    <w:p>
      <w:pPr>
        <w:spacing w:line="360" w:lineRule="auto"/>
        <w:ind w:firstLine="480"/>
      </w:pPr>
      <w:r>
        <w:rPr>
          <w:rFonts w:ascii="宋体" w:hAnsi="宋体" w:eastAsia="宋体"/>
          <w:b w:val="0"/>
          <w:sz w:val="24"/>
        </w:rPr>
        <w:t>（5）多方案比选</w:t>
      </w:r>
    </w:p>
    <w:p>
      <w:pPr>
        <w:spacing w:line="360" w:lineRule="auto"/>
        <w:ind w:firstLine="480"/>
      </w:pPr>
      <w:r>
        <w:rPr>
          <w:rFonts w:ascii="宋体" w:hAnsi="宋体" w:eastAsia="宋体"/>
          <w:b w:val="0"/>
          <w:sz w:val="24"/>
        </w:rPr>
        <w:t>提供多种组合可选方案，从技术效果、投资成本、实施难度、维护要求等多个维度进行综合比较，推荐最优方案。</w:t>
      </w:r>
    </w:p>
    <w:p>
      <w:pPr>
        <w:spacing w:line="360" w:lineRule="auto"/>
        <w:ind w:firstLine="480"/>
      </w:pPr>
      <w:r>
        <w:rPr>
          <w:rFonts w:ascii="宋体" w:hAnsi="宋体" w:eastAsia="宋体"/>
          <w:b/>
          <w:sz w:val="24"/>
        </w:rPr>
        <w:t>12.3.3 成果交付</w:t>
      </w:r>
    </w:p>
    <w:p>
      <w:pPr>
        <w:spacing w:line="360" w:lineRule="auto"/>
        <w:ind w:firstLine="480"/>
      </w:pPr>
      <w:r>
        <w:rPr>
          <w:rFonts w:ascii="宋体" w:hAnsi="宋体" w:eastAsia="宋体"/>
          <w:b w:val="0"/>
          <w:sz w:val="24"/>
        </w:rPr>
        <w:t>- 线路负荷转供分析报告</w:t>
      </w:r>
    </w:p>
    <w:p>
      <w:pPr>
        <w:spacing w:line="360" w:lineRule="auto"/>
        <w:ind w:firstLine="480"/>
      </w:pPr>
      <w:r>
        <w:rPr>
          <w:rFonts w:ascii="宋体" w:hAnsi="宋体" w:eastAsia="宋体"/>
          <w:b w:val="0"/>
          <w:sz w:val="24"/>
        </w:rPr>
        <w:t>- 分段开关配置建议方案</w:t>
      </w:r>
    </w:p>
    <w:p>
      <w:pPr>
        <w:spacing w:line="360" w:lineRule="auto"/>
        <w:ind w:firstLine="480"/>
      </w:pPr>
      <w:r>
        <w:rPr>
          <w:rFonts w:ascii="宋体" w:hAnsi="宋体" w:eastAsia="宋体"/>
          <w:b w:val="0"/>
          <w:sz w:val="24"/>
        </w:rPr>
        <w:t>- 调压装置优化配置方案</w:t>
      </w:r>
    </w:p>
    <w:p>
      <w:pPr>
        <w:spacing w:line="360" w:lineRule="auto"/>
        <w:ind w:firstLine="480"/>
      </w:pPr>
      <w:r>
        <w:rPr>
          <w:rFonts w:ascii="宋体" w:hAnsi="宋体" w:eastAsia="宋体"/>
          <w:b w:val="0"/>
          <w:sz w:val="24"/>
        </w:rPr>
        <w:t>- 无功补偿装置优化配置方案</w:t>
      </w:r>
    </w:p>
    <w:p>
      <w:pPr>
        <w:spacing w:line="360" w:lineRule="auto"/>
        <w:ind w:firstLine="480"/>
      </w:pPr>
      <w:r>
        <w:rPr>
          <w:rFonts w:ascii="宋体" w:hAnsi="宋体" w:eastAsia="宋体"/>
          <w:b w:val="0"/>
          <w:sz w:val="24"/>
        </w:rPr>
        <w:t>- 多方案技术经济比较报告</w:t>
      </w:r>
    </w:p>
    <w:p>
      <w:pPr>
        <w:pStyle w:val="Heading2"/>
      </w:pPr>
      <w:r>
        <w:rPr>
          <w:rFonts w:ascii="黑体" w:hAnsi="黑体" w:eastAsia="黑体"/>
        </w:rPr>
        <w:t>12.4 服务内容四：严重越限典型台区专项治理</w:t>
      </w:r>
    </w:p>
    <w:p>
      <w:pPr>
        <w:spacing w:line="360" w:lineRule="auto"/>
        <w:ind w:firstLine="480"/>
      </w:pPr>
      <w:r>
        <w:rPr>
          <w:rFonts w:ascii="宋体" w:hAnsi="宋体" w:eastAsia="宋体"/>
          <w:b/>
          <w:sz w:val="24"/>
        </w:rPr>
        <w:t>12.4.1 工作目标</w:t>
      </w:r>
    </w:p>
    <w:p>
      <w:pPr>
        <w:spacing w:line="360" w:lineRule="auto"/>
        <w:ind w:firstLine="480"/>
      </w:pPr>
      <w:r>
        <w:rPr>
          <w:rFonts w:ascii="宋体" w:hAnsi="宋体" w:eastAsia="宋体"/>
          <w:b w:val="0"/>
          <w:sz w:val="24"/>
        </w:rPr>
        <w:t>针对严重越限典型台区，通过精准诊断和科学治理，消除电压严重越限问题。</w:t>
      </w:r>
    </w:p>
    <w:p>
      <w:pPr>
        <w:spacing w:line="360" w:lineRule="auto"/>
        <w:ind w:firstLine="480"/>
      </w:pPr>
      <w:r>
        <w:rPr>
          <w:rFonts w:ascii="宋体" w:hAnsi="宋体" w:eastAsia="宋体"/>
          <w:b/>
          <w:sz w:val="24"/>
        </w:rPr>
        <w:t>12.4.2 工作内容</w:t>
      </w:r>
    </w:p>
    <w:p>
      <w:pPr>
        <w:spacing w:line="360" w:lineRule="auto"/>
        <w:ind w:firstLine="480"/>
      </w:pPr>
      <w:r>
        <w:rPr>
          <w:rFonts w:ascii="宋体" w:hAnsi="宋体" w:eastAsia="宋体"/>
          <w:b w:val="0"/>
          <w:sz w:val="24"/>
        </w:rPr>
        <w:t>（1）典型台区筛选与确定</w:t>
      </w:r>
    </w:p>
    <w:p>
      <w:pPr>
        <w:spacing w:line="360" w:lineRule="auto"/>
        <w:ind w:firstLine="480"/>
      </w:pPr>
      <w:r>
        <w:rPr>
          <w:rFonts w:ascii="宋体" w:hAnsi="宋体" w:eastAsia="宋体"/>
          <w:b w:val="0"/>
          <w:sz w:val="24"/>
        </w:rPr>
        <w:t>根据电压越限程度、影响用户数量、问题代表性等因素，筛选确定需要开展专项治理的严重越限典型台区。</w:t>
      </w:r>
    </w:p>
    <w:p>
      <w:pPr>
        <w:spacing w:line="360" w:lineRule="auto"/>
        <w:ind w:firstLine="480"/>
      </w:pPr>
      <w:r>
        <w:rPr>
          <w:rFonts w:ascii="宋体" w:hAnsi="宋体" w:eastAsia="宋体"/>
          <w:b w:val="0"/>
          <w:sz w:val="24"/>
        </w:rPr>
        <w:t>（2）现场勘查勘察</w:t>
      </w:r>
    </w:p>
    <w:p>
      <w:pPr>
        <w:spacing w:line="360" w:lineRule="auto"/>
        <w:ind w:firstLine="480"/>
      </w:pPr>
      <w:r>
        <w:rPr>
          <w:rFonts w:ascii="宋体" w:hAnsi="宋体" w:eastAsia="宋体"/>
          <w:b w:val="0"/>
          <w:sz w:val="24"/>
        </w:rPr>
        <w:t>对确定的典型台区进行详细的现场勘查勘察，包括配变设备状况检查、低压线路走向和长度测量、用户接入情况调查、负荷特性测试等，全面掌握台区的实际运行情况。</w:t>
      </w:r>
    </w:p>
    <w:p>
      <w:pPr>
        <w:spacing w:line="360" w:lineRule="auto"/>
        <w:ind w:firstLine="480"/>
      </w:pPr>
      <w:r>
        <w:rPr>
          <w:rFonts w:ascii="宋体" w:hAnsi="宋体" w:eastAsia="宋体"/>
          <w:b w:val="0"/>
          <w:sz w:val="24"/>
        </w:rPr>
        <w:t>（3）多维指标评价</w:t>
      </w:r>
    </w:p>
    <w:p>
      <w:pPr>
        <w:spacing w:line="360" w:lineRule="auto"/>
        <w:ind w:firstLine="480"/>
      </w:pPr>
      <w:r>
        <w:rPr>
          <w:rFonts w:ascii="宋体" w:hAnsi="宋体" w:eastAsia="宋体"/>
          <w:b w:val="0"/>
          <w:sz w:val="24"/>
        </w:rPr>
        <w:t>制定三相不平衡、重过载、电压波动等影响因素的多维指标评价体系，对各影响因素的严重程度和相互关系进行定量评价。测算各因素对电压指数的影响贡献度，确定治理的主要方向和优先顺序。</w:t>
      </w:r>
    </w:p>
    <w:p>
      <w:pPr>
        <w:spacing w:line="360" w:lineRule="auto"/>
        <w:ind w:firstLine="480"/>
      </w:pPr>
      <w:r>
        <w:rPr>
          <w:rFonts w:ascii="宋体" w:hAnsi="宋体" w:eastAsia="宋体"/>
          <w:b w:val="0"/>
          <w:sz w:val="24"/>
        </w:rPr>
        <w:t>（4）仿真模拟分析</w:t>
      </w:r>
    </w:p>
    <w:p>
      <w:pPr>
        <w:spacing w:line="360" w:lineRule="auto"/>
        <w:ind w:firstLine="480"/>
      </w:pPr>
      <w:r>
        <w:rPr>
          <w:rFonts w:ascii="宋体" w:hAnsi="宋体" w:eastAsia="宋体"/>
          <w:b w:val="0"/>
          <w:sz w:val="24"/>
        </w:rPr>
        <w:t>建立典型台区的精细化仿真模型，导入实测数据进行模型校核。在此基础上，对各种治理方案进行仿真模拟，预测治理效果，优化方案参数。</w:t>
      </w:r>
    </w:p>
    <w:p>
      <w:pPr>
        <w:spacing w:line="360" w:lineRule="auto"/>
        <w:ind w:firstLine="480"/>
      </w:pPr>
      <w:r>
        <w:rPr>
          <w:rFonts w:ascii="宋体" w:hAnsi="宋体" w:eastAsia="宋体"/>
          <w:b w:val="0"/>
          <w:sz w:val="24"/>
        </w:rPr>
        <w:t>（5）精准治理方案制定</w:t>
      </w:r>
    </w:p>
    <w:p>
      <w:pPr>
        <w:spacing w:line="360" w:lineRule="auto"/>
        <w:ind w:firstLine="480"/>
      </w:pPr>
      <w:r>
        <w:rPr>
          <w:rFonts w:ascii="宋体" w:hAnsi="宋体" w:eastAsia="宋体"/>
          <w:b w:val="0"/>
          <w:sz w:val="24"/>
        </w:rPr>
        <w:t>基于多维指标评价和仿真模拟结果，制定针对性强、可操作性好的精准治理方案。方案内容包括治理目标、治理措施、实施步骤、预期效果等。</w:t>
      </w:r>
    </w:p>
    <w:p>
      <w:pPr>
        <w:spacing w:line="360" w:lineRule="auto"/>
        <w:ind w:firstLine="480"/>
      </w:pPr>
      <w:r>
        <w:rPr>
          <w:rFonts w:ascii="宋体" w:hAnsi="宋体" w:eastAsia="宋体"/>
          <w:b/>
          <w:sz w:val="24"/>
        </w:rPr>
        <w:t>12.4.3 成果交付</w:t>
      </w:r>
    </w:p>
    <w:p>
      <w:pPr>
        <w:spacing w:line="360" w:lineRule="auto"/>
        <w:ind w:firstLine="480"/>
      </w:pPr>
      <w:r>
        <w:rPr>
          <w:rFonts w:ascii="宋体" w:hAnsi="宋体" w:eastAsia="宋体"/>
          <w:b w:val="0"/>
          <w:sz w:val="24"/>
        </w:rPr>
        <w:t>- 典型台区现场勘查报告</w:t>
      </w:r>
    </w:p>
    <w:p>
      <w:pPr>
        <w:spacing w:line="360" w:lineRule="auto"/>
        <w:ind w:firstLine="480"/>
      </w:pPr>
      <w:r>
        <w:rPr>
          <w:rFonts w:ascii="宋体" w:hAnsi="宋体" w:eastAsia="宋体"/>
          <w:b w:val="0"/>
          <w:sz w:val="24"/>
        </w:rPr>
        <w:t>- 多维指标评价分析报告</w:t>
      </w:r>
    </w:p>
    <w:p>
      <w:pPr>
        <w:spacing w:line="360" w:lineRule="auto"/>
        <w:ind w:firstLine="480"/>
      </w:pPr>
      <w:r>
        <w:rPr>
          <w:rFonts w:ascii="宋体" w:hAnsi="宋体" w:eastAsia="宋体"/>
          <w:b w:val="0"/>
          <w:sz w:val="24"/>
        </w:rPr>
        <w:t>- 电压指数影响贡献度分析报告</w:t>
      </w:r>
    </w:p>
    <w:p>
      <w:pPr>
        <w:spacing w:line="360" w:lineRule="auto"/>
        <w:ind w:firstLine="480"/>
      </w:pPr>
      <w:r>
        <w:rPr>
          <w:rFonts w:ascii="宋体" w:hAnsi="宋体" w:eastAsia="宋体"/>
          <w:b w:val="0"/>
          <w:sz w:val="24"/>
        </w:rPr>
        <w:t>- 仿真模拟分析报告</w:t>
      </w:r>
    </w:p>
    <w:p>
      <w:pPr>
        <w:spacing w:line="360" w:lineRule="auto"/>
        <w:ind w:firstLine="480"/>
      </w:pPr>
      <w:r>
        <w:rPr>
          <w:rFonts w:ascii="宋体" w:hAnsi="宋体" w:eastAsia="宋体"/>
          <w:b w:val="0"/>
          <w:sz w:val="24"/>
        </w:rPr>
        <w:t>- 典型台区精准治理方案</w:t>
      </w:r>
    </w:p>
    <w:p>
      <w:r>
        <w:br w:type="page"/>
      </w:r>
    </w:p>
    <w:p>
      <w:pPr>
        <w:pStyle w:val="Heading1"/>
      </w:pPr>
      <w:r>
        <w:rPr>
          <w:rFonts w:ascii="黑体" w:hAnsi="黑体" w:eastAsia="黑体"/>
        </w:rPr>
        <w:t>十三、工作计划安排</w:t>
      </w:r>
    </w:p>
    <w:p>
      <w:pPr>
        <w:pStyle w:val="Heading2"/>
      </w:pPr>
      <w:r>
        <w:rPr>
          <w:rFonts w:ascii="黑体" w:hAnsi="黑体" w:eastAsia="黑体"/>
        </w:rPr>
        <w:t>13.1 总体进度计划</w:t>
      </w:r>
    </w:p>
    <w:p>
      <w:pPr>
        <w:spacing w:line="360" w:lineRule="auto"/>
        <w:ind w:firstLine="480"/>
      </w:pPr>
      <w:r>
        <w:rPr>
          <w:rFonts w:ascii="宋体" w:hAnsi="宋体" w:eastAsia="宋体"/>
          <w:b w:val="0"/>
          <w:sz w:val="24"/>
        </w:rPr>
        <w:t>本项目计划工期为12个月，按照四个阶段有序推进各项工作任务。总体进度计划安排如下：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阶段</w:t>
            </w:r>
          </w:p>
        </w:tc>
        <w:tc>
          <w:tcPr>
            <w:tcW w:type="dxa" w:w="2161"/>
          </w:tcPr>
          <w:p>
            <w:pPr>
              <w:jc w:val="center"/>
            </w:pPr>
            <w:r>
              <w:rPr>
                <w:rFonts w:ascii="宋体" w:hAnsi="宋体" w:eastAsia="宋体"/>
                <w:b/>
                <w:sz w:val="22"/>
              </w:rPr>
              <w:t>时间</w:t>
            </w:r>
          </w:p>
        </w:tc>
        <w:tc>
          <w:tcPr>
            <w:tcW w:type="dxa" w:w="2161"/>
          </w:tcPr>
          <w:p>
            <w:pPr>
              <w:jc w:val="center"/>
            </w:pPr>
            <w:r>
              <w:rPr>
                <w:rFonts w:ascii="宋体" w:hAnsi="宋体" w:eastAsia="宋体"/>
                <w:b/>
                <w:sz w:val="22"/>
              </w:rPr>
              <w:t>主要工作内容</w:t>
            </w:r>
          </w:p>
        </w:tc>
        <w:tc>
          <w:tcPr>
            <w:tcW w:type="dxa" w:w="2161"/>
          </w:tcPr>
          <w:p>
            <w:pPr>
              <w:jc w:val="center"/>
            </w:pPr>
            <w:r>
              <w:rPr>
                <w:rFonts w:ascii="宋体" w:hAnsi="宋体" w:eastAsia="宋体"/>
                <w:b/>
                <w:sz w:val="22"/>
              </w:rPr>
              <w:t>里程碑成果</w:t>
            </w:r>
          </w:p>
        </w:tc>
      </w:tr>
      <w:tr>
        <w:tc>
          <w:tcPr>
            <w:tcW w:type="dxa" w:w="2161"/>
          </w:tcPr>
          <w:p>
            <w:r>
              <w:rPr>
                <w:rFonts w:ascii="宋体" w:hAnsi="宋体" w:eastAsia="宋体"/>
                <w:sz w:val="22"/>
              </w:rPr>
              <w:t>第一阶段</w:t>
              <w:br/>
              <w:t>项目启动与</w:t>
              <w:br/>
              <w:t>基础摸底</w:t>
            </w:r>
          </w:p>
        </w:tc>
        <w:tc>
          <w:tcPr>
            <w:tcW w:type="dxa" w:w="2161"/>
          </w:tcPr>
          <w:p>
            <w:r>
              <w:rPr>
                <w:rFonts w:ascii="宋体" w:hAnsi="宋体" w:eastAsia="宋体"/>
                <w:sz w:val="22"/>
              </w:rPr>
              <w:t>第1-2个月</w:t>
              <w:br/>
              <w:t>（2026年4-5月）</w:t>
            </w:r>
          </w:p>
        </w:tc>
        <w:tc>
          <w:tcPr>
            <w:tcW w:type="dxa" w:w="2161"/>
          </w:tcPr>
          <w:p>
            <w:r>
              <w:rPr>
                <w:rFonts w:ascii="宋体" w:hAnsi="宋体" w:eastAsia="宋体"/>
                <w:sz w:val="22"/>
              </w:rPr>
              <w:t>项目启动、资料收集、数据获取、</w:t>
              <w:br/>
              <w:t>数据质量核查、总体情况分析</w:t>
            </w:r>
          </w:p>
        </w:tc>
        <w:tc>
          <w:tcPr>
            <w:tcW w:type="dxa" w:w="2161"/>
          </w:tcPr>
          <w:p>
            <w:r>
              <w:rPr>
                <w:rFonts w:ascii="宋体" w:hAnsi="宋体" w:eastAsia="宋体"/>
                <w:sz w:val="22"/>
              </w:rPr>
              <w:t>供电电压总体情况报告</w:t>
              <w:br/>
              <w:t>数据质量问题清单</w:t>
            </w:r>
          </w:p>
        </w:tc>
      </w:tr>
      <w:tr>
        <w:tc>
          <w:tcPr>
            <w:tcW w:type="dxa" w:w="2161"/>
          </w:tcPr>
          <w:p>
            <w:r>
              <w:rPr>
                <w:rFonts w:ascii="宋体" w:hAnsi="宋体" w:eastAsia="宋体"/>
                <w:sz w:val="22"/>
              </w:rPr>
              <w:t>第二阶段</w:t>
              <w:br/>
              <w:t>深度分析与</w:t>
              <w:br/>
              <w:t>方案制定</w:t>
            </w:r>
          </w:p>
        </w:tc>
        <w:tc>
          <w:tcPr>
            <w:tcW w:type="dxa" w:w="2161"/>
          </w:tcPr>
          <w:p>
            <w:r>
              <w:rPr>
                <w:rFonts w:ascii="宋体" w:hAnsi="宋体" w:eastAsia="宋体"/>
                <w:sz w:val="22"/>
              </w:rPr>
              <w:t>第3-5个月</w:t>
              <w:br/>
              <w:t>（2026年6-8月）</w:t>
            </w:r>
          </w:p>
        </w:tc>
        <w:tc>
          <w:tcPr>
            <w:tcW w:type="dxa" w:w="2161"/>
          </w:tcPr>
          <w:p>
            <w:r>
              <w:rPr>
                <w:rFonts w:ascii="宋体" w:hAnsi="宋体" w:eastAsia="宋体"/>
                <w:sz w:val="22"/>
              </w:rPr>
              <w:t>逐站逐线逐台区深度分析、</w:t>
              <w:br/>
              <w:t>问题台账建立、治理方案制定、</w:t>
              <w:br/>
              <w:t>调压装置优化配置</w:t>
            </w:r>
          </w:p>
        </w:tc>
        <w:tc>
          <w:tcPr>
            <w:tcW w:type="dxa" w:w="2161"/>
          </w:tcPr>
          <w:p>
            <w:r>
              <w:rPr>
                <w:rFonts w:ascii="宋体" w:hAnsi="宋体" w:eastAsia="宋体"/>
                <w:sz w:val="22"/>
              </w:rPr>
              <w:t>电压问题台账</w:t>
              <w:br/>
              <w:t>治理方案与计划</w:t>
              <w:br/>
              <w:t>装置配置方案</w:t>
            </w:r>
          </w:p>
        </w:tc>
      </w:tr>
      <w:tr>
        <w:tc>
          <w:tcPr>
            <w:tcW w:type="dxa" w:w="2161"/>
          </w:tcPr>
          <w:p>
            <w:r>
              <w:rPr>
                <w:rFonts w:ascii="宋体" w:hAnsi="宋体" w:eastAsia="宋体"/>
                <w:sz w:val="22"/>
              </w:rPr>
              <w:t>第三阶段</w:t>
              <w:br/>
              <w:t>专项治理与</w:t>
              <w:br/>
              <w:t>仿真验证</w:t>
            </w:r>
          </w:p>
        </w:tc>
        <w:tc>
          <w:tcPr>
            <w:tcW w:type="dxa" w:w="2161"/>
          </w:tcPr>
          <w:p>
            <w:r>
              <w:rPr>
                <w:rFonts w:ascii="宋体" w:hAnsi="宋体" w:eastAsia="宋体"/>
                <w:sz w:val="22"/>
              </w:rPr>
              <w:t>第6-9个月</w:t>
              <w:br/>
              <w:t>（2026年9-12月）</w:t>
            </w:r>
          </w:p>
        </w:tc>
        <w:tc>
          <w:tcPr>
            <w:tcW w:type="dxa" w:w="2161"/>
          </w:tcPr>
          <w:p>
            <w:r>
              <w:rPr>
                <w:rFonts w:ascii="宋体" w:hAnsi="宋体" w:eastAsia="宋体"/>
                <w:sz w:val="22"/>
              </w:rPr>
              <w:t>典型台区专项治理、现场勘查、</w:t>
              <w:br/>
              <w:t>多维评价、仿真模拟、</w:t>
              <w:br/>
              <w:t>现场检查支持</w:t>
            </w:r>
          </w:p>
        </w:tc>
        <w:tc>
          <w:tcPr>
            <w:tcW w:type="dxa" w:w="2161"/>
          </w:tcPr>
          <w:p>
            <w:r>
              <w:rPr>
                <w:rFonts w:ascii="宋体" w:hAnsi="宋体" w:eastAsia="宋体"/>
                <w:sz w:val="22"/>
              </w:rPr>
              <w:t>典型台区治理方案</w:t>
              <w:br/>
              <w:t>仿真分析报告</w:t>
              <w:br/>
              <w:t>现场检查报告</w:t>
            </w:r>
          </w:p>
        </w:tc>
      </w:tr>
      <w:tr>
        <w:tc>
          <w:tcPr>
            <w:tcW w:type="dxa" w:w="2161"/>
          </w:tcPr>
          <w:p>
            <w:r>
              <w:rPr>
                <w:rFonts w:ascii="宋体" w:hAnsi="宋体" w:eastAsia="宋体"/>
                <w:sz w:val="22"/>
              </w:rPr>
              <w:t>第四阶段</w:t>
              <w:br/>
              <w:t>效果验证与</w:t>
              <w:br/>
              <w:t>成果总结</w:t>
            </w:r>
          </w:p>
        </w:tc>
        <w:tc>
          <w:tcPr>
            <w:tcW w:type="dxa" w:w="2161"/>
          </w:tcPr>
          <w:p>
            <w:r>
              <w:rPr>
                <w:rFonts w:ascii="宋体" w:hAnsi="宋体" w:eastAsia="宋体"/>
                <w:sz w:val="22"/>
              </w:rPr>
              <w:t>第10-12个月</w:t>
              <w:br/>
              <w:t>（2027年1-3月）</w:t>
            </w:r>
          </w:p>
        </w:tc>
        <w:tc>
          <w:tcPr>
            <w:tcW w:type="dxa" w:w="2161"/>
          </w:tcPr>
          <w:p>
            <w:r>
              <w:rPr>
                <w:rFonts w:ascii="宋体" w:hAnsi="宋体" w:eastAsia="宋体"/>
                <w:sz w:val="22"/>
              </w:rPr>
              <w:t>治理效果跟踪、动态分析、</w:t>
              <w:br/>
              <w:t>成果整理、项目总结验收</w:t>
            </w:r>
          </w:p>
        </w:tc>
        <w:tc>
          <w:tcPr>
            <w:tcW w:type="dxa" w:w="2161"/>
          </w:tcPr>
          <w:p>
            <w:r>
              <w:rPr>
                <w:rFonts w:ascii="宋体" w:hAnsi="宋体" w:eastAsia="宋体"/>
                <w:sz w:val="22"/>
              </w:rPr>
              <w:t>效果评估报告</w:t>
              <w:br/>
              <w:t>项目总结报告</w:t>
              <w:br/>
              <w:t>全部成果交付</w:t>
            </w:r>
          </w:p>
        </w:tc>
      </w:tr>
    </w:tbl>
    <w:p/>
    <w:p>
      <w:pPr>
        <w:pStyle w:val="Heading2"/>
      </w:pPr>
      <w:r>
        <w:rPr>
          <w:rFonts w:ascii="黑体" w:hAnsi="黑体" w:eastAsia="黑体"/>
        </w:rPr>
        <w:t>13.2 详细工作计划</w:t>
      </w:r>
    </w:p>
    <w:p>
      <w:pPr>
        <w:spacing w:line="360" w:lineRule="auto"/>
        <w:ind w:firstLine="480"/>
      </w:pPr>
      <w:r>
        <w:rPr>
          <w:rFonts w:ascii="宋体" w:hAnsi="宋体" w:eastAsia="宋体"/>
          <w:b/>
          <w:sz w:val="24"/>
        </w:rPr>
        <w:t>13.2.1 第一阶段详细计划（第1-2个月）</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2"/>
              </w:rPr>
              <w:t>序号</w:t>
            </w:r>
          </w:p>
        </w:tc>
        <w:tc>
          <w:tcPr>
            <w:tcW w:type="dxa" w:w="1729"/>
          </w:tcPr>
          <w:p>
            <w:pPr>
              <w:jc w:val="center"/>
            </w:pPr>
            <w:r>
              <w:rPr>
                <w:rFonts w:ascii="宋体" w:hAnsi="宋体" w:eastAsia="宋体"/>
                <w:b/>
                <w:sz w:val="22"/>
              </w:rPr>
              <w:t>工作内容</w:t>
            </w:r>
          </w:p>
        </w:tc>
        <w:tc>
          <w:tcPr>
            <w:tcW w:type="dxa" w:w="1729"/>
          </w:tcPr>
          <w:p>
            <w:pPr>
              <w:jc w:val="center"/>
            </w:pPr>
            <w:r>
              <w:rPr>
                <w:rFonts w:ascii="宋体" w:hAnsi="宋体" w:eastAsia="宋体"/>
                <w:b/>
                <w:sz w:val="22"/>
              </w:rPr>
              <w:t>计划时间</w:t>
            </w:r>
          </w:p>
        </w:tc>
        <w:tc>
          <w:tcPr>
            <w:tcW w:type="dxa" w:w="1729"/>
          </w:tcPr>
          <w:p>
            <w:pPr>
              <w:jc w:val="center"/>
            </w:pPr>
            <w:r>
              <w:rPr>
                <w:rFonts w:ascii="宋体" w:hAnsi="宋体" w:eastAsia="宋体"/>
                <w:b/>
                <w:sz w:val="22"/>
              </w:rPr>
              <w:t>负责人</w:t>
            </w:r>
          </w:p>
        </w:tc>
        <w:tc>
          <w:tcPr>
            <w:tcW w:type="dxa" w:w="1729"/>
          </w:tcPr>
          <w:p>
            <w:pPr>
              <w:jc w:val="center"/>
            </w:pPr>
            <w:r>
              <w:rPr>
                <w:rFonts w:ascii="宋体" w:hAnsi="宋体" w:eastAsia="宋体"/>
                <w:b/>
                <w:sz w:val="22"/>
              </w:rPr>
              <w:t>交付成果</w:t>
            </w:r>
          </w:p>
        </w:tc>
      </w:tr>
      <w:tr>
        <w:tc>
          <w:tcPr>
            <w:tcW w:type="dxa" w:w="1729"/>
          </w:tcPr>
          <w:p>
            <w:r>
              <w:rPr>
                <w:rFonts w:ascii="宋体" w:hAnsi="宋体" w:eastAsia="宋体"/>
                <w:sz w:val="22"/>
              </w:rPr>
              <w:t>1</w:t>
            </w:r>
          </w:p>
        </w:tc>
        <w:tc>
          <w:tcPr>
            <w:tcW w:type="dxa" w:w="1729"/>
          </w:tcPr>
          <w:p>
            <w:r>
              <w:rPr>
                <w:rFonts w:ascii="宋体" w:hAnsi="宋体" w:eastAsia="宋体"/>
                <w:sz w:val="22"/>
              </w:rPr>
              <w:t>召开项目启动会</w:t>
            </w:r>
          </w:p>
        </w:tc>
        <w:tc>
          <w:tcPr>
            <w:tcW w:type="dxa" w:w="1729"/>
          </w:tcPr>
          <w:p>
            <w:r>
              <w:rPr>
                <w:rFonts w:ascii="宋体" w:hAnsi="宋体" w:eastAsia="宋体"/>
                <w:sz w:val="22"/>
              </w:rPr>
              <w:t>第1周</w:t>
            </w:r>
          </w:p>
        </w:tc>
        <w:tc>
          <w:tcPr>
            <w:tcW w:type="dxa" w:w="1729"/>
          </w:tcPr>
          <w:p>
            <w:r>
              <w:rPr>
                <w:rFonts w:ascii="宋体" w:hAnsi="宋体" w:eastAsia="宋体"/>
                <w:sz w:val="22"/>
              </w:rPr>
              <w:t>项目负责人</w:t>
            </w:r>
          </w:p>
        </w:tc>
        <w:tc>
          <w:tcPr>
            <w:tcW w:type="dxa" w:w="1729"/>
          </w:tcPr>
          <w:p>
            <w:r>
              <w:rPr>
                <w:rFonts w:ascii="宋体" w:hAnsi="宋体" w:eastAsia="宋体"/>
                <w:sz w:val="22"/>
              </w:rPr>
              <w:t>启动会纪要</w:t>
            </w:r>
          </w:p>
        </w:tc>
      </w:tr>
      <w:tr>
        <w:tc>
          <w:tcPr>
            <w:tcW w:type="dxa" w:w="1729"/>
          </w:tcPr>
          <w:p>
            <w:r>
              <w:rPr>
                <w:rFonts w:ascii="宋体" w:hAnsi="宋体" w:eastAsia="宋体"/>
                <w:sz w:val="22"/>
              </w:rPr>
              <w:t>2</w:t>
            </w:r>
          </w:p>
        </w:tc>
        <w:tc>
          <w:tcPr>
            <w:tcW w:type="dxa" w:w="1729"/>
          </w:tcPr>
          <w:p>
            <w:r>
              <w:rPr>
                <w:rFonts w:ascii="宋体" w:hAnsi="宋体" w:eastAsia="宋体"/>
                <w:sz w:val="22"/>
              </w:rPr>
              <w:t>组建项目团队并分工</w:t>
            </w:r>
          </w:p>
        </w:tc>
        <w:tc>
          <w:tcPr>
            <w:tcW w:type="dxa" w:w="1729"/>
          </w:tcPr>
          <w:p>
            <w:r>
              <w:rPr>
                <w:rFonts w:ascii="宋体" w:hAnsi="宋体" w:eastAsia="宋体"/>
                <w:sz w:val="22"/>
              </w:rPr>
              <w:t>第1周</w:t>
            </w:r>
          </w:p>
        </w:tc>
        <w:tc>
          <w:tcPr>
            <w:tcW w:type="dxa" w:w="1729"/>
          </w:tcPr>
          <w:p>
            <w:r>
              <w:rPr>
                <w:rFonts w:ascii="宋体" w:hAnsi="宋体" w:eastAsia="宋体"/>
                <w:sz w:val="22"/>
              </w:rPr>
              <w:t>项目负责人</w:t>
            </w:r>
          </w:p>
        </w:tc>
        <w:tc>
          <w:tcPr>
            <w:tcW w:type="dxa" w:w="1729"/>
          </w:tcPr>
          <w:p>
            <w:r>
              <w:rPr>
                <w:rFonts w:ascii="宋体" w:hAnsi="宋体" w:eastAsia="宋体"/>
                <w:sz w:val="22"/>
              </w:rPr>
              <w:t>团队组织架构及分工表</w:t>
            </w:r>
          </w:p>
        </w:tc>
      </w:tr>
      <w:tr>
        <w:tc>
          <w:tcPr>
            <w:tcW w:type="dxa" w:w="1729"/>
          </w:tcPr>
          <w:p>
            <w:r>
              <w:rPr>
                <w:rFonts w:ascii="宋体" w:hAnsi="宋体" w:eastAsia="宋体"/>
                <w:sz w:val="22"/>
              </w:rPr>
              <w:t>3</w:t>
            </w:r>
          </w:p>
        </w:tc>
        <w:tc>
          <w:tcPr>
            <w:tcW w:type="dxa" w:w="1729"/>
          </w:tcPr>
          <w:p>
            <w:r>
              <w:rPr>
                <w:rFonts w:ascii="宋体" w:hAnsi="宋体" w:eastAsia="宋体"/>
                <w:sz w:val="22"/>
              </w:rPr>
              <w:t>收集电网基础资料</w:t>
            </w:r>
          </w:p>
        </w:tc>
        <w:tc>
          <w:tcPr>
            <w:tcW w:type="dxa" w:w="1729"/>
          </w:tcPr>
          <w:p>
            <w:r>
              <w:rPr>
                <w:rFonts w:ascii="宋体" w:hAnsi="宋体" w:eastAsia="宋体"/>
                <w:sz w:val="22"/>
              </w:rPr>
              <w:t>第1-2周</w:t>
            </w:r>
          </w:p>
        </w:tc>
        <w:tc>
          <w:tcPr>
            <w:tcW w:type="dxa" w:w="1729"/>
          </w:tcPr>
          <w:p>
            <w:r>
              <w:rPr>
                <w:rFonts w:ascii="宋体" w:hAnsi="宋体" w:eastAsia="宋体"/>
                <w:sz w:val="22"/>
              </w:rPr>
              <w:t>数据分析工程师</w:t>
            </w:r>
          </w:p>
        </w:tc>
        <w:tc>
          <w:tcPr>
            <w:tcW w:type="dxa" w:w="1729"/>
          </w:tcPr>
          <w:p>
            <w:r>
              <w:rPr>
                <w:rFonts w:ascii="宋体" w:hAnsi="宋体" w:eastAsia="宋体"/>
                <w:sz w:val="22"/>
              </w:rPr>
              <w:t>资料收集清单</w:t>
            </w:r>
          </w:p>
        </w:tc>
      </w:tr>
      <w:tr>
        <w:tc>
          <w:tcPr>
            <w:tcW w:type="dxa" w:w="1729"/>
          </w:tcPr>
          <w:p>
            <w:r>
              <w:rPr>
                <w:rFonts w:ascii="宋体" w:hAnsi="宋体" w:eastAsia="宋体"/>
                <w:sz w:val="22"/>
              </w:rPr>
              <w:t>4</w:t>
            </w:r>
          </w:p>
        </w:tc>
        <w:tc>
          <w:tcPr>
            <w:tcW w:type="dxa" w:w="1729"/>
          </w:tcPr>
          <w:p>
            <w:r>
              <w:rPr>
                <w:rFonts w:ascii="宋体" w:hAnsi="宋体" w:eastAsia="宋体"/>
                <w:sz w:val="22"/>
              </w:rPr>
              <w:t>获取各系统电压监测数据</w:t>
            </w:r>
          </w:p>
        </w:tc>
        <w:tc>
          <w:tcPr>
            <w:tcW w:type="dxa" w:w="1729"/>
          </w:tcPr>
          <w:p>
            <w:r>
              <w:rPr>
                <w:rFonts w:ascii="宋体" w:hAnsi="宋体" w:eastAsia="宋体"/>
                <w:sz w:val="22"/>
              </w:rPr>
              <w:t>第2-3周</w:t>
            </w:r>
          </w:p>
        </w:tc>
        <w:tc>
          <w:tcPr>
            <w:tcW w:type="dxa" w:w="1729"/>
          </w:tcPr>
          <w:p>
            <w:r>
              <w:rPr>
                <w:rFonts w:ascii="宋体" w:hAnsi="宋体" w:eastAsia="宋体"/>
                <w:sz w:val="22"/>
              </w:rPr>
              <w:t>数据分析工程师</w:t>
            </w:r>
          </w:p>
        </w:tc>
        <w:tc>
          <w:tcPr>
            <w:tcW w:type="dxa" w:w="1729"/>
          </w:tcPr>
          <w:p>
            <w:r>
              <w:rPr>
                <w:rFonts w:ascii="宋体" w:hAnsi="宋体" w:eastAsia="宋体"/>
                <w:sz w:val="22"/>
              </w:rPr>
              <w:t>数据获取记录</w:t>
            </w:r>
          </w:p>
        </w:tc>
      </w:tr>
      <w:tr>
        <w:tc>
          <w:tcPr>
            <w:tcW w:type="dxa" w:w="1729"/>
          </w:tcPr>
          <w:p>
            <w:r>
              <w:rPr>
                <w:rFonts w:ascii="宋体" w:hAnsi="宋体" w:eastAsia="宋体"/>
                <w:sz w:val="22"/>
              </w:rPr>
              <w:t>5</w:t>
            </w:r>
          </w:p>
        </w:tc>
        <w:tc>
          <w:tcPr>
            <w:tcW w:type="dxa" w:w="1729"/>
          </w:tcPr>
          <w:p>
            <w:r>
              <w:rPr>
                <w:rFonts w:ascii="宋体" w:hAnsi="宋体" w:eastAsia="宋体"/>
                <w:sz w:val="22"/>
              </w:rPr>
              <w:t>开展数据质量核查</w:t>
            </w:r>
          </w:p>
        </w:tc>
        <w:tc>
          <w:tcPr>
            <w:tcW w:type="dxa" w:w="1729"/>
          </w:tcPr>
          <w:p>
            <w:r>
              <w:rPr>
                <w:rFonts w:ascii="宋体" w:hAnsi="宋体" w:eastAsia="宋体"/>
                <w:sz w:val="22"/>
              </w:rPr>
              <w:t>第3-5周</w:t>
            </w:r>
          </w:p>
        </w:tc>
        <w:tc>
          <w:tcPr>
            <w:tcW w:type="dxa" w:w="1729"/>
          </w:tcPr>
          <w:p>
            <w:r>
              <w:rPr>
                <w:rFonts w:ascii="宋体" w:hAnsi="宋体" w:eastAsia="宋体"/>
                <w:sz w:val="22"/>
              </w:rPr>
              <w:t>数据分析工程师</w:t>
            </w:r>
          </w:p>
        </w:tc>
        <w:tc>
          <w:tcPr>
            <w:tcW w:type="dxa" w:w="1729"/>
          </w:tcPr>
          <w:p>
            <w:r>
              <w:rPr>
                <w:rFonts w:ascii="宋体" w:hAnsi="宋体" w:eastAsia="宋体"/>
                <w:sz w:val="22"/>
              </w:rPr>
              <w:t>数据质量核查报告</w:t>
            </w:r>
          </w:p>
        </w:tc>
      </w:tr>
      <w:tr>
        <w:tc>
          <w:tcPr>
            <w:tcW w:type="dxa" w:w="1729"/>
          </w:tcPr>
          <w:p>
            <w:r>
              <w:rPr>
                <w:rFonts w:ascii="宋体" w:hAnsi="宋体" w:eastAsia="宋体"/>
                <w:sz w:val="22"/>
              </w:rPr>
              <w:t>6</w:t>
            </w:r>
          </w:p>
        </w:tc>
        <w:tc>
          <w:tcPr>
            <w:tcW w:type="dxa" w:w="1729"/>
          </w:tcPr>
          <w:p>
            <w:r>
              <w:rPr>
                <w:rFonts w:ascii="宋体" w:hAnsi="宋体" w:eastAsia="宋体"/>
                <w:sz w:val="22"/>
              </w:rPr>
              <w:t>开展多源数据比对分析</w:t>
            </w:r>
          </w:p>
        </w:tc>
        <w:tc>
          <w:tcPr>
            <w:tcW w:type="dxa" w:w="1729"/>
          </w:tcPr>
          <w:p>
            <w:r>
              <w:rPr>
                <w:rFonts w:ascii="宋体" w:hAnsi="宋体" w:eastAsia="宋体"/>
                <w:sz w:val="22"/>
              </w:rPr>
              <w:t>第4-6周</w:t>
            </w:r>
          </w:p>
        </w:tc>
        <w:tc>
          <w:tcPr>
            <w:tcW w:type="dxa" w:w="1729"/>
          </w:tcPr>
          <w:p>
            <w:r>
              <w:rPr>
                <w:rFonts w:ascii="宋体" w:hAnsi="宋体" w:eastAsia="宋体"/>
                <w:sz w:val="22"/>
              </w:rPr>
              <w:t>电力系统分析师</w:t>
            </w:r>
          </w:p>
        </w:tc>
        <w:tc>
          <w:tcPr>
            <w:tcW w:type="dxa" w:w="1729"/>
          </w:tcPr>
          <w:p>
            <w:r>
              <w:rPr>
                <w:rFonts w:ascii="宋体" w:hAnsi="宋体" w:eastAsia="宋体"/>
                <w:sz w:val="22"/>
              </w:rPr>
              <w:t>多源数据比对报告</w:t>
            </w:r>
          </w:p>
        </w:tc>
      </w:tr>
      <w:tr>
        <w:tc>
          <w:tcPr>
            <w:tcW w:type="dxa" w:w="1729"/>
          </w:tcPr>
          <w:p>
            <w:r>
              <w:rPr>
                <w:rFonts w:ascii="宋体" w:hAnsi="宋体" w:eastAsia="宋体"/>
                <w:sz w:val="22"/>
              </w:rPr>
              <w:t>7</w:t>
            </w:r>
          </w:p>
        </w:tc>
        <w:tc>
          <w:tcPr>
            <w:tcW w:type="dxa" w:w="1729"/>
          </w:tcPr>
          <w:p>
            <w:r>
              <w:rPr>
                <w:rFonts w:ascii="宋体" w:hAnsi="宋体" w:eastAsia="宋体"/>
                <w:sz w:val="22"/>
              </w:rPr>
              <w:t>编制数据偏差问题清单</w:t>
            </w:r>
          </w:p>
        </w:tc>
        <w:tc>
          <w:tcPr>
            <w:tcW w:type="dxa" w:w="1729"/>
          </w:tcPr>
          <w:p>
            <w:r>
              <w:rPr>
                <w:rFonts w:ascii="宋体" w:hAnsi="宋体" w:eastAsia="宋体"/>
                <w:sz w:val="22"/>
              </w:rPr>
              <w:t>第6-7周</w:t>
            </w:r>
          </w:p>
        </w:tc>
        <w:tc>
          <w:tcPr>
            <w:tcW w:type="dxa" w:w="1729"/>
          </w:tcPr>
          <w:p>
            <w:r>
              <w:rPr>
                <w:rFonts w:ascii="宋体" w:hAnsi="宋体" w:eastAsia="宋体"/>
                <w:sz w:val="22"/>
              </w:rPr>
              <w:t>电力系统分析师</w:t>
            </w:r>
          </w:p>
        </w:tc>
        <w:tc>
          <w:tcPr>
            <w:tcW w:type="dxa" w:w="1729"/>
          </w:tcPr>
          <w:p>
            <w:r>
              <w:rPr>
                <w:rFonts w:ascii="宋体" w:hAnsi="宋体" w:eastAsia="宋体"/>
                <w:sz w:val="22"/>
              </w:rPr>
              <w:t>偏差问题清单</w:t>
            </w:r>
          </w:p>
        </w:tc>
      </w:tr>
      <w:tr>
        <w:tc>
          <w:tcPr>
            <w:tcW w:type="dxa" w:w="1729"/>
          </w:tcPr>
          <w:p>
            <w:r>
              <w:rPr>
                <w:rFonts w:ascii="宋体" w:hAnsi="宋体" w:eastAsia="宋体"/>
                <w:sz w:val="22"/>
              </w:rPr>
              <w:t>8</w:t>
            </w:r>
          </w:p>
        </w:tc>
        <w:tc>
          <w:tcPr>
            <w:tcW w:type="dxa" w:w="1729"/>
          </w:tcPr>
          <w:p>
            <w:r>
              <w:rPr>
                <w:rFonts w:ascii="宋体" w:hAnsi="宋体" w:eastAsia="宋体"/>
                <w:sz w:val="22"/>
              </w:rPr>
              <w:t>形成总体情况报告</w:t>
            </w:r>
          </w:p>
        </w:tc>
        <w:tc>
          <w:tcPr>
            <w:tcW w:type="dxa" w:w="1729"/>
          </w:tcPr>
          <w:p>
            <w:r>
              <w:rPr>
                <w:rFonts w:ascii="宋体" w:hAnsi="宋体" w:eastAsia="宋体"/>
                <w:sz w:val="22"/>
              </w:rPr>
              <w:t>第7-8周</w:t>
            </w:r>
          </w:p>
        </w:tc>
        <w:tc>
          <w:tcPr>
            <w:tcW w:type="dxa" w:w="1729"/>
          </w:tcPr>
          <w:p>
            <w:r>
              <w:rPr>
                <w:rFonts w:ascii="宋体" w:hAnsi="宋体" w:eastAsia="宋体"/>
                <w:sz w:val="22"/>
              </w:rPr>
              <w:t>技术负责人</w:t>
            </w:r>
          </w:p>
        </w:tc>
        <w:tc>
          <w:tcPr>
            <w:tcW w:type="dxa" w:w="1729"/>
          </w:tcPr>
          <w:p>
            <w:r>
              <w:rPr>
                <w:rFonts w:ascii="宋体" w:hAnsi="宋体" w:eastAsia="宋体"/>
                <w:sz w:val="22"/>
              </w:rPr>
              <w:t>供电电压总体情况报告</w:t>
            </w:r>
          </w:p>
        </w:tc>
      </w:tr>
    </w:tbl>
    <w:p/>
    <w:p>
      <w:pPr>
        <w:spacing w:line="360" w:lineRule="auto"/>
        <w:ind w:firstLine="480"/>
      </w:pPr>
      <w:r>
        <w:rPr>
          <w:rFonts w:ascii="宋体" w:hAnsi="宋体" w:eastAsia="宋体"/>
          <w:b/>
          <w:sz w:val="24"/>
        </w:rPr>
        <w:t>13.2.2 第二阶段详细计划（第3-5个月）</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2"/>
              </w:rPr>
              <w:t>序号</w:t>
            </w:r>
          </w:p>
        </w:tc>
        <w:tc>
          <w:tcPr>
            <w:tcW w:type="dxa" w:w="1729"/>
          </w:tcPr>
          <w:p>
            <w:pPr>
              <w:jc w:val="center"/>
            </w:pPr>
            <w:r>
              <w:rPr>
                <w:rFonts w:ascii="宋体" w:hAnsi="宋体" w:eastAsia="宋体"/>
                <w:b/>
                <w:sz w:val="22"/>
              </w:rPr>
              <w:t>工作内容</w:t>
            </w:r>
          </w:p>
        </w:tc>
        <w:tc>
          <w:tcPr>
            <w:tcW w:type="dxa" w:w="1729"/>
          </w:tcPr>
          <w:p>
            <w:pPr>
              <w:jc w:val="center"/>
            </w:pPr>
            <w:r>
              <w:rPr>
                <w:rFonts w:ascii="宋体" w:hAnsi="宋体" w:eastAsia="宋体"/>
                <w:b/>
                <w:sz w:val="22"/>
              </w:rPr>
              <w:t>计划时间</w:t>
            </w:r>
          </w:p>
        </w:tc>
        <w:tc>
          <w:tcPr>
            <w:tcW w:type="dxa" w:w="1729"/>
          </w:tcPr>
          <w:p>
            <w:pPr>
              <w:jc w:val="center"/>
            </w:pPr>
            <w:r>
              <w:rPr>
                <w:rFonts w:ascii="宋体" w:hAnsi="宋体" w:eastAsia="宋体"/>
                <w:b/>
                <w:sz w:val="22"/>
              </w:rPr>
              <w:t>负责人</w:t>
            </w:r>
          </w:p>
        </w:tc>
        <w:tc>
          <w:tcPr>
            <w:tcW w:type="dxa" w:w="1729"/>
          </w:tcPr>
          <w:p>
            <w:pPr>
              <w:jc w:val="center"/>
            </w:pPr>
            <w:r>
              <w:rPr>
                <w:rFonts w:ascii="宋体" w:hAnsi="宋体" w:eastAsia="宋体"/>
                <w:b/>
                <w:sz w:val="22"/>
              </w:rPr>
              <w:t>交付成果</w:t>
            </w:r>
          </w:p>
        </w:tc>
      </w:tr>
      <w:tr>
        <w:tc>
          <w:tcPr>
            <w:tcW w:type="dxa" w:w="1729"/>
          </w:tcPr>
          <w:p>
            <w:r>
              <w:rPr>
                <w:rFonts w:ascii="宋体" w:hAnsi="宋体" w:eastAsia="宋体"/>
                <w:sz w:val="22"/>
              </w:rPr>
              <w:t>1</w:t>
            </w:r>
          </w:p>
        </w:tc>
        <w:tc>
          <w:tcPr>
            <w:tcW w:type="dxa" w:w="1729"/>
          </w:tcPr>
          <w:p>
            <w:r>
              <w:rPr>
                <w:rFonts w:ascii="宋体" w:hAnsi="宋体" w:eastAsia="宋体"/>
                <w:sz w:val="22"/>
              </w:rPr>
              <w:t>变电站层面电压深度分析</w:t>
            </w:r>
          </w:p>
        </w:tc>
        <w:tc>
          <w:tcPr>
            <w:tcW w:type="dxa" w:w="1729"/>
          </w:tcPr>
          <w:p>
            <w:r>
              <w:rPr>
                <w:rFonts w:ascii="宋体" w:hAnsi="宋体" w:eastAsia="宋体"/>
                <w:sz w:val="22"/>
              </w:rPr>
              <w:t>第9-11周</w:t>
            </w:r>
          </w:p>
        </w:tc>
        <w:tc>
          <w:tcPr>
            <w:tcW w:type="dxa" w:w="1729"/>
          </w:tcPr>
          <w:p>
            <w:r>
              <w:rPr>
                <w:rFonts w:ascii="宋体" w:hAnsi="宋体" w:eastAsia="宋体"/>
                <w:sz w:val="22"/>
              </w:rPr>
              <w:t>电力系统分析师</w:t>
            </w:r>
          </w:p>
        </w:tc>
        <w:tc>
          <w:tcPr>
            <w:tcW w:type="dxa" w:w="1729"/>
          </w:tcPr>
          <w:p>
            <w:r>
              <w:rPr>
                <w:rFonts w:ascii="宋体" w:hAnsi="宋体" w:eastAsia="宋体"/>
                <w:sz w:val="22"/>
              </w:rPr>
              <w:t>变电站电压分析报告</w:t>
            </w:r>
          </w:p>
        </w:tc>
      </w:tr>
      <w:tr>
        <w:tc>
          <w:tcPr>
            <w:tcW w:type="dxa" w:w="1729"/>
          </w:tcPr>
          <w:p>
            <w:r>
              <w:rPr>
                <w:rFonts w:ascii="宋体" w:hAnsi="宋体" w:eastAsia="宋体"/>
                <w:sz w:val="22"/>
              </w:rPr>
              <w:t>2</w:t>
            </w:r>
          </w:p>
        </w:tc>
        <w:tc>
          <w:tcPr>
            <w:tcW w:type="dxa" w:w="1729"/>
          </w:tcPr>
          <w:p>
            <w:r>
              <w:rPr>
                <w:rFonts w:ascii="宋体" w:hAnsi="宋体" w:eastAsia="宋体"/>
                <w:sz w:val="22"/>
              </w:rPr>
              <w:t>10kV线路层面电压深度分析</w:t>
            </w:r>
          </w:p>
        </w:tc>
        <w:tc>
          <w:tcPr>
            <w:tcW w:type="dxa" w:w="1729"/>
          </w:tcPr>
          <w:p>
            <w:r>
              <w:rPr>
                <w:rFonts w:ascii="宋体" w:hAnsi="宋体" w:eastAsia="宋体"/>
                <w:sz w:val="22"/>
              </w:rPr>
              <w:t>第10-14周</w:t>
            </w:r>
          </w:p>
        </w:tc>
        <w:tc>
          <w:tcPr>
            <w:tcW w:type="dxa" w:w="1729"/>
          </w:tcPr>
          <w:p>
            <w:r>
              <w:rPr>
                <w:rFonts w:ascii="宋体" w:hAnsi="宋体" w:eastAsia="宋体"/>
                <w:sz w:val="22"/>
              </w:rPr>
              <w:t>电力系统分析师</w:t>
            </w:r>
          </w:p>
        </w:tc>
        <w:tc>
          <w:tcPr>
            <w:tcW w:type="dxa" w:w="1729"/>
          </w:tcPr>
          <w:p>
            <w:r>
              <w:rPr>
                <w:rFonts w:ascii="宋体" w:hAnsi="宋体" w:eastAsia="宋体"/>
                <w:sz w:val="22"/>
              </w:rPr>
              <w:t>线路电压分析报告</w:t>
            </w:r>
          </w:p>
        </w:tc>
      </w:tr>
      <w:tr>
        <w:tc>
          <w:tcPr>
            <w:tcW w:type="dxa" w:w="1729"/>
          </w:tcPr>
          <w:p>
            <w:r>
              <w:rPr>
                <w:rFonts w:ascii="宋体" w:hAnsi="宋体" w:eastAsia="宋体"/>
                <w:sz w:val="22"/>
              </w:rPr>
              <w:t>3</w:t>
            </w:r>
          </w:p>
        </w:tc>
        <w:tc>
          <w:tcPr>
            <w:tcW w:type="dxa" w:w="1729"/>
          </w:tcPr>
          <w:p>
            <w:r>
              <w:rPr>
                <w:rFonts w:ascii="宋体" w:hAnsi="宋体" w:eastAsia="宋体"/>
                <w:sz w:val="22"/>
              </w:rPr>
              <w:t>配电台区层面电压深度分析</w:t>
            </w:r>
          </w:p>
        </w:tc>
        <w:tc>
          <w:tcPr>
            <w:tcW w:type="dxa" w:w="1729"/>
          </w:tcPr>
          <w:p>
            <w:r>
              <w:rPr>
                <w:rFonts w:ascii="宋体" w:hAnsi="宋体" w:eastAsia="宋体"/>
                <w:sz w:val="22"/>
              </w:rPr>
              <w:t>第12-16周</w:t>
            </w:r>
          </w:p>
        </w:tc>
        <w:tc>
          <w:tcPr>
            <w:tcW w:type="dxa" w:w="1729"/>
          </w:tcPr>
          <w:p>
            <w:r>
              <w:rPr>
                <w:rFonts w:ascii="宋体" w:hAnsi="宋体" w:eastAsia="宋体"/>
                <w:sz w:val="22"/>
              </w:rPr>
              <w:t>数据分析工程师</w:t>
            </w:r>
          </w:p>
        </w:tc>
        <w:tc>
          <w:tcPr>
            <w:tcW w:type="dxa" w:w="1729"/>
          </w:tcPr>
          <w:p>
            <w:r>
              <w:rPr>
                <w:rFonts w:ascii="宋体" w:hAnsi="宋体" w:eastAsia="宋体"/>
                <w:sz w:val="22"/>
              </w:rPr>
              <w:t>台区电压分析报告</w:t>
            </w:r>
          </w:p>
        </w:tc>
      </w:tr>
      <w:tr>
        <w:tc>
          <w:tcPr>
            <w:tcW w:type="dxa" w:w="1729"/>
          </w:tcPr>
          <w:p>
            <w:r>
              <w:rPr>
                <w:rFonts w:ascii="宋体" w:hAnsi="宋体" w:eastAsia="宋体"/>
                <w:sz w:val="22"/>
              </w:rPr>
              <w:t>4</w:t>
            </w:r>
          </w:p>
        </w:tc>
        <w:tc>
          <w:tcPr>
            <w:tcW w:type="dxa" w:w="1729"/>
          </w:tcPr>
          <w:p>
            <w:r>
              <w:rPr>
                <w:rFonts w:ascii="宋体" w:hAnsi="宋体" w:eastAsia="宋体"/>
                <w:sz w:val="22"/>
              </w:rPr>
              <w:t>建立电压问题台账</w:t>
            </w:r>
          </w:p>
        </w:tc>
        <w:tc>
          <w:tcPr>
            <w:tcW w:type="dxa" w:w="1729"/>
          </w:tcPr>
          <w:p>
            <w:r>
              <w:rPr>
                <w:rFonts w:ascii="宋体" w:hAnsi="宋体" w:eastAsia="宋体"/>
                <w:sz w:val="22"/>
              </w:rPr>
              <w:t>第14-17周</w:t>
            </w:r>
          </w:p>
        </w:tc>
        <w:tc>
          <w:tcPr>
            <w:tcW w:type="dxa" w:w="1729"/>
          </w:tcPr>
          <w:p>
            <w:r>
              <w:rPr>
                <w:rFonts w:ascii="宋体" w:hAnsi="宋体" w:eastAsia="宋体"/>
                <w:sz w:val="22"/>
              </w:rPr>
              <w:t>方案编制工程师</w:t>
            </w:r>
          </w:p>
        </w:tc>
        <w:tc>
          <w:tcPr>
            <w:tcW w:type="dxa" w:w="1729"/>
          </w:tcPr>
          <w:p>
            <w:r>
              <w:rPr>
                <w:rFonts w:ascii="宋体" w:hAnsi="宋体" w:eastAsia="宋体"/>
                <w:sz w:val="22"/>
              </w:rPr>
              <w:t>电压问题台账</w:t>
            </w:r>
          </w:p>
        </w:tc>
      </w:tr>
      <w:tr>
        <w:tc>
          <w:tcPr>
            <w:tcW w:type="dxa" w:w="1729"/>
          </w:tcPr>
          <w:p>
            <w:r>
              <w:rPr>
                <w:rFonts w:ascii="宋体" w:hAnsi="宋体" w:eastAsia="宋体"/>
                <w:sz w:val="22"/>
              </w:rPr>
              <w:t>5</w:t>
            </w:r>
          </w:p>
        </w:tc>
        <w:tc>
          <w:tcPr>
            <w:tcW w:type="dxa" w:w="1729"/>
          </w:tcPr>
          <w:p>
            <w:r>
              <w:rPr>
                <w:rFonts w:ascii="宋体" w:hAnsi="宋体" w:eastAsia="宋体"/>
                <w:sz w:val="22"/>
              </w:rPr>
              <w:t>线路负荷转供分析</w:t>
            </w:r>
          </w:p>
        </w:tc>
        <w:tc>
          <w:tcPr>
            <w:tcW w:type="dxa" w:w="1729"/>
          </w:tcPr>
          <w:p>
            <w:r>
              <w:rPr>
                <w:rFonts w:ascii="宋体" w:hAnsi="宋体" w:eastAsia="宋体"/>
                <w:sz w:val="22"/>
              </w:rPr>
              <w:t>第15-17周</w:t>
            </w:r>
          </w:p>
        </w:tc>
        <w:tc>
          <w:tcPr>
            <w:tcW w:type="dxa" w:w="1729"/>
          </w:tcPr>
          <w:p>
            <w:r>
              <w:rPr>
                <w:rFonts w:ascii="宋体" w:hAnsi="宋体" w:eastAsia="宋体"/>
                <w:sz w:val="22"/>
              </w:rPr>
              <w:t>电力系统分析师</w:t>
            </w:r>
          </w:p>
        </w:tc>
        <w:tc>
          <w:tcPr>
            <w:tcW w:type="dxa" w:w="1729"/>
          </w:tcPr>
          <w:p>
            <w:r>
              <w:rPr>
                <w:rFonts w:ascii="宋体" w:hAnsi="宋体" w:eastAsia="宋体"/>
                <w:sz w:val="22"/>
              </w:rPr>
              <w:t>负荷转供分析报告</w:t>
            </w:r>
          </w:p>
        </w:tc>
      </w:tr>
      <w:tr>
        <w:tc>
          <w:tcPr>
            <w:tcW w:type="dxa" w:w="1729"/>
          </w:tcPr>
          <w:p>
            <w:r>
              <w:rPr>
                <w:rFonts w:ascii="宋体" w:hAnsi="宋体" w:eastAsia="宋体"/>
                <w:sz w:val="22"/>
              </w:rPr>
              <w:t>6</w:t>
            </w:r>
          </w:p>
        </w:tc>
        <w:tc>
          <w:tcPr>
            <w:tcW w:type="dxa" w:w="1729"/>
          </w:tcPr>
          <w:p>
            <w:r>
              <w:rPr>
                <w:rFonts w:ascii="宋体" w:hAnsi="宋体" w:eastAsia="宋体"/>
                <w:sz w:val="22"/>
              </w:rPr>
              <w:t>调压装置优化配置计算</w:t>
            </w:r>
          </w:p>
        </w:tc>
        <w:tc>
          <w:tcPr>
            <w:tcW w:type="dxa" w:w="1729"/>
          </w:tcPr>
          <w:p>
            <w:r>
              <w:rPr>
                <w:rFonts w:ascii="宋体" w:hAnsi="宋体" w:eastAsia="宋体"/>
                <w:sz w:val="22"/>
              </w:rPr>
              <w:t>第16-18周</w:t>
            </w:r>
          </w:p>
        </w:tc>
        <w:tc>
          <w:tcPr>
            <w:tcW w:type="dxa" w:w="1729"/>
          </w:tcPr>
          <w:p>
            <w:r>
              <w:rPr>
                <w:rFonts w:ascii="宋体" w:hAnsi="宋体" w:eastAsia="宋体"/>
                <w:sz w:val="22"/>
              </w:rPr>
              <w:t>仿真建模工程师</w:t>
            </w:r>
          </w:p>
        </w:tc>
        <w:tc>
          <w:tcPr>
            <w:tcW w:type="dxa" w:w="1729"/>
          </w:tcPr>
          <w:p>
            <w:r>
              <w:rPr>
                <w:rFonts w:ascii="宋体" w:hAnsi="宋体" w:eastAsia="宋体"/>
                <w:sz w:val="22"/>
              </w:rPr>
              <w:t>调压装置配置方案</w:t>
            </w:r>
          </w:p>
        </w:tc>
      </w:tr>
      <w:tr>
        <w:tc>
          <w:tcPr>
            <w:tcW w:type="dxa" w:w="1729"/>
          </w:tcPr>
          <w:p>
            <w:r>
              <w:rPr>
                <w:rFonts w:ascii="宋体" w:hAnsi="宋体" w:eastAsia="宋体"/>
                <w:sz w:val="22"/>
              </w:rPr>
              <w:t>7</w:t>
            </w:r>
          </w:p>
        </w:tc>
        <w:tc>
          <w:tcPr>
            <w:tcW w:type="dxa" w:w="1729"/>
          </w:tcPr>
          <w:p>
            <w:r>
              <w:rPr>
                <w:rFonts w:ascii="宋体" w:hAnsi="宋体" w:eastAsia="宋体"/>
                <w:sz w:val="22"/>
              </w:rPr>
              <w:t>无功补偿装置优化配置</w:t>
            </w:r>
          </w:p>
        </w:tc>
        <w:tc>
          <w:tcPr>
            <w:tcW w:type="dxa" w:w="1729"/>
          </w:tcPr>
          <w:p>
            <w:r>
              <w:rPr>
                <w:rFonts w:ascii="宋体" w:hAnsi="宋体" w:eastAsia="宋体"/>
                <w:sz w:val="22"/>
              </w:rPr>
              <w:t>第17-19周</w:t>
            </w:r>
          </w:p>
        </w:tc>
        <w:tc>
          <w:tcPr>
            <w:tcW w:type="dxa" w:w="1729"/>
          </w:tcPr>
          <w:p>
            <w:r>
              <w:rPr>
                <w:rFonts w:ascii="宋体" w:hAnsi="宋体" w:eastAsia="宋体"/>
                <w:sz w:val="22"/>
              </w:rPr>
              <w:t>仿真建模工程师</w:t>
            </w:r>
          </w:p>
        </w:tc>
        <w:tc>
          <w:tcPr>
            <w:tcW w:type="dxa" w:w="1729"/>
          </w:tcPr>
          <w:p>
            <w:r>
              <w:rPr>
                <w:rFonts w:ascii="宋体" w:hAnsi="宋体" w:eastAsia="宋体"/>
                <w:sz w:val="22"/>
              </w:rPr>
              <w:t>无功补偿配置方案</w:t>
            </w:r>
          </w:p>
        </w:tc>
      </w:tr>
      <w:tr>
        <w:tc>
          <w:tcPr>
            <w:tcW w:type="dxa" w:w="1729"/>
          </w:tcPr>
          <w:p>
            <w:r>
              <w:rPr>
                <w:rFonts w:ascii="宋体" w:hAnsi="宋体" w:eastAsia="宋体"/>
                <w:sz w:val="22"/>
              </w:rPr>
              <w:t>8</w:t>
            </w:r>
          </w:p>
        </w:tc>
        <w:tc>
          <w:tcPr>
            <w:tcW w:type="dxa" w:w="1729"/>
          </w:tcPr>
          <w:p>
            <w:r>
              <w:rPr>
                <w:rFonts w:ascii="宋体" w:hAnsi="宋体" w:eastAsia="宋体"/>
                <w:sz w:val="22"/>
              </w:rPr>
              <w:t>制定治理措施和计划</w:t>
            </w:r>
          </w:p>
        </w:tc>
        <w:tc>
          <w:tcPr>
            <w:tcW w:type="dxa" w:w="1729"/>
          </w:tcPr>
          <w:p>
            <w:r>
              <w:rPr>
                <w:rFonts w:ascii="宋体" w:hAnsi="宋体" w:eastAsia="宋体"/>
                <w:sz w:val="22"/>
              </w:rPr>
              <w:t>第18-20周</w:t>
            </w:r>
          </w:p>
        </w:tc>
        <w:tc>
          <w:tcPr>
            <w:tcW w:type="dxa" w:w="1729"/>
          </w:tcPr>
          <w:p>
            <w:r>
              <w:rPr>
                <w:rFonts w:ascii="宋体" w:hAnsi="宋体" w:eastAsia="宋体"/>
                <w:sz w:val="22"/>
              </w:rPr>
              <w:t>方案编制工程师</w:t>
            </w:r>
          </w:p>
        </w:tc>
        <w:tc>
          <w:tcPr>
            <w:tcW w:type="dxa" w:w="1729"/>
          </w:tcPr>
          <w:p>
            <w:r>
              <w:rPr>
                <w:rFonts w:ascii="宋体" w:hAnsi="宋体" w:eastAsia="宋体"/>
                <w:sz w:val="22"/>
              </w:rPr>
              <w:t>治理计划与储备清单</w:t>
            </w:r>
          </w:p>
        </w:tc>
      </w:tr>
    </w:tbl>
    <w:p/>
    <w:p>
      <w:pPr>
        <w:spacing w:line="360" w:lineRule="auto"/>
        <w:ind w:firstLine="480"/>
      </w:pPr>
      <w:r>
        <w:rPr>
          <w:rFonts w:ascii="宋体" w:hAnsi="宋体" w:eastAsia="宋体"/>
          <w:b/>
          <w:sz w:val="24"/>
        </w:rPr>
        <w:t>13.2.3 第三阶段详细计划（第6-9个月）</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2"/>
              </w:rPr>
              <w:t>序号</w:t>
            </w:r>
          </w:p>
        </w:tc>
        <w:tc>
          <w:tcPr>
            <w:tcW w:type="dxa" w:w="1729"/>
          </w:tcPr>
          <w:p>
            <w:pPr>
              <w:jc w:val="center"/>
            </w:pPr>
            <w:r>
              <w:rPr>
                <w:rFonts w:ascii="宋体" w:hAnsi="宋体" w:eastAsia="宋体"/>
                <w:b/>
                <w:sz w:val="22"/>
              </w:rPr>
              <w:t>工作内容</w:t>
            </w:r>
          </w:p>
        </w:tc>
        <w:tc>
          <w:tcPr>
            <w:tcW w:type="dxa" w:w="1729"/>
          </w:tcPr>
          <w:p>
            <w:pPr>
              <w:jc w:val="center"/>
            </w:pPr>
            <w:r>
              <w:rPr>
                <w:rFonts w:ascii="宋体" w:hAnsi="宋体" w:eastAsia="宋体"/>
                <w:b/>
                <w:sz w:val="22"/>
              </w:rPr>
              <w:t>计划时间</w:t>
            </w:r>
          </w:p>
        </w:tc>
        <w:tc>
          <w:tcPr>
            <w:tcW w:type="dxa" w:w="1729"/>
          </w:tcPr>
          <w:p>
            <w:pPr>
              <w:jc w:val="center"/>
            </w:pPr>
            <w:r>
              <w:rPr>
                <w:rFonts w:ascii="宋体" w:hAnsi="宋体" w:eastAsia="宋体"/>
                <w:b/>
                <w:sz w:val="22"/>
              </w:rPr>
              <w:t>负责人</w:t>
            </w:r>
          </w:p>
        </w:tc>
        <w:tc>
          <w:tcPr>
            <w:tcW w:type="dxa" w:w="1729"/>
          </w:tcPr>
          <w:p>
            <w:pPr>
              <w:jc w:val="center"/>
            </w:pPr>
            <w:r>
              <w:rPr>
                <w:rFonts w:ascii="宋体" w:hAnsi="宋体" w:eastAsia="宋体"/>
                <w:b/>
                <w:sz w:val="22"/>
              </w:rPr>
              <w:t>交付成果</w:t>
            </w:r>
          </w:p>
        </w:tc>
      </w:tr>
      <w:tr>
        <w:tc>
          <w:tcPr>
            <w:tcW w:type="dxa" w:w="1729"/>
          </w:tcPr>
          <w:p>
            <w:r>
              <w:rPr>
                <w:rFonts w:ascii="宋体" w:hAnsi="宋体" w:eastAsia="宋体"/>
                <w:sz w:val="22"/>
              </w:rPr>
              <w:t>1</w:t>
            </w:r>
          </w:p>
        </w:tc>
        <w:tc>
          <w:tcPr>
            <w:tcW w:type="dxa" w:w="1729"/>
          </w:tcPr>
          <w:p>
            <w:r>
              <w:rPr>
                <w:rFonts w:ascii="宋体" w:hAnsi="宋体" w:eastAsia="宋体"/>
                <w:sz w:val="22"/>
              </w:rPr>
              <w:t>筛选确定典型台区</w:t>
            </w:r>
          </w:p>
        </w:tc>
        <w:tc>
          <w:tcPr>
            <w:tcW w:type="dxa" w:w="1729"/>
          </w:tcPr>
          <w:p>
            <w:r>
              <w:rPr>
                <w:rFonts w:ascii="宋体" w:hAnsi="宋体" w:eastAsia="宋体"/>
                <w:sz w:val="22"/>
              </w:rPr>
              <w:t>第21-22周</w:t>
            </w:r>
          </w:p>
        </w:tc>
        <w:tc>
          <w:tcPr>
            <w:tcW w:type="dxa" w:w="1729"/>
          </w:tcPr>
          <w:p>
            <w:r>
              <w:rPr>
                <w:rFonts w:ascii="宋体" w:hAnsi="宋体" w:eastAsia="宋体"/>
                <w:sz w:val="22"/>
              </w:rPr>
              <w:t>技术负责人</w:t>
            </w:r>
          </w:p>
        </w:tc>
        <w:tc>
          <w:tcPr>
            <w:tcW w:type="dxa" w:w="1729"/>
          </w:tcPr>
          <w:p>
            <w:r>
              <w:rPr>
                <w:rFonts w:ascii="宋体" w:hAnsi="宋体" w:eastAsia="宋体"/>
                <w:sz w:val="22"/>
              </w:rPr>
              <w:t>典型台区清单</w:t>
            </w:r>
          </w:p>
        </w:tc>
      </w:tr>
      <w:tr>
        <w:tc>
          <w:tcPr>
            <w:tcW w:type="dxa" w:w="1729"/>
          </w:tcPr>
          <w:p>
            <w:r>
              <w:rPr>
                <w:rFonts w:ascii="宋体" w:hAnsi="宋体" w:eastAsia="宋体"/>
                <w:sz w:val="22"/>
              </w:rPr>
              <w:t>2</w:t>
            </w:r>
          </w:p>
        </w:tc>
        <w:tc>
          <w:tcPr>
            <w:tcW w:type="dxa" w:w="1729"/>
          </w:tcPr>
          <w:p>
            <w:r>
              <w:rPr>
                <w:rFonts w:ascii="宋体" w:hAnsi="宋体" w:eastAsia="宋体"/>
                <w:sz w:val="22"/>
              </w:rPr>
              <w:t>典型台区现场勘查</w:t>
            </w:r>
          </w:p>
        </w:tc>
        <w:tc>
          <w:tcPr>
            <w:tcW w:type="dxa" w:w="1729"/>
          </w:tcPr>
          <w:p>
            <w:r>
              <w:rPr>
                <w:rFonts w:ascii="宋体" w:hAnsi="宋体" w:eastAsia="宋体"/>
                <w:sz w:val="22"/>
              </w:rPr>
              <w:t>第22-26周</w:t>
            </w:r>
          </w:p>
        </w:tc>
        <w:tc>
          <w:tcPr>
            <w:tcW w:type="dxa" w:w="1729"/>
          </w:tcPr>
          <w:p>
            <w:r>
              <w:rPr>
                <w:rFonts w:ascii="宋体" w:hAnsi="宋体" w:eastAsia="宋体"/>
                <w:sz w:val="22"/>
              </w:rPr>
              <w:t>现场勘查工程师</w:t>
            </w:r>
          </w:p>
        </w:tc>
        <w:tc>
          <w:tcPr>
            <w:tcW w:type="dxa" w:w="1729"/>
          </w:tcPr>
          <w:p>
            <w:r>
              <w:rPr>
                <w:rFonts w:ascii="宋体" w:hAnsi="宋体" w:eastAsia="宋体"/>
                <w:sz w:val="22"/>
              </w:rPr>
              <w:t>现场勘查报告</w:t>
            </w:r>
          </w:p>
        </w:tc>
      </w:tr>
      <w:tr>
        <w:tc>
          <w:tcPr>
            <w:tcW w:type="dxa" w:w="1729"/>
          </w:tcPr>
          <w:p>
            <w:r>
              <w:rPr>
                <w:rFonts w:ascii="宋体" w:hAnsi="宋体" w:eastAsia="宋体"/>
                <w:sz w:val="22"/>
              </w:rPr>
              <w:t>3</w:t>
            </w:r>
          </w:p>
        </w:tc>
        <w:tc>
          <w:tcPr>
            <w:tcW w:type="dxa" w:w="1729"/>
          </w:tcPr>
          <w:p>
            <w:r>
              <w:rPr>
                <w:rFonts w:ascii="宋体" w:hAnsi="宋体" w:eastAsia="宋体"/>
                <w:sz w:val="22"/>
              </w:rPr>
              <w:t>建立多维指标评价体系</w:t>
            </w:r>
          </w:p>
        </w:tc>
        <w:tc>
          <w:tcPr>
            <w:tcW w:type="dxa" w:w="1729"/>
          </w:tcPr>
          <w:p>
            <w:r>
              <w:rPr>
                <w:rFonts w:ascii="宋体" w:hAnsi="宋体" w:eastAsia="宋体"/>
                <w:sz w:val="22"/>
              </w:rPr>
              <w:t>第23-25周</w:t>
            </w:r>
          </w:p>
        </w:tc>
        <w:tc>
          <w:tcPr>
            <w:tcW w:type="dxa" w:w="1729"/>
          </w:tcPr>
          <w:p>
            <w:r>
              <w:rPr>
                <w:rFonts w:ascii="宋体" w:hAnsi="宋体" w:eastAsia="宋体"/>
                <w:sz w:val="22"/>
              </w:rPr>
              <w:t>电力系统分析师</w:t>
            </w:r>
          </w:p>
        </w:tc>
        <w:tc>
          <w:tcPr>
            <w:tcW w:type="dxa" w:w="1729"/>
          </w:tcPr>
          <w:p>
            <w:r>
              <w:rPr>
                <w:rFonts w:ascii="宋体" w:hAnsi="宋体" w:eastAsia="宋体"/>
                <w:sz w:val="22"/>
              </w:rPr>
              <w:t>评价指标体系</w:t>
            </w:r>
          </w:p>
        </w:tc>
      </w:tr>
      <w:tr>
        <w:tc>
          <w:tcPr>
            <w:tcW w:type="dxa" w:w="1729"/>
          </w:tcPr>
          <w:p>
            <w:r>
              <w:rPr>
                <w:rFonts w:ascii="宋体" w:hAnsi="宋体" w:eastAsia="宋体"/>
                <w:sz w:val="22"/>
              </w:rPr>
              <w:t>4</w:t>
            </w:r>
          </w:p>
        </w:tc>
        <w:tc>
          <w:tcPr>
            <w:tcW w:type="dxa" w:w="1729"/>
          </w:tcPr>
          <w:p>
            <w:r>
              <w:rPr>
                <w:rFonts w:ascii="宋体" w:hAnsi="宋体" w:eastAsia="宋体"/>
                <w:sz w:val="22"/>
              </w:rPr>
              <w:t>测算电压指数影响贡献度</w:t>
            </w:r>
          </w:p>
        </w:tc>
        <w:tc>
          <w:tcPr>
            <w:tcW w:type="dxa" w:w="1729"/>
          </w:tcPr>
          <w:p>
            <w:r>
              <w:rPr>
                <w:rFonts w:ascii="宋体" w:hAnsi="宋体" w:eastAsia="宋体"/>
                <w:sz w:val="22"/>
              </w:rPr>
              <w:t>第25-28周</w:t>
            </w:r>
          </w:p>
        </w:tc>
        <w:tc>
          <w:tcPr>
            <w:tcW w:type="dxa" w:w="1729"/>
          </w:tcPr>
          <w:p>
            <w:r>
              <w:rPr>
                <w:rFonts w:ascii="宋体" w:hAnsi="宋体" w:eastAsia="宋体"/>
                <w:sz w:val="22"/>
              </w:rPr>
              <w:t>数据分析工程师</w:t>
            </w:r>
          </w:p>
        </w:tc>
        <w:tc>
          <w:tcPr>
            <w:tcW w:type="dxa" w:w="1729"/>
          </w:tcPr>
          <w:p>
            <w:r>
              <w:rPr>
                <w:rFonts w:ascii="宋体" w:hAnsi="宋体" w:eastAsia="宋体"/>
                <w:sz w:val="22"/>
              </w:rPr>
              <w:t>贡献度分析报告</w:t>
            </w:r>
          </w:p>
        </w:tc>
      </w:tr>
      <w:tr>
        <w:tc>
          <w:tcPr>
            <w:tcW w:type="dxa" w:w="1729"/>
          </w:tcPr>
          <w:p>
            <w:r>
              <w:rPr>
                <w:rFonts w:ascii="宋体" w:hAnsi="宋体" w:eastAsia="宋体"/>
                <w:sz w:val="22"/>
              </w:rPr>
              <w:t>5</w:t>
            </w:r>
          </w:p>
        </w:tc>
        <w:tc>
          <w:tcPr>
            <w:tcW w:type="dxa" w:w="1729"/>
          </w:tcPr>
          <w:p>
            <w:r>
              <w:rPr>
                <w:rFonts w:ascii="宋体" w:hAnsi="宋体" w:eastAsia="宋体"/>
                <w:sz w:val="22"/>
              </w:rPr>
              <w:t>建立仿真模型并校核</w:t>
            </w:r>
          </w:p>
        </w:tc>
        <w:tc>
          <w:tcPr>
            <w:tcW w:type="dxa" w:w="1729"/>
          </w:tcPr>
          <w:p>
            <w:r>
              <w:rPr>
                <w:rFonts w:ascii="宋体" w:hAnsi="宋体" w:eastAsia="宋体"/>
                <w:sz w:val="22"/>
              </w:rPr>
              <w:t>第26-30周</w:t>
            </w:r>
          </w:p>
        </w:tc>
        <w:tc>
          <w:tcPr>
            <w:tcW w:type="dxa" w:w="1729"/>
          </w:tcPr>
          <w:p>
            <w:r>
              <w:rPr>
                <w:rFonts w:ascii="宋体" w:hAnsi="宋体" w:eastAsia="宋体"/>
                <w:sz w:val="22"/>
              </w:rPr>
              <w:t>仿真建模工程师</w:t>
            </w:r>
          </w:p>
        </w:tc>
        <w:tc>
          <w:tcPr>
            <w:tcW w:type="dxa" w:w="1729"/>
          </w:tcPr>
          <w:p>
            <w:r>
              <w:rPr>
                <w:rFonts w:ascii="宋体" w:hAnsi="宋体" w:eastAsia="宋体"/>
                <w:sz w:val="22"/>
              </w:rPr>
              <w:t>仿真模型</w:t>
            </w:r>
          </w:p>
        </w:tc>
      </w:tr>
      <w:tr>
        <w:tc>
          <w:tcPr>
            <w:tcW w:type="dxa" w:w="1729"/>
          </w:tcPr>
          <w:p>
            <w:r>
              <w:rPr>
                <w:rFonts w:ascii="宋体" w:hAnsi="宋体" w:eastAsia="宋体"/>
                <w:sz w:val="22"/>
              </w:rPr>
              <w:t>6</w:t>
            </w:r>
          </w:p>
        </w:tc>
        <w:tc>
          <w:tcPr>
            <w:tcW w:type="dxa" w:w="1729"/>
          </w:tcPr>
          <w:p>
            <w:r>
              <w:rPr>
                <w:rFonts w:ascii="宋体" w:hAnsi="宋体" w:eastAsia="宋体"/>
                <w:sz w:val="22"/>
              </w:rPr>
              <w:t>仿真模拟与方案优化</w:t>
            </w:r>
          </w:p>
        </w:tc>
        <w:tc>
          <w:tcPr>
            <w:tcW w:type="dxa" w:w="1729"/>
          </w:tcPr>
          <w:p>
            <w:r>
              <w:rPr>
                <w:rFonts w:ascii="宋体" w:hAnsi="宋体" w:eastAsia="宋体"/>
                <w:sz w:val="22"/>
              </w:rPr>
              <w:t>第28-33周</w:t>
            </w:r>
          </w:p>
        </w:tc>
        <w:tc>
          <w:tcPr>
            <w:tcW w:type="dxa" w:w="1729"/>
          </w:tcPr>
          <w:p>
            <w:r>
              <w:rPr>
                <w:rFonts w:ascii="宋体" w:hAnsi="宋体" w:eastAsia="宋体"/>
                <w:sz w:val="22"/>
              </w:rPr>
              <w:t>仿真建模工程师</w:t>
            </w:r>
          </w:p>
        </w:tc>
        <w:tc>
          <w:tcPr>
            <w:tcW w:type="dxa" w:w="1729"/>
          </w:tcPr>
          <w:p>
            <w:r>
              <w:rPr>
                <w:rFonts w:ascii="宋体" w:hAnsi="宋体" w:eastAsia="宋体"/>
                <w:sz w:val="22"/>
              </w:rPr>
              <w:t>仿真分析报告</w:t>
            </w:r>
          </w:p>
        </w:tc>
      </w:tr>
      <w:tr>
        <w:tc>
          <w:tcPr>
            <w:tcW w:type="dxa" w:w="1729"/>
          </w:tcPr>
          <w:p>
            <w:r>
              <w:rPr>
                <w:rFonts w:ascii="宋体" w:hAnsi="宋体" w:eastAsia="宋体"/>
                <w:sz w:val="22"/>
              </w:rPr>
              <w:t>7</w:t>
            </w:r>
          </w:p>
        </w:tc>
        <w:tc>
          <w:tcPr>
            <w:tcW w:type="dxa" w:w="1729"/>
          </w:tcPr>
          <w:p>
            <w:r>
              <w:rPr>
                <w:rFonts w:ascii="宋体" w:hAnsi="宋体" w:eastAsia="宋体"/>
                <w:sz w:val="22"/>
              </w:rPr>
              <w:t>制定典型台区精准治理方案</w:t>
            </w:r>
          </w:p>
        </w:tc>
        <w:tc>
          <w:tcPr>
            <w:tcW w:type="dxa" w:w="1729"/>
          </w:tcPr>
          <w:p>
            <w:r>
              <w:rPr>
                <w:rFonts w:ascii="宋体" w:hAnsi="宋体" w:eastAsia="宋体"/>
                <w:sz w:val="22"/>
              </w:rPr>
              <w:t>第30-34周</w:t>
            </w:r>
          </w:p>
        </w:tc>
        <w:tc>
          <w:tcPr>
            <w:tcW w:type="dxa" w:w="1729"/>
          </w:tcPr>
          <w:p>
            <w:r>
              <w:rPr>
                <w:rFonts w:ascii="宋体" w:hAnsi="宋体" w:eastAsia="宋体"/>
                <w:sz w:val="22"/>
              </w:rPr>
              <w:t>方案编制工程师</w:t>
            </w:r>
          </w:p>
        </w:tc>
        <w:tc>
          <w:tcPr>
            <w:tcW w:type="dxa" w:w="1729"/>
          </w:tcPr>
          <w:p>
            <w:r>
              <w:rPr>
                <w:rFonts w:ascii="宋体" w:hAnsi="宋体" w:eastAsia="宋体"/>
                <w:sz w:val="22"/>
              </w:rPr>
              <w:t>精准治理方案</w:t>
            </w:r>
          </w:p>
        </w:tc>
      </w:tr>
      <w:tr>
        <w:tc>
          <w:tcPr>
            <w:tcW w:type="dxa" w:w="1729"/>
          </w:tcPr>
          <w:p>
            <w:r>
              <w:rPr>
                <w:rFonts w:ascii="宋体" w:hAnsi="宋体" w:eastAsia="宋体"/>
                <w:sz w:val="22"/>
              </w:rPr>
              <w:t>8</w:t>
            </w:r>
          </w:p>
        </w:tc>
        <w:tc>
          <w:tcPr>
            <w:tcW w:type="dxa" w:w="1729"/>
          </w:tcPr>
          <w:p>
            <w:r>
              <w:rPr>
                <w:rFonts w:ascii="宋体" w:hAnsi="宋体" w:eastAsia="宋体"/>
                <w:sz w:val="22"/>
              </w:rPr>
              <w:t>配合开展"四不两直"现场检查</w:t>
            </w:r>
          </w:p>
        </w:tc>
        <w:tc>
          <w:tcPr>
            <w:tcW w:type="dxa" w:w="1729"/>
          </w:tcPr>
          <w:p>
            <w:r>
              <w:rPr>
                <w:rFonts w:ascii="宋体" w:hAnsi="宋体" w:eastAsia="宋体"/>
                <w:sz w:val="22"/>
              </w:rPr>
              <w:t>第22-36周</w:t>
            </w:r>
          </w:p>
        </w:tc>
        <w:tc>
          <w:tcPr>
            <w:tcW w:type="dxa" w:w="1729"/>
          </w:tcPr>
          <w:p>
            <w:r>
              <w:rPr>
                <w:rFonts w:ascii="宋体" w:hAnsi="宋体" w:eastAsia="宋体"/>
                <w:sz w:val="22"/>
              </w:rPr>
              <w:t>现场勘查工程师</w:t>
            </w:r>
          </w:p>
        </w:tc>
        <w:tc>
          <w:tcPr>
            <w:tcW w:type="dxa" w:w="1729"/>
          </w:tcPr>
          <w:p>
            <w:r>
              <w:rPr>
                <w:rFonts w:ascii="宋体" w:hAnsi="宋体" w:eastAsia="宋体"/>
                <w:sz w:val="22"/>
              </w:rPr>
              <w:t>现场检查报告</w:t>
            </w:r>
          </w:p>
        </w:tc>
      </w:tr>
    </w:tbl>
    <w:p/>
    <w:p>
      <w:pPr>
        <w:spacing w:line="360" w:lineRule="auto"/>
        <w:ind w:firstLine="480"/>
      </w:pPr>
      <w:r>
        <w:rPr>
          <w:rFonts w:ascii="宋体" w:hAnsi="宋体" w:eastAsia="宋体"/>
          <w:b/>
          <w:sz w:val="24"/>
        </w:rPr>
        <w:t>13.2.4 第四阶段详细计划（第10-12个月）</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2"/>
              </w:rPr>
              <w:t>序号</w:t>
            </w:r>
          </w:p>
        </w:tc>
        <w:tc>
          <w:tcPr>
            <w:tcW w:type="dxa" w:w="1729"/>
          </w:tcPr>
          <w:p>
            <w:pPr>
              <w:jc w:val="center"/>
            </w:pPr>
            <w:r>
              <w:rPr>
                <w:rFonts w:ascii="宋体" w:hAnsi="宋体" w:eastAsia="宋体"/>
                <w:b/>
                <w:sz w:val="22"/>
              </w:rPr>
              <w:t>工作内容</w:t>
            </w:r>
          </w:p>
        </w:tc>
        <w:tc>
          <w:tcPr>
            <w:tcW w:type="dxa" w:w="1729"/>
          </w:tcPr>
          <w:p>
            <w:pPr>
              <w:jc w:val="center"/>
            </w:pPr>
            <w:r>
              <w:rPr>
                <w:rFonts w:ascii="宋体" w:hAnsi="宋体" w:eastAsia="宋体"/>
                <w:b/>
                <w:sz w:val="22"/>
              </w:rPr>
              <w:t>计划时间</w:t>
            </w:r>
          </w:p>
        </w:tc>
        <w:tc>
          <w:tcPr>
            <w:tcW w:type="dxa" w:w="1729"/>
          </w:tcPr>
          <w:p>
            <w:pPr>
              <w:jc w:val="center"/>
            </w:pPr>
            <w:r>
              <w:rPr>
                <w:rFonts w:ascii="宋体" w:hAnsi="宋体" w:eastAsia="宋体"/>
                <w:b/>
                <w:sz w:val="22"/>
              </w:rPr>
              <w:t>负责人</w:t>
            </w:r>
          </w:p>
        </w:tc>
        <w:tc>
          <w:tcPr>
            <w:tcW w:type="dxa" w:w="1729"/>
          </w:tcPr>
          <w:p>
            <w:pPr>
              <w:jc w:val="center"/>
            </w:pPr>
            <w:r>
              <w:rPr>
                <w:rFonts w:ascii="宋体" w:hAnsi="宋体" w:eastAsia="宋体"/>
                <w:b/>
                <w:sz w:val="22"/>
              </w:rPr>
              <w:t>交付成果</w:t>
            </w:r>
          </w:p>
        </w:tc>
      </w:tr>
      <w:tr>
        <w:tc>
          <w:tcPr>
            <w:tcW w:type="dxa" w:w="1729"/>
          </w:tcPr>
          <w:p>
            <w:r>
              <w:rPr>
                <w:rFonts w:ascii="宋体" w:hAnsi="宋体" w:eastAsia="宋体"/>
                <w:sz w:val="22"/>
              </w:rPr>
              <w:t>1</w:t>
            </w:r>
          </w:p>
        </w:tc>
        <w:tc>
          <w:tcPr>
            <w:tcW w:type="dxa" w:w="1729"/>
          </w:tcPr>
          <w:p>
            <w:r>
              <w:rPr>
                <w:rFonts w:ascii="宋体" w:hAnsi="宋体" w:eastAsia="宋体"/>
                <w:sz w:val="22"/>
              </w:rPr>
              <w:t>跟踪治理措施实施效果</w:t>
            </w:r>
          </w:p>
        </w:tc>
        <w:tc>
          <w:tcPr>
            <w:tcW w:type="dxa" w:w="1729"/>
          </w:tcPr>
          <w:p>
            <w:r>
              <w:rPr>
                <w:rFonts w:ascii="宋体" w:hAnsi="宋体" w:eastAsia="宋体"/>
                <w:sz w:val="22"/>
              </w:rPr>
              <w:t>第37-42周</w:t>
            </w:r>
          </w:p>
        </w:tc>
        <w:tc>
          <w:tcPr>
            <w:tcW w:type="dxa" w:w="1729"/>
          </w:tcPr>
          <w:p>
            <w:r>
              <w:rPr>
                <w:rFonts w:ascii="宋体" w:hAnsi="宋体" w:eastAsia="宋体"/>
                <w:sz w:val="22"/>
              </w:rPr>
              <w:t>电力系统分析师</w:t>
            </w:r>
          </w:p>
        </w:tc>
        <w:tc>
          <w:tcPr>
            <w:tcW w:type="dxa" w:w="1729"/>
          </w:tcPr>
          <w:p>
            <w:r>
              <w:rPr>
                <w:rFonts w:ascii="宋体" w:hAnsi="宋体" w:eastAsia="宋体"/>
                <w:sz w:val="22"/>
              </w:rPr>
              <w:t>治理效果跟踪记录</w:t>
            </w:r>
          </w:p>
        </w:tc>
      </w:tr>
      <w:tr>
        <w:tc>
          <w:tcPr>
            <w:tcW w:type="dxa" w:w="1729"/>
          </w:tcPr>
          <w:p>
            <w:r>
              <w:rPr>
                <w:rFonts w:ascii="宋体" w:hAnsi="宋体" w:eastAsia="宋体"/>
                <w:sz w:val="22"/>
              </w:rPr>
              <w:t>2</w:t>
            </w:r>
          </w:p>
        </w:tc>
        <w:tc>
          <w:tcPr>
            <w:tcW w:type="dxa" w:w="1729"/>
          </w:tcPr>
          <w:p>
            <w:r>
              <w:rPr>
                <w:rFonts w:ascii="宋体" w:hAnsi="宋体" w:eastAsia="宋体"/>
                <w:sz w:val="22"/>
              </w:rPr>
              <w:t>电压指标对比分析</w:t>
            </w:r>
          </w:p>
        </w:tc>
        <w:tc>
          <w:tcPr>
            <w:tcW w:type="dxa" w:w="1729"/>
          </w:tcPr>
          <w:p>
            <w:r>
              <w:rPr>
                <w:rFonts w:ascii="宋体" w:hAnsi="宋体" w:eastAsia="宋体"/>
                <w:sz w:val="22"/>
              </w:rPr>
              <w:t>第40-44周</w:t>
            </w:r>
          </w:p>
        </w:tc>
        <w:tc>
          <w:tcPr>
            <w:tcW w:type="dxa" w:w="1729"/>
          </w:tcPr>
          <w:p>
            <w:r>
              <w:rPr>
                <w:rFonts w:ascii="宋体" w:hAnsi="宋体" w:eastAsia="宋体"/>
                <w:sz w:val="22"/>
              </w:rPr>
              <w:t>数据分析工程师</w:t>
            </w:r>
          </w:p>
        </w:tc>
        <w:tc>
          <w:tcPr>
            <w:tcW w:type="dxa" w:w="1729"/>
          </w:tcPr>
          <w:p>
            <w:r>
              <w:rPr>
                <w:rFonts w:ascii="宋体" w:hAnsi="宋体" w:eastAsia="宋体"/>
                <w:sz w:val="22"/>
              </w:rPr>
              <w:t>效果评估报告</w:t>
            </w:r>
          </w:p>
        </w:tc>
      </w:tr>
      <w:tr>
        <w:tc>
          <w:tcPr>
            <w:tcW w:type="dxa" w:w="1729"/>
          </w:tcPr>
          <w:p>
            <w:r>
              <w:rPr>
                <w:rFonts w:ascii="宋体" w:hAnsi="宋体" w:eastAsia="宋体"/>
                <w:sz w:val="22"/>
              </w:rPr>
              <w:t>3</w:t>
            </w:r>
          </w:p>
        </w:tc>
        <w:tc>
          <w:tcPr>
            <w:tcW w:type="dxa" w:w="1729"/>
          </w:tcPr>
          <w:p>
            <w:r>
              <w:rPr>
                <w:rFonts w:ascii="宋体" w:hAnsi="宋体" w:eastAsia="宋体"/>
                <w:sz w:val="22"/>
              </w:rPr>
              <w:t>持续开展电压动态跟踪</w:t>
            </w:r>
          </w:p>
        </w:tc>
        <w:tc>
          <w:tcPr>
            <w:tcW w:type="dxa" w:w="1729"/>
          </w:tcPr>
          <w:p>
            <w:r>
              <w:rPr>
                <w:rFonts w:ascii="宋体" w:hAnsi="宋体" w:eastAsia="宋体"/>
                <w:sz w:val="22"/>
              </w:rPr>
              <w:t>第37-48周</w:t>
            </w:r>
          </w:p>
        </w:tc>
        <w:tc>
          <w:tcPr>
            <w:tcW w:type="dxa" w:w="1729"/>
          </w:tcPr>
          <w:p>
            <w:r>
              <w:rPr>
                <w:rFonts w:ascii="宋体" w:hAnsi="宋体" w:eastAsia="宋体"/>
                <w:sz w:val="22"/>
              </w:rPr>
              <w:t>数据分析工程师</w:t>
            </w:r>
          </w:p>
        </w:tc>
        <w:tc>
          <w:tcPr>
            <w:tcW w:type="dxa" w:w="1729"/>
          </w:tcPr>
          <w:p>
            <w:r>
              <w:rPr>
                <w:rFonts w:ascii="宋体" w:hAnsi="宋体" w:eastAsia="宋体"/>
                <w:sz w:val="22"/>
              </w:rPr>
              <w:t>动态跟踪分析报告</w:t>
            </w:r>
          </w:p>
        </w:tc>
      </w:tr>
      <w:tr>
        <w:tc>
          <w:tcPr>
            <w:tcW w:type="dxa" w:w="1729"/>
          </w:tcPr>
          <w:p>
            <w:r>
              <w:rPr>
                <w:rFonts w:ascii="宋体" w:hAnsi="宋体" w:eastAsia="宋体"/>
                <w:sz w:val="22"/>
              </w:rPr>
              <w:t>4</w:t>
            </w:r>
          </w:p>
        </w:tc>
        <w:tc>
          <w:tcPr>
            <w:tcW w:type="dxa" w:w="1729"/>
          </w:tcPr>
          <w:p>
            <w:r>
              <w:rPr>
                <w:rFonts w:ascii="宋体" w:hAnsi="宋体" w:eastAsia="宋体"/>
                <w:sz w:val="22"/>
              </w:rPr>
              <w:t>整理项目过程文件</w:t>
            </w:r>
          </w:p>
        </w:tc>
        <w:tc>
          <w:tcPr>
            <w:tcW w:type="dxa" w:w="1729"/>
          </w:tcPr>
          <w:p>
            <w:r>
              <w:rPr>
                <w:rFonts w:ascii="宋体" w:hAnsi="宋体" w:eastAsia="宋体"/>
                <w:sz w:val="22"/>
              </w:rPr>
              <w:t>第45-47周</w:t>
            </w:r>
          </w:p>
        </w:tc>
        <w:tc>
          <w:tcPr>
            <w:tcW w:type="dxa" w:w="1729"/>
          </w:tcPr>
          <w:p>
            <w:r>
              <w:rPr>
                <w:rFonts w:ascii="宋体" w:hAnsi="宋体" w:eastAsia="宋体"/>
                <w:sz w:val="22"/>
              </w:rPr>
              <w:t>项目协调员</w:t>
            </w:r>
          </w:p>
        </w:tc>
        <w:tc>
          <w:tcPr>
            <w:tcW w:type="dxa" w:w="1729"/>
          </w:tcPr>
          <w:p>
            <w:r>
              <w:rPr>
                <w:rFonts w:ascii="宋体" w:hAnsi="宋体" w:eastAsia="宋体"/>
                <w:sz w:val="22"/>
              </w:rPr>
              <w:t>过程文件汇编</w:t>
            </w:r>
          </w:p>
        </w:tc>
      </w:tr>
      <w:tr>
        <w:tc>
          <w:tcPr>
            <w:tcW w:type="dxa" w:w="1729"/>
          </w:tcPr>
          <w:p>
            <w:r>
              <w:rPr>
                <w:rFonts w:ascii="宋体" w:hAnsi="宋体" w:eastAsia="宋体"/>
                <w:sz w:val="22"/>
              </w:rPr>
              <w:t>5</w:t>
            </w:r>
          </w:p>
        </w:tc>
        <w:tc>
          <w:tcPr>
            <w:tcW w:type="dxa" w:w="1729"/>
          </w:tcPr>
          <w:p>
            <w:r>
              <w:rPr>
                <w:rFonts w:ascii="宋体" w:hAnsi="宋体" w:eastAsia="宋体"/>
                <w:sz w:val="22"/>
              </w:rPr>
              <w:t>编制项目总结报告</w:t>
            </w:r>
          </w:p>
        </w:tc>
        <w:tc>
          <w:tcPr>
            <w:tcW w:type="dxa" w:w="1729"/>
          </w:tcPr>
          <w:p>
            <w:r>
              <w:rPr>
                <w:rFonts w:ascii="宋体" w:hAnsi="宋体" w:eastAsia="宋体"/>
                <w:sz w:val="22"/>
              </w:rPr>
              <w:t>第46-48周</w:t>
            </w:r>
          </w:p>
        </w:tc>
        <w:tc>
          <w:tcPr>
            <w:tcW w:type="dxa" w:w="1729"/>
          </w:tcPr>
          <w:p>
            <w:r>
              <w:rPr>
                <w:rFonts w:ascii="宋体" w:hAnsi="宋体" w:eastAsia="宋体"/>
                <w:sz w:val="22"/>
              </w:rPr>
              <w:t>技术负责人</w:t>
            </w:r>
          </w:p>
        </w:tc>
        <w:tc>
          <w:tcPr>
            <w:tcW w:type="dxa" w:w="1729"/>
          </w:tcPr>
          <w:p>
            <w:r>
              <w:rPr>
                <w:rFonts w:ascii="宋体" w:hAnsi="宋体" w:eastAsia="宋体"/>
                <w:sz w:val="22"/>
              </w:rPr>
              <w:t>项目总结报告</w:t>
            </w:r>
          </w:p>
        </w:tc>
      </w:tr>
      <w:tr>
        <w:tc>
          <w:tcPr>
            <w:tcW w:type="dxa" w:w="1729"/>
          </w:tcPr>
          <w:p>
            <w:r>
              <w:rPr>
                <w:rFonts w:ascii="宋体" w:hAnsi="宋体" w:eastAsia="宋体"/>
                <w:sz w:val="22"/>
              </w:rPr>
              <w:t>6</w:t>
            </w:r>
          </w:p>
        </w:tc>
        <w:tc>
          <w:tcPr>
            <w:tcW w:type="dxa" w:w="1729"/>
          </w:tcPr>
          <w:p>
            <w:r>
              <w:rPr>
                <w:rFonts w:ascii="宋体" w:hAnsi="宋体" w:eastAsia="宋体"/>
                <w:sz w:val="22"/>
              </w:rPr>
              <w:t>成果交付与项目验收</w:t>
            </w:r>
          </w:p>
        </w:tc>
        <w:tc>
          <w:tcPr>
            <w:tcW w:type="dxa" w:w="1729"/>
          </w:tcPr>
          <w:p>
            <w:r>
              <w:rPr>
                <w:rFonts w:ascii="宋体" w:hAnsi="宋体" w:eastAsia="宋体"/>
                <w:sz w:val="22"/>
              </w:rPr>
              <w:t>第48周</w:t>
            </w:r>
          </w:p>
        </w:tc>
        <w:tc>
          <w:tcPr>
            <w:tcW w:type="dxa" w:w="1729"/>
          </w:tcPr>
          <w:p>
            <w:r>
              <w:rPr>
                <w:rFonts w:ascii="宋体" w:hAnsi="宋体" w:eastAsia="宋体"/>
                <w:sz w:val="22"/>
              </w:rPr>
              <w:t>项目负责人</w:t>
            </w:r>
          </w:p>
        </w:tc>
        <w:tc>
          <w:tcPr>
            <w:tcW w:type="dxa" w:w="1729"/>
          </w:tcPr>
          <w:p>
            <w:r>
              <w:rPr>
                <w:rFonts w:ascii="宋体" w:hAnsi="宋体" w:eastAsia="宋体"/>
                <w:sz w:val="22"/>
              </w:rPr>
              <w:t>验收报告</w:t>
            </w:r>
          </w:p>
        </w:tc>
      </w:tr>
    </w:tbl>
    <w:p/>
    <w:p>
      <w:pPr>
        <w:pStyle w:val="Heading2"/>
      </w:pPr>
      <w:r>
        <w:rPr>
          <w:rFonts w:ascii="黑体" w:hAnsi="黑体" w:eastAsia="黑体"/>
        </w:rPr>
        <w:t>13.3 沟通协调计划</w:t>
      </w:r>
    </w:p>
    <w:p>
      <w:pPr>
        <w:spacing w:line="360" w:lineRule="auto"/>
        <w:ind w:firstLine="480"/>
      </w:pPr>
      <w:r>
        <w:rPr>
          <w:rFonts w:ascii="宋体" w:hAnsi="宋体" w:eastAsia="宋体"/>
          <w:b w:val="0"/>
          <w:sz w:val="24"/>
        </w:rPr>
        <w:t>为确保项目顺利推进，制定以下沟通协调计划：</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沟通方式</w:t>
            </w:r>
          </w:p>
        </w:tc>
        <w:tc>
          <w:tcPr>
            <w:tcW w:type="dxa" w:w="2161"/>
          </w:tcPr>
          <w:p>
            <w:pPr>
              <w:jc w:val="center"/>
            </w:pPr>
            <w:r>
              <w:rPr>
                <w:rFonts w:ascii="宋体" w:hAnsi="宋体" w:eastAsia="宋体"/>
                <w:b/>
                <w:sz w:val="22"/>
              </w:rPr>
              <w:t>频率</w:t>
            </w:r>
          </w:p>
        </w:tc>
        <w:tc>
          <w:tcPr>
            <w:tcW w:type="dxa" w:w="2161"/>
          </w:tcPr>
          <w:p>
            <w:pPr>
              <w:jc w:val="center"/>
            </w:pPr>
            <w:r>
              <w:rPr>
                <w:rFonts w:ascii="宋体" w:hAnsi="宋体" w:eastAsia="宋体"/>
                <w:b/>
                <w:sz w:val="22"/>
              </w:rPr>
              <w:t>参与人员</w:t>
            </w:r>
          </w:p>
        </w:tc>
        <w:tc>
          <w:tcPr>
            <w:tcW w:type="dxa" w:w="2161"/>
          </w:tcPr>
          <w:p>
            <w:pPr>
              <w:jc w:val="center"/>
            </w:pPr>
            <w:r>
              <w:rPr>
                <w:rFonts w:ascii="宋体" w:hAnsi="宋体" w:eastAsia="宋体"/>
                <w:b/>
                <w:sz w:val="22"/>
              </w:rPr>
              <w:t>主要内容</w:t>
            </w:r>
          </w:p>
        </w:tc>
      </w:tr>
      <w:tr>
        <w:tc>
          <w:tcPr>
            <w:tcW w:type="dxa" w:w="2161"/>
          </w:tcPr>
          <w:p>
            <w:r>
              <w:rPr>
                <w:rFonts w:ascii="宋体" w:hAnsi="宋体" w:eastAsia="宋体"/>
                <w:sz w:val="22"/>
              </w:rPr>
              <w:t>项目启动会</w:t>
            </w:r>
          </w:p>
        </w:tc>
        <w:tc>
          <w:tcPr>
            <w:tcW w:type="dxa" w:w="2161"/>
          </w:tcPr>
          <w:p>
            <w:r>
              <w:rPr>
                <w:rFonts w:ascii="宋体" w:hAnsi="宋体" w:eastAsia="宋体"/>
                <w:sz w:val="22"/>
              </w:rPr>
              <w:t>项目初期1次</w:t>
            </w:r>
          </w:p>
        </w:tc>
        <w:tc>
          <w:tcPr>
            <w:tcW w:type="dxa" w:w="2161"/>
          </w:tcPr>
          <w:p>
            <w:r>
              <w:rPr>
                <w:rFonts w:ascii="宋体" w:hAnsi="宋体" w:eastAsia="宋体"/>
                <w:sz w:val="22"/>
              </w:rPr>
              <w:t>双方项目团队全员</w:t>
            </w:r>
          </w:p>
        </w:tc>
        <w:tc>
          <w:tcPr>
            <w:tcW w:type="dxa" w:w="2161"/>
          </w:tcPr>
          <w:p>
            <w:r>
              <w:rPr>
                <w:rFonts w:ascii="宋体" w:hAnsi="宋体" w:eastAsia="宋体"/>
                <w:sz w:val="22"/>
              </w:rPr>
              <w:t>明确目标、分工、计划</w:t>
            </w:r>
          </w:p>
        </w:tc>
      </w:tr>
      <w:tr>
        <w:tc>
          <w:tcPr>
            <w:tcW w:type="dxa" w:w="2161"/>
          </w:tcPr>
          <w:p>
            <w:r>
              <w:rPr>
                <w:rFonts w:ascii="宋体" w:hAnsi="宋体" w:eastAsia="宋体"/>
                <w:sz w:val="22"/>
              </w:rPr>
              <w:t>周例会</w:t>
            </w:r>
          </w:p>
        </w:tc>
        <w:tc>
          <w:tcPr>
            <w:tcW w:type="dxa" w:w="2161"/>
          </w:tcPr>
          <w:p>
            <w:r>
              <w:rPr>
                <w:rFonts w:ascii="宋体" w:hAnsi="宋体" w:eastAsia="宋体"/>
                <w:sz w:val="22"/>
              </w:rPr>
              <w:t>每周1次</w:t>
            </w:r>
          </w:p>
        </w:tc>
        <w:tc>
          <w:tcPr>
            <w:tcW w:type="dxa" w:w="2161"/>
          </w:tcPr>
          <w:p>
            <w:r>
              <w:rPr>
                <w:rFonts w:ascii="宋体" w:hAnsi="宋体" w:eastAsia="宋体"/>
                <w:sz w:val="22"/>
              </w:rPr>
              <w:t>项目核心团队</w:t>
            </w:r>
          </w:p>
        </w:tc>
        <w:tc>
          <w:tcPr>
            <w:tcW w:type="dxa" w:w="2161"/>
          </w:tcPr>
          <w:p>
            <w:r>
              <w:rPr>
                <w:rFonts w:ascii="宋体" w:hAnsi="宋体" w:eastAsia="宋体"/>
                <w:sz w:val="22"/>
              </w:rPr>
              <w:t>工作进展、问题协调</w:t>
            </w:r>
          </w:p>
        </w:tc>
      </w:tr>
      <w:tr>
        <w:tc>
          <w:tcPr>
            <w:tcW w:type="dxa" w:w="2161"/>
          </w:tcPr>
          <w:p>
            <w:r>
              <w:rPr>
                <w:rFonts w:ascii="宋体" w:hAnsi="宋体" w:eastAsia="宋体"/>
                <w:sz w:val="22"/>
              </w:rPr>
              <w:t>月度汇报</w:t>
            </w:r>
          </w:p>
        </w:tc>
        <w:tc>
          <w:tcPr>
            <w:tcW w:type="dxa" w:w="2161"/>
          </w:tcPr>
          <w:p>
            <w:r>
              <w:rPr>
                <w:rFonts w:ascii="宋体" w:hAnsi="宋体" w:eastAsia="宋体"/>
                <w:sz w:val="22"/>
              </w:rPr>
              <w:t>每月1次</w:t>
            </w:r>
          </w:p>
        </w:tc>
        <w:tc>
          <w:tcPr>
            <w:tcW w:type="dxa" w:w="2161"/>
          </w:tcPr>
          <w:p>
            <w:r>
              <w:rPr>
                <w:rFonts w:ascii="宋体" w:hAnsi="宋体" w:eastAsia="宋体"/>
                <w:sz w:val="22"/>
              </w:rPr>
              <w:t>项目负责人及甲方管理层</w:t>
            </w:r>
          </w:p>
        </w:tc>
        <w:tc>
          <w:tcPr>
            <w:tcW w:type="dxa" w:w="2161"/>
          </w:tcPr>
          <w:p>
            <w:r>
              <w:rPr>
                <w:rFonts w:ascii="宋体" w:hAnsi="宋体" w:eastAsia="宋体"/>
                <w:sz w:val="22"/>
              </w:rPr>
              <w:t>阶段成果、重大事项</w:t>
            </w:r>
          </w:p>
        </w:tc>
      </w:tr>
      <w:tr>
        <w:tc>
          <w:tcPr>
            <w:tcW w:type="dxa" w:w="2161"/>
          </w:tcPr>
          <w:p>
            <w:r>
              <w:rPr>
                <w:rFonts w:ascii="宋体" w:hAnsi="宋体" w:eastAsia="宋体"/>
                <w:sz w:val="22"/>
              </w:rPr>
              <w:t>阶段评审</w:t>
            </w:r>
          </w:p>
        </w:tc>
        <w:tc>
          <w:tcPr>
            <w:tcW w:type="dxa" w:w="2161"/>
          </w:tcPr>
          <w:p>
            <w:r>
              <w:rPr>
                <w:rFonts w:ascii="宋体" w:hAnsi="宋体" w:eastAsia="宋体"/>
                <w:sz w:val="22"/>
              </w:rPr>
              <w:t>每阶段结束</w:t>
            </w:r>
          </w:p>
        </w:tc>
        <w:tc>
          <w:tcPr>
            <w:tcW w:type="dxa" w:w="2161"/>
          </w:tcPr>
          <w:p>
            <w:r>
              <w:rPr>
                <w:rFonts w:ascii="宋体" w:hAnsi="宋体" w:eastAsia="宋体"/>
                <w:sz w:val="22"/>
              </w:rPr>
              <w:t>双方全员</w:t>
            </w:r>
          </w:p>
        </w:tc>
        <w:tc>
          <w:tcPr>
            <w:tcW w:type="dxa" w:w="2161"/>
          </w:tcPr>
          <w:p>
            <w:r>
              <w:rPr>
                <w:rFonts w:ascii="宋体" w:hAnsi="宋体" w:eastAsia="宋体"/>
                <w:sz w:val="22"/>
              </w:rPr>
              <w:t>阶段成果审核确认</w:t>
            </w:r>
          </w:p>
        </w:tc>
      </w:tr>
      <w:tr>
        <w:tc>
          <w:tcPr>
            <w:tcW w:type="dxa" w:w="2161"/>
          </w:tcPr>
          <w:p>
            <w:r>
              <w:rPr>
                <w:rFonts w:ascii="宋体" w:hAnsi="宋体" w:eastAsia="宋体"/>
                <w:sz w:val="22"/>
              </w:rPr>
              <w:t>工作周报</w:t>
            </w:r>
          </w:p>
        </w:tc>
        <w:tc>
          <w:tcPr>
            <w:tcW w:type="dxa" w:w="2161"/>
          </w:tcPr>
          <w:p>
            <w:r>
              <w:rPr>
                <w:rFonts w:ascii="宋体" w:hAnsi="宋体" w:eastAsia="宋体"/>
                <w:sz w:val="22"/>
              </w:rPr>
              <w:t>每周</w:t>
            </w:r>
          </w:p>
        </w:tc>
        <w:tc>
          <w:tcPr>
            <w:tcW w:type="dxa" w:w="2161"/>
          </w:tcPr>
          <w:p>
            <w:r>
              <w:rPr>
                <w:rFonts w:ascii="宋体" w:hAnsi="宋体" w:eastAsia="宋体"/>
                <w:sz w:val="22"/>
              </w:rPr>
              <w:t>项目负责人</w:t>
            </w:r>
          </w:p>
        </w:tc>
        <w:tc>
          <w:tcPr>
            <w:tcW w:type="dxa" w:w="2161"/>
          </w:tcPr>
          <w:p>
            <w:r>
              <w:rPr>
                <w:rFonts w:ascii="宋体" w:hAnsi="宋体" w:eastAsia="宋体"/>
                <w:sz w:val="22"/>
              </w:rPr>
              <w:t>本周工作、下周计划</w:t>
            </w:r>
          </w:p>
        </w:tc>
      </w:tr>
      <w:tr>
        <w:tc>
          <w:tcPr>
            <w:tcW w:type="dxa" w:w="2161"/>
          </w:tcPr>
          <w:p>
            <w:r>
              <w:rPr>
                <w:rFonts w:ascii="宋体" w:hAnsi="宋体" w:eastAsia="宋体"/>
                <w:sz w:val="22"/>
              </w:rPr>
              <w:t>专项沟通</w:t>
            </w:r>
          </w:p>
        </w:tc>
        <w:tc>
          <w:tcPr>
            <w:tcW w:type="dxa" w:w="2161"/>
          </w:tcPr>
          <w:p>
            <w:r>
              <w:rPr>
                <w:rFonts w:ascii="宋体" w:hAnsi="宋体" w:eastAsia="宋体"/>
                <w:sz w:val="22"/>
              </w:rPr>
              <w:t>按需</w:t>
            </w:r>
          </w:p>
        </w:tc>
        <w:tc>
          <w:tcPr>
            <w:tcW w:type="dxa" w:w="2161"/>
          </w:tcPr>
          <w:p>
            <w:r>
              <w:rPr>
                <w:rFonts w:ascii="宋体" w:hAnsi="宋体" w:eastAsia="宋体"/>
                <w:sz w:val="22"/>
              </w:rPr>
              <w:t>相关人员</w:t>
            </w:r>
          </w:p>
        </w:tc>
        <w:tc>
          <w:tcPr>
            <w:tcW w:type="dxa" w:w="2161"/>
          </w:tcPr>
          <w:p>
            <w:r>
              <w:rPr>
                <w:rFonts w:ascii="宋体" w:hAnsi="宋体" w:eastAsia="宋体"/>
                <w:sz w:val="22"/>
              </w:rPr>
              <w:t>技术问题、数据需求等</w:t>
            </w:r>
          </w:p>
        </w:tc>
      </w:tr>
      <w:tr>
        <w:tc>
          <w:tcPr>
            <w:tcW w:type="dxa" w:w="2161"/>
          </w:tcPr>
          <w:p>
            <w:r>
              <w:rPr>
                <w:rFonts w:ascii="宋体" w:hAnsi="宋体" w:eastAsia="宋体"/>
                <w:sz w:val="22"/>
              </w:rPr>
              <w:t>项目验收会</w:t>
            </w:r>
          </w:p>
        </w:tc>
        <w:tc>
          <w:tcPr>
            <w:tcW w:type="dxa" w:w="2161"/>
          </w:tcPr>
          <w:p>
            <w:r>
              <w:rPr>
                <w:rFonts w:ascii="宋体" w:hAnsi="宋体" w:eastAsia="宋体"/>
                <w:sz w:val="22"/>
              </w:rPr>
              <w:t>项目结束</w:t>
            </w:r>
          </w:p>
        </w:tc>
        <w:tc>
          <w:tcPr>
            <w:tcW w:type="dxa" w:w="2161"/>
          </w:tcPr>
          <w:p>
            <w:r>
              <w:rPr>
                <w:rFonts w:ascii="宋体" w:hAnsi="宋体" w:eastAsia="宋体"/>
                <w:sz w:val="22"/>
              </w:rPr>
              <w:t>双方管理层及项目团队</w:t>
            </w:r>
          </w:p>
        </w:tc>
        <w:tc>
          <w:tcPr>
            <w:tcW w:type="dxa" w:w="2161"/>
          </w:tcPr>
          <w:p>
            <w:r>
              <w:rPr>
                <w:rFonts w:ascii="宋体" w:hAnsi="宋体" w:eastAsia="宋体"/>
                <w:sz w:val="22"/>
              </w:rPr>
              <w:t>成果验收、项目总结</w:t>
            </w:r>
          </w:p>
        </w:tc>
      </w:tr>
    </w:tbl>
    <w:p/>
    <w:p>
      <w:pPr>
        <w:pStyle w:val="Heading2"/>
      </w:pPr>
      <w:r>
        <w:rPr>
          <w:rFonts w:ascii="黑体" w:hAnsi="黑体" w:eastAsia="黑体"/>
        </w:rPr>
        <w:t>13.4 风险管控计划</w:t>
      </w:r>
    </w:p>
    <w:p>
      <w:pPr>
        <w:spacing w:line="360" w:lineRule="auto"/>
        <w:ind w:firstLine="480"/>
      </w:pPr>
      <w:r>
        <w:rPr>
          <w:rFonts w:ascii="宋体" w:hAnsi="宋体" w:eastAsia="宋体"/>
          <w:b w:val="0"/>
          <w:sz w:val="24"/>
        </w:rPr>
        <w:t>针对项目实施过程中可能出现的风险，制定以下风险管控措施：</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rFonts w:ascii="宋体" w:hAnsi="宋体" w:eastAsia="宋体"/>
                <w:b/>
                <w:sz w:val="22"/>
              </w:rPr>
              <w:t>序号</w:t>
            </w:r>
          </w:p>
        </w:tc>
        <w:tc>
          <w:tcPr>
            <w:tcW w:type="dxa" w:w="1441"/>
          </w:tcPr>
          <w:p>
            <w:pPr>
              <w:jc w:val="center"/>
            </w:pPr>
            <w:r>
              <w:rPr>
                <w:rFonts w:ascii="宋体" w:hAnsi="宋体" w:eastAsia="宋体"/>
                <w:b/>
                <w:sz w:val="22"/>
              </w:rPr>
              <w:t>风险类型</w:t>
            </w:r>
          </w:p>
        </w:tc>
        <w:tc>
          <w:tcPr>
            <w:tcW w:type="dxa" w:w="1441"/>
          </w:tcPr>
          <w:p>
            <w:pPr>
              <w:jc w:val="center"/>
            </w:pPr>
            <w:r>
              <w:rPr>
                <w:rFonts w:ascii="宋体" w:hAnsi="宋体" w:eastAsia="宋体"/>
                <w:b/>
                <w:sz w:val="22"/>
              </w:rPr>
              <w:t>风险描述</w:t>
            </w:r>
          </w:p>
        </w:tc>
        <w:tc>
          <w:tcPr>
            <w:tcW w:type="dxa" w:w="1441"/>
          </w:tcPr>
          <w:p>
            <w:pPr>
              <w:jc w:val="center"/>
            </w:pPr>
            <w:r>
              <w:rPr>
                <w:rFonts w:ascii="宋体" w:hAnsi="宋体" w:eastAsia="宋体"/>
                <w:b/>
                <w:sz w:val="22"/>
              </w:rPr>
              <w:t>发生概率</w:t>
            </w:r>
          </w:p>
        </w:tc>
        <w:tc>
          <w:tcPr>
            <w:tcW w:type="dxa" w:w="1441"/>
          </w:tcPr>
          <w:p>
            <w:pPr>
              <w:jc w:val="center"/>
            </w:pPr>
            <w:r>
              <w:rPr>
                <w:rFonts w:ascii="宋体" w:hAnsi="宋体" w:eastAsia="宋体"/>
                <w:b/>
                <w:sz w:val="22"/>
              </w:rPr>
              <w:t>影响程度</w:t>
            </w:r>
          </w:p>
        </w:tc>
        <w:tc>
          <w:tcPr>
            <w:tcW w:type="dxa" w:w="1441"/>
          </w:tcPr>
          <w:p>
            <w:pPr>
              <w:jc w:val="center"/>
            </w:pPr>
            <w:r>
              <w:rPr>
                <w:rFonts w:ascii="宋体" w:hAnsi="宋体" w:eastAsia="宋体"/>
                <w:b/>
                <w:sz w:val="22"/>
              </w:rPr>
              <w:t>应对措施</w:t>
            </w:r>
          </w:p>
        </w:tc>
      </w:tr>
      <w:tr>
        <w:tc>
          <w:tcPr>
            <w:tcW w:type="dxa" w:w="1441"/>
          </w:tcPr>
          <w:p>
            <w:r>
              <w:rPr>
                <w:rFonts w:ascii="宋体" w:hAnsi="宋体" w:eastAsia="宋体"/>
                <w:sz w:val="22"/>
              </w:rPr>
              <w:t>1</w:t>
            </w:r>
          </w:p>
        </w:tc>
        <w:tc>
          <w:tcPr>
            <w:tcW w:type="dxa" w:w="1441"/>
          </w:tcPr>
          <w:p>
            <w:r>
              <w:rPr>
                <w:rFonts w:ascii="宋体" w:hAnsi="宋体" w:eastAsia="宋体"/>
                <w:sz w:val="22"/>
              </w:rPr>
              <w:t>数据风险</w:t>
            </w:r>
          </w:p>
        </w:tc>
        <w:tc>
          <w:tcPr>
            <w:tcW w:type="dxa" w:w="1441"/>
          </w:tcPr>
          <w:p>
            <w:r>
              <w:rPr>
                <w:rFonts w:ascii="宋体" w:hAnsi="宋体" w:eastAsia="宋体"/>
                <w:sz w:val="22"/>
              </w:rPr>
              <w:t>数据获取不及时或数据质量差</w:t>
            </w:r>
          </w:p>
        </w:tc>
        <w:tc>
          <w:tcPr>
            <w:tcW w:type="dxa" w:w="1441"/>
          </w:tcPr>
          <w:p>
            <w:r>
              <w:rPr>
                <w:rFonts w:ascii="宋体" w:hAnsi="宋体" w:eastAsia="宋体"/>
                <w:sz w:val="22"/>
              </w:rPr>
              <w:t>中</w:t>
            </w:r>
          </w:p>
        </w:tc>
        <w:tc>
          <w:tcPr>
            <w:tcW w:type="dxa" w:w="1441"/>
          </w:tcPr>
          <w:p>
            <w:r>
              <w:rPr>
                <w:rFonts w:ascii="宋体" w:hAnsi="宋体" w:eastAsia="宋体"/>
                <w:sz w:val="22"/>
              </w:rPr>
              <w:t>高</w:t>
            </w:r>
          </w:p>
        </w:tc>
        <w:tc>
          <w:tcPr>
            <w:tcW w:type="dxa" w:w="1441"/>
          </w:tcPr>
          <w:p>
            <w:r>
              <w:rPr>
                <w:rFonts w:ascii="宋体" w:hAnsi="宋体" w:eastAsia="宋体"/>
                <w:sz w:val="22"/>
              </w:rPr>
              <w:t>提前建立数据共享机制，制定数据需求清单</w:t>
            </w:r>
          </w:p>
        </w:tc>
      </w:tr>
      <w:tr>
        <w:tc>
          <w:tcPr>
            <w:tcW w:type="dxa" w:w="1441"/>
          </w:tcPr>
          <w:p>
            <w:r>
              <w:rPr>
                <w:rFonts w:ascii="宋体" w:hAnsi="宋体" w:eastAsia="宋体"/>
                <w:sz w:val="22"/>
              </w:rPr>
              <w:t>2</w:t>
            </w:r>
          </w:p>
        </w:tc>
        <w:tc>
          <w:tcPr>
            <w:tcW w:type="dxa" w:w="1441"/>
          </w:tcPr>
          <w:p>
            <w:r>
              <w:rPr>
                <w:rFonts w:ascii="宋体" w:hAnsi="宋体" w:eastAsia="宋体"/>
                <w:sz w:val="22"/>
              </w:rPr>
              <w:t>进度风险</w:t>
            </w:r>
          </w:p>
        </w:tc>
        <w:tc>
          <w:tcPr>
            <w:tcW w:type="dxa" w:w="1441"/>
          </w:tcPr>
          <w:p>
            <w:r>
              <w:rPr>
                <w:rFonts w:ascii="宋体" w:hAnsi="宋体" w:eastAsia="宋体"/>
                <w:sz w:val="22"/>
              </w:rPr>
              <w:t>工作量超出预期导致延期</w:t>
            </w:r>
          </w:p>
        </w:tc>
        <w:tc>
          <w:tcPr>
            <w:tcW w:type="dxa" w:w="1441"/>
          </w:tcPr>
          <w:p>
            <w:r>
              <w:rPr>
                <w:rFonts w:ascii="宋体" w:hAnsi="宋体" w:eastAsia="宋体"/>
                <w:sz w:val="22"/>
              </w:rPr>
              <w:t>中</w:t>
            </w:r>
          </w:p>
        </w:tc>
        <w:tc>
          <w:tcPr>
            <w:tcW w:type="dxa" w:w="1441"/>
          </w:tcPr>
          <w:p>
            <w:r>
              <w:rPr>
                <w:rFonts w:ascii="宋体" w:hAnsi="宋体" w:eastAsia="宋体"/>
                <w:sz w:val="22"/>
              </w:rPr>
              <w:t>中</w:t>
            </w:r>
          </w:p>
        </w:tc>
        <w:tc>
          <w:tcPr>
            <w:tcW w:type="dxa" w:w="1441"/>
          </w:tcPr>
          <w:p>
            <w:r>
              <w:rPr>
                <w:rFonts w:ascii="宋体" w:hAnsi="宋体" w:eastAsia="宋体"/>
                <w:sz w:val="22"/>
              </w:rPr>
              <w:t>预留缓冲时间，必要时增加人力投入</w:t>
            </w:r>
          </w:p>
        </w:tc>
      </w:tr>
      <w:tr>
        <w:tc>
          <w:tcPr>
            <w:tcW w:type="dxa" w:w="1441"/>
          </w:tcPr>
          <w:p>
            <w:r>
              <w:rPr>
                <w:rFonts w:ascii="宋体" w:hAnsi="宋体" w:eastAsia="宋体"/>
                <w:sz w:val="22"/>
              </w:rPr>
              <w:t>3</w:t>
            </w:r>
          </w:p>
        </w:tc>
        <w:tc>
          <w:tcPr>
            <w:tcW w:type="dxa" w:w="1441"/>
          </w:tcPr>
          <w:p>
            <w:r>
              <w:rPr>
                <w:rFonts w:ascii="宋体" w:hAnsi="宋体" w:eastAsia="宋体"/>
                <w:sz w:val="22"/>
              </w:rPr>
              <w:t>技术风险</w:t>
            </w:r>
          </w:p>
        </w:tc>
        <w:tc>
          <w:tcPr>
            <w:tcW w:type="dxa" w:w="1441"/>
          </w:tcPr>
          <w:p>
            <w:r>
              <w:rPr>
                <w:rFonts w:ascii="宋体" w:hAnsi="宋体" w:eastAsia="宋体"/>
                <w:sz w:val="22"/>
              </w:rPr>
              <w:t>复杂问题分析难度大</w:t>
            </w:r>
          </w:p>
        </w:tc>
        <w:tc>
          <w:tcPr>
            <w:tcW w:type="dxa" w:w="1441"/>
          </w:tcPr>
          <w:p>
            <w:r>
              <w:rPr>
                <w:rFonts w:ascii="宋体" w:hAnsi="宋体" w:eastAsia="宋体"/>
                <w:sz w:val="22"/>
              </w:rPr>
              <w:t>低</w:t>
            </w:r>
          </w:p>
        </w:tc>
        <w:tc>
          <w:tcPr>
            <w:tcW w:type="dxa" w:w="1441"/>
          </w:tcPr>
          <w:p>
            <w:r>
              <w:rPr>
                <w:rFonts w:ascii="宋体" w:hAnsi="宋体" w:eastAsia="宋体"/>
                <w:sz w:val="22"/>
              </w:rPr>
              <w:t>高</w:t>
            </w:r>
          </w:p>
        </w:tc>
        <w:tc>
          <w:tcPr>
            <w:tcW w:type="dxa" w:w="1441"/>
          </w:tcPr>
          <w:p>
            <w:r>
              <w:rPr>
                <w:rFonts w:ascii="宋体" w:hAnsi="宋体" w:eastAsia="宋体"/>
                <w:sz w:val="22"/>
              </w:rPr>
              <w:t>组建专家团队，引入高级分析工具</w:t>
            </w:r>
          </w:p>
        </w:tc>
      </w:tr>
      <w:tr>
        <w:tc>
          <w:tcPr>
            <w:tcW w:type="dxa" w:w="1441"/>
          </w:tcPr>
          <w:p>
            <w:r>
              <w:rPr>
                <w:rFonts w:ascii="宋体" w:hAnsi="宋体" w:eastAsia="宋体"/>
                <w:sz w:val="22"/>
              </w:rPr>
              <w:t>4</w:t>
            </w:r>
          </w:p>
        </w:tc>
        <w:tc>
          <w:tcPr>
            <w:tcW w:type="dxa" w:w="1441"/>
          </w:tcPr>
          <w:p>
            <w:r>
              <w:rPr>
                <w:rFonts w:ascii="宋体" w:hAnsi="宋体" w:eastAsia="宋体"/>
                <w:sz w:val="22"/>
              </w:rPr>
              <w:t>协调风险</w:t>
            </w:r>
          </w:p>
        </w:tc>
        <w:tc>
          <w:tcPr>
            <w:tcW w:type="dxa" w:w="1441"/>
          </w:tcPr>
          <w:p>
            <w:r>
              <w:rPr>
                <w:rFonts w:ascii="宋体" w:hAnsi="宋体" w:eastAsia="宋体"/>
                <w:sz w:val="22"/>
              </w:rPr>
              <w:t>多部门配合不顺畅</w:t>
            </w:r>
          </w:p>
        </w:tc>
        <w:tc>
          <w:tcPr>
            <w:tcW w:type="dxa" w:w="1441"/>
          </w:tcPr>
          <w:p>
            <w:r>
              <w:rPr>
                <w:rFonts w:ascii="宋体" w:hAnsi="宋体" w:eastAsia="宋体"/>
                <w:sz w:val="22"/>
              </w:rPr>
              <w:t>中</w:t>
            </w:r>
          </w:p>
        </w:tc>
        <w:tc>
          <w:tcPr>
            <w:tcW w:type="dxa" w:w="1441"/>
          </w:tcPr>
          <w:p>
            <w:r>
              <w:rPr>
                <w:rFonts w:ascii="宋体" w:hAnsi="宋体" w:eastAsia="宋体"/>
                <w:sz w:val="22"/>
              </w:rPr>
              <w:t>中</w:t>
            </w:r>
          </w:p>
        </w:tc>
        <w:tc>
          <w:tcPr>
            <w:tcW w:type="dxa" w:w="1441"/>
          </w:tcPr>
          <w:p>
            <w:r>
              <w:rPr>
                <w:rFonts w:ascii="宋体" w:hAnsi="宋体" w:eastAsia="宋体"/>
                <w:sz w:val="22"/>
              </w:rPr>
              <w:t>建立联络机制，争取管理层支持</w:t>
            </w:r>
          </w:p>
        </w:tc>
      </w:tr>
      <w:tr>
        <w:tc>
          <w:tcPr>
            <w:tcW w:type="dxa" w:w="1441"/>
          </w:tcPr>
          <w:p>
            <w:r>
              <w:rPr>
                <w:rFonts w:ascii="宋体" w:hAnsi="宋体" w:eastAsia="宋体"/>
                <w:sz w:val="22"/>
              </w:rPr>
              <w:t>5</w:t>
            </w:r>
          </w:p>
        </w:tc>
        <w:tc>
          <w:tcPr>
            <w:tcW w:type="dxa" w:w="1441"/>
          </w:tcPr>
          <w:p>
            <w:r>
              <w:rPr>
                <w:rFonts w:ascii="宋体" w:hAnsi="宋体" w:eastAsia="宋体"/>
                <w:sz w:val="22"/>
              </w:rPr>
              <w:t>安全风险</w:t>
            </w:r>
          </w:p>
        </w:tc>
        <w:tc>
          <w:tcPr>
            <w:tcW w:type="dxa" w:w="1441"/>
          </w:tcPr>
          <w:p>
            <w:r>
              <w:rPr>
                <w:rFonts w:ascii="宋体" w:hAnsi="宋体" w:eastAsia="宋体"/>
                <w:sz w:val="22"/>
              </w:rPr>
              <w:t>现场勘查安全隐患</w:t>
            </w:r>
          </w:p>
        </w:tc>
        <w:tc>
          <w:tcPr>
            <w:tcW w:type="dxa" w:w="1441"/>
          </w:tcPr>
          <w:p>
            <w:r>
              <w:rPr>
                <w:rFonts w:ascii="宋体" w:hAnsi="宋体" w:eastAsia="宋体"/>
                <w:sz w:val="22"/>
              </w:rPr>
              <w:t>低</w:t>
            </w:r>
          </w:p>
        </w:tc>
        <w:tc>
          <w:tcPr>
            <w:tcW w:type="dxa" w:w="1441"/>
          </w:tcPr>
          <w:p>
            <w:r>
              <w:rPr>
                <w:rFonts w:ascii="宋体" w:hAnsi="宋体" w:eastAsia="宋体"/>
                <w:sz w:val="22"/>
              </w:rPr>
              <w:t>高</w:t>
            </w:r>
          </w:p>
        </w:tc>
        <w:tc>
          <w:tcPr>
            <w:tcW w:type="dxa" w:w="1441"/>
          </w:tcPr>
          <w:p>
            <w:r>
              <w:rPr>
                <w:rFonts w:ascii="宋体" w:hAnsi="宋体" w:eastAsia="宋体"/>
                <w:sz w:val="22"/>
              </w:rPr>
              <w:t>严格安全管理，做好防护措施</w:t>
            </w:r>
          </w:p>
        </w:tc>
      </w:tr>
      <w:tr>
        <w:tc>
          <w:tcPr>
            <w:tcW w:type="dxa" w:w="1441"/>
          </w:tcPr>
          <w:p>
            <w:r>
              <w:rPr>
                <w:rFonts w:ascii="宋体" w:hAnsi="宋体" w:eastAsia="宋体"/>
                <w:sz w:val="22"/>
              </w:rPr>
              <w:t>6</w:t>
            </w:r>
          </w:p>
        </w:tc>
        <w:tc>
          <w:tcPr>
            <w:tcW w:type="dxa" w:w="1441"/>
          </w:tcPr>
          <w:p>
            <w:r>
              <w:rPr>
                <w:rFonts w:ascii="宋体" w:hAnsi="宋体" w:eastAsia="宋体"/>
                <w:sz w:val="22"/>
              </w:rPr>
              <w:t>人员风险</w:t>
            </w:r>
          </w:p>
        </w:tc>
        <w:tc>
          <w:tcPr>
            <w:tcW w:type="dxa" w:w="1441"/>
          </w:tcPr>
          <w:p>
            <w:r>
              <w:rPr>
                <w:rFonts w:ascii="宋体" w:hAnsi="宋体" w:eastAsia="宋体"/>
                <w:sz w:val="22"/>
              </w:rPr>
              <w:t>关键人员变动</w:t>
            </w:r>
          </w:p>
        </w:tc>
        <w:tc>
          <w:tcPr>
            <w:tcW w:type="dxa" w:w="1441"/>
          </w:tcPr>
          <w:p>
            <w:r>
              <w:rPr>
                <w:rFonts w:ascii="宋体" w:hAnsi="宋体" w:eastAsia="宋体"/>
                <w:sz w:val="22"/>
              </w:rPr>
              <w:t>低</w:t>
            </w:r>
          </w:p>
        </w:tc>
        <w:tc>
          <w:tcPr>
            <w:tcW w:type="dxa" w:w="1441"/>
          </w:tcPr>
          <w:p>
            <w:r>
              <w:rPr>
                <w:rFonts w:ascii="宋体" w:hAnsi="宋体" w:eastAsia="宋体"/>
                <w:sz w:val="22"/>
              </w:rPr>
              <w:t>中</w:t>
            </w:r>
          </w:p>
        </w:tc>
        <w:tc>
          <w:tcPr>
            <w:tcW w:type="dxa" w:w="1441"/>
          </w:tcPr>
          <w:p>
            <w:r>
              <w:rPr>
                <w:rFonts w:ascii="宋体" w:hAnsi="宋体" w:eastAsia="宋体"/>
                <w:sz w:val="22"/>
              </w:rPr>
              <w:t>培养后备人员，确保知识传承</w:t>
            </w:r>
          </w:p>
        </w:tc>
      </w:tr>
    </w:tbl>
    <w:p/>
    <w:p>
      <w:pPr>
        <w:pStyle w:val="Heading2"/>
      </w:pPr>
      <w:r>
        <w:rPr>
          <w:rFonts w:ascii="黑体" w:hAnsi="黑体" w:eastAsia="黑体"/>
        </w:rPr>
        <w:t>13.5 成果交付计划</w:t>
      </w:r>
    </w:p>
    <w:p>
      <w:pPr>
        <w:spacing w:line="360" w:lineRule="auto"/>
        <w:ind w:firstLine="480"/>
      </w:pPr>
      <w:r>
        <w:rPr>
          <w:rFonts w:ascii="宋体" w:hAnsi="宋体" w:eastAsia="宋体"/>
          <w:b w:val="0"/>
          <w:sz w:val="24"/>
        </w:rPr>
        <w:t>项目全部成果文件的交付计划如下：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序号</w:t>
            </w:r>
          </w:p>
        </w:tc>
        <w:tc>
          <w:tcPr>
            <w:tcW w:type="dxa" w:w="2161"/>
          </w:tcPr>
          <w:p>
            <w:pPr>
              <w:jc w:val="center"/>
            </w:pPr>
            <w:r>
              <w:rPr>
                <w:rFonts w:ascii="宋体" w:hAnsi="宋体" w:eastAsia="宋体"/>
                <w:b/>
                <w:sz w:val="22"/>
              </w:rPr>
              <w:t>交付成果</w:t>
            </w:r>
          </w:p>
        </w:tc>
        <w:tc>
          <w:tcPr>
            <w:tcW w:type="dxa" w:w="2161"/>
          </w:tcPr>
          <w:p>
            <w:pPr>
              <w:jc w:val="center"/>
            </w:pPr>
            <w:r>
              <w:rPr>
                <w:rFonts w:ascii="宋体" w:hAnsi="宋体" w:eastAsia="宋体"/>
                <w:b/>
                <w:sz w:val="22"/>
              </w:rPr>
              <w:t>计划交付时间</w:t>
            </w:r>
          </w:p>
        </w:tc>
        <w:tc>
          <w:tcPr>
            <w:tcW w:type="dxa" w:w="2161"/>
          </w:tcPr>
          <w:p>
            <w:pPr>
              <w:jc w:val="center"/>
            </w:pPr>
            <w:r>
              <w:rPr>
                <w:rFonts w:ascii="宋体" w:hAnsi="宋体" w:eastAsia="宋体"/>
                <w:b/>
                <w:sz w:val="22"/>
              </w:rPr>
              <w:t>交付形式</w:t>
            </w:r>
          </w:p>
        </w:tc>
      </w:tr>
      <w:tr>
        <w:tc>
          <w:tcPr>
            <w:tcW w:type="dxa" w:w="2161"/>
          </w:tcPr>
          <w:p>
            <w:r>
              <w:rPr>
                <w:rFonts w:ascii="宋体" w:hAnsi="宋体" w:eastAsia="宋体"/>
                <w:sz w:val="22"/>
              </w:rPr>
              <w:t>1</w:t>
            </w:r>
          </w:p>
        </w:tc>
        <w:tc>
          <w:tcPr>
            <w:tcW w:type="dxa" w:w="2161"/>
          </w:tcPr>
          <w:p>
            <w:r>
              <w:rPr>
                <w:rFonts w:ascii="宋体" w:hAnsi="宋体" w:eastAsia="宋体"/>
                <w:sz w:val="22"/>
              </w:rPr>
              <w:t>供电电压总体情况报告</w:t>
            </w:r>
          </w:p>
        </w:tc>
        <w:tc>
          <w:tcPr>
            <w:tcW w:type="dxa" w:w="2161"/>
          </w:tcPr>
          <w:p>
            <w:r>
              <w:rPr>
                <w:rFonts w:ascii="宋体" w:hAnsi="宋体" w:eastAsia="宋体"/>
                <w:sz w:val="22"/>
              </w:rPr>
              <w:t>第2个月末</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2</w:t>
            </w:r>
          </w:p>
        </w:tc>
        <w:tc>
          <w:tcPr>
            <w:tcW w:type="dxa" w:w="2161"/>
          </w:tcPr>
          <w:p>
            <w:r>
              <w:rPr>
                <w:rFonts w:ascii="宋体" w:hAnsi="宋体" w:eastAsia="宋体"/>
                <w:sz w:val="22"/>
              </w:rPr>
              <w:t>数据质量问题清单及整改建议</w:t>
            </w:r>
          </w:p>
        </w:tc>
        <w:tc>
          <w:tcPr>
            <w:tcW w:type="dxa" w:w="2161"/>
          </w:tcPr>
          <w:p>
            <w:r>
              <w:rPr>
                <w:rFonts w:ascii="宋体" w:hAnsi="宋体" w:eastAsia="宋体"/>
                <w:sz w:val="22"/>
              </w:rPr>
              <w:t>第2个月末</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3</w:t>
            </w:r>
          </w:p>
        </w:tc>
        <w:tc>
          <w:tcPr>
            <w:tcW w:type="dxa" w:w="2161"/>
          </w:tcPr>
          <w:p>
            <w:r>
              <w:rPr>
                <w:rFonts w:ascii="宋体" w:hAnsi="宋体" w:eastAsia="宋体"/>
                <w:sz w:val="22"/>
              </w:rPr>
              <w:t>各层级电压深度分析报告</w:t>
            </w:r>
          </w:p>
        </w:tc>
        <w:tc>
          <w:tcPr>
            <w:tcW w:type="dxa" w:w="2161"/>
          </w:tcPr>
          <w:p>
            <w:r>
              <w:rPr>
                <w:rFonts w:ascii="宋体" w:hAnsi="宋体" w:eastAsia="宋体"/>
                <w:sz w:val="22"/>
              </w:rPr>
              <w:t>第5个月末</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4</w:t>
            </w:r>
          </w:p>
        </w:tc>
        <w:tc>
          <w:tcPr>
            <w:tcW w:type="dxa" w:w="2161"/>
          </w:tcPr>
          <w:p>
            <w:r>
              <w:rPr>
                <w:rFonts w:ascii="宋体" w:hAnsi="宋体" w:eastAsia="宋体"/>
                <w:sz w:val="22"/>
              </w:rPr>
              <w:t>电压问题台账</w:t>
            </w:r>
          </w:p>
        </w:tc>
        <w:tc>
          <w:tcPr>
            <w:tcW w:type="dxa" w:w="2161"/>
          </w:tcPr>
          <w:p>
            <w:r>
              <w:rPr>
                <w:rFonts w:ascii="宋体" w:hAnsi="宋体" w:eastAsia="宋体"/>
                <w:sz w:val="22"/>
              </w:rPr>
              <w:t>第5个月末</w:t>
            </w:r>
          </w:p>
        </w:tc>
        <w:tc>
          <w:tcPr>
            <w:tcW w:type="dxa" w:w="2161"/>
          </w:tcPr>
          <w:p>
            <w:r>
              <w:rPr>
                <w:rFonts w:ascii="宋体" w:hAnsi="宋体" w:eastAsia="宋体"/>
                <w:sz w:val="22"/>
              </w:rPr>
              <w:t>电子版</w:t>
            </w:r>
          </w:p>
        </w:tc>
      </w:tr>
      <w:tr>
        <w:tc>
          <w:tcPr>
            <w:tcW w:type="dxa" w:w="2161"/>
          </w:tcPr>
          <w:p>
            <w:r>
              <w:rPr>
                <w:rFonts w:ascii="宋体" w:hAnsi="宋体" w:eastAsia="宋体"/>
                <w:sz w:val="22"/>
              </w:rPr>
              <w:t>5</w:t>
            </w:r>
          </w:p>
        </w:tc>
        <w:tc>
          <w:tcPr>
            <w:tcW w:type="dxa" w:w="2161"/>
          </w:tcPr>
          <w:p>
            <w:r>
              <w:rPr>
                <w:rFonts w:ascii="宋体" w:hAnsi="宋体" w:eastAsia="宋体"/>
                <w:sz w:val="22"/>
              </w:rPr>
              <w:t>治理方案及分阶段计划</w:t>
            </w:r>
          </w:p>
        </w:tc>
        <w:tc>
          <w:tcPr>
            <w:tcW w:type="dxa" w:w="2161"/>
          </w:tcPr>
          <w:p>
            <w:r>
              <w:rPr>
                <w:rFonts w:ascii="宋体" w:hAnsi="宋体" w:eastAsia="宋体"/>
                <w:sz w:val="22"/>
              </w:rPr>
              <w:t>第5个月末</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6</w:t>
            </w:r>
          </w:p>
        </w:tc>
        <w:tc>
          <w:tcPr>
            <w:tcW w:type="dxa" w:w="2161"/>
          </w:tcPr>
          <w:p>
            <w:r>
              <w:rPr>
                <w:rFonts w:ascii="宋体" w:hAnsi="宋体" w:eastAsia="宋体"/>
                <w:sz w:val="22"/>
              </w:rPr>
              <w:t>调压装置/无功补偿配置方案</w:t>
            </w:r>
          </w:p>
        </w:tc>
        <w:tc>
          <w:tcPr>
            <w:tcW w:type="dxa" w:w="2161"/>
          </w:tcPr>
          <w:p>
            <w:r>
              <w:rPr>
                <w:rFonts w:ascii="宋体" w:hAnsi="宋体" w:eastAsia="宋体"/>
                <w:sz w:val="22"/>
              </w:rPr>
              <w:t>第5个月末</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7</w:t>
            </w:r>
          </w:p>
        </w:tc>
        <w:tc>
          <w:tcPr>
            <w:tcW w:type="dxa" w:w="2161"/>
          </w:tcPr>
          <w:p>
            <w:r>
              <w:rPr>
                <w:rFonts w:ascii="宋体" w:hAnsi="宋体" w:eastAsia="宋体"/>
                <w:sz w:val="22"/>
              </w:rPr>
              <w:t>典型台区精准治理方案</w:t>
            </w:r>
          </w:p>
        </w:tc>
        <w:tc>
          <w:tcPr>
            <w:tcW w:type="dxa" w:w="2161"/>
          </w:tcPr>
          <w:p>
            <w:r>
              <w:rPr>
                <w:rFonts w:ascii="宋体" w:hAnsi="宋体" w:eastAsia="宋体"/>
                <w:sz w:val="22"/>
              </w:rPr>
              <w:t>第9个月末</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8</w:t>
            </w:r>
          </w:p>
        </w:tc>
        <w:tc>
          <w:tcPr>
            <w:tcW w:type="dxa" w:w="2161"/>
          </w:tcPr>
          <w:p>
            <w:r>
              <w:rPr>
                <w:rFonts w:ascii="宋体" w:hAnsi="宋体" w:eastAsia="宋体"/>
                <w:sz w:val="22"/>
              </w:rPr>
              <w:t>仿真分析报告</w:t>
            </w:r>
          </w:p>
        </w:tc>
        <w:tc>
          <w:tcPr>
            <w:tcW w:type="dxa" w:w="2161"/>
          </w:tcPr>
          <w:p>
            <w:r>
              <w:rPr>
                <w:rFonts w:ascii="宋体" w:hAnsi="宋体" w:eastAsia="宋体"/>
                <w:sz w:val="22"/>
              </w:rPr>
              <w:t>第9个月末</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9</w:t>
            </w:r>
          </w:p>
        </w:tc>
        <w:tc>
          <w:tcPr>
            <w:tcW w:type="dxa" w:w="2161"/>
          </w:tcPr>
          <w:p>
            <w:r>
              <w:rPr>
                <w:rFonts w:ascii="宋体" w:hAnsi="宋体" w:eastAsia="宋体"/>
                <w:sz w:val="22"/>
              </w:rPr>
              <w:t>"四不两直"现场检查报告</w:t>
            </w:r>
          </w:p>
        </w:tc>
        <w:tc>
          <w:tcPr>
            <w:tcW w:type="dxa" w:w="2161"/>
          </w:tcPr>
          <w:p>
            <w:r>
              <w:rPr>
                <w:rFonts w:ascii="宋体" w:hAnsi="宋体" w:eastAsia="宋体"/>
                <w:sz w:val="22"/>
              </w:rPr>
              <w:t>按检查时间</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10</w:t>
            </w:r>
          </w:p>
        </w:tc>
        <w:tc>
          <w:tcPr>
            <w:tcW w:type="dxa" w:w="2161"/>
          </w:tcPr>
          <w:p>
            <w:r>
              <w:rPr>
                <w:rFonts w:ascii="宋体" w:hAnsi="宋体" w:eastAsia="宋体"/>
                <w:sz w:val="22"/>
              </w:rPr>
              <w:t>项目总结报告</w:t>
            </w:r>
          </w:p>
        </w:tc>
        <w:tc>
          <w:tcPr>
            <w:tcW w:type="dxa" w:w="2161"/>
          </w:tcPr>
          <w:p>
            <w:r>
              <w:rPr>
                <w:rFonts w:ascii="宋体" w:hAnsi="宋体" w:eastAsia="宋体"/>
                <w:sz w:val="22"/>
              </w:rPr>
              <w:t>第12个月末</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11</w:t>
            </w:r>
          </w:p>
        </w:tc>
        <w:tc>
          <w:tcPr>
            <w:tcW w:type="dxa" w:w="2161"/>
          </w:tcPr>
          <w:p>
            <w:r>
              <w:rPr>
                <w:rFonts w:ascii="宋体" w:hAnsi="宋体" w:eastAsia="宋体"/>
                <w:sz w:val="22"/>
              </w:rPr>
              <w:t>全部项目过程文件</w:t>
            </w:r>
          </w:p>
        </w:tc>
        <w:tc>
          <w:tcPr>
            <w:tcW w:type="dxa" w:w="2161"/>
          </w:tcPr>
          <w:p>
            <w:r>
              <w:rPr>
                <w:rFonts w:ascii="宋体" w:hAnsi="宋体" w:eastAsia="宋体"/>
                <w:sz w:val="22"/>
              </w:rPr>
              <w:t>第12个月末</w:t>
            </w:r>
          </w:p>
        </w:tc>
        <w:tc>
          <w:tcPr>
            <w:tcW w:type="dxa" w:w="2161"/>
          </w:tcPr>
          <w:p>
            <w:r>
              <w:rPr>
                <w:rFonts w:ascii="宋体" w:hAnsi="宋体" w:eastAsia="宋体"/>
                <w:sz w:val="22"/>
              </w:rPr>
              <w:t>纸质+电子版</w:t>
            </w:r>
          </w:p>
        </w:tc>
      </w:tr>
    </w:tbl>
    <w:p/>
    <w:p>
      <w:pPr>
        <w:spacing w:line="360" w:lineRule="auto"/>
        <w:ind w:firstLine="480"/>
      </w:pPr>
      <w:r>
        <w:rPr>
          <w:rFonts w:ascii="宋体" w:hAnsi="宋体" w:eastAsia="宋体"/>
          <w:b w:val="0"/>
          <w:sz w:val="24"/>
        </w:rPr>
        <w:t>说明：所有纸质文件格式为Word文档或其他可视化、未加密的文件格式，文件内容全面、完整、详细、清晰，满足博尔塔拉供电公司对项目实施的要求。</w:t>
      </w:r>
    </w:p>
    <w:p>
      <w:r>
        <w:br w:type="page"/>
      </w:r>
    </w:p>
    <w:p>
      <w:pPr>
        <w:pStyle w:val="Heading1"/>
      </w:pPr>
      <w:r>
        <w:rPr>
          <w:rFonts w:ascii="黑体" w:hAnsi="黑体" w:eastAsia="黑体"/>
        </w:rPr>
        <w:t>附录一：技术方法与工具说明</w:t>
      </w:r>
    </w:p>
    <w:p>
      <w:pPr>
        <w:pStyle w:val="Heading2"/>
      </w:pPr>
      <w:r>
        <w:rPr>
          <w:rFonts w:ascii="黑体" w:hAnsi="黑体" w:eastAsia="黑体"/>
        </w:rPr>
        <w:t>1. 电压分析方法体系</w:t>
      </w:r>
    </w:p>
    <w:p>
      <w:pPr>
        <w:spacing w:line="360" w:lineRule="auto"/>
        <w:ind w:firstLine="480"/>
      </w:pPr>
      <w:r>
        <w:rPr>
          <w:rFonts w:ascii="宋体" w:hAnsi="宋体" w:eastAsia="宋体"/>
          <w:b w:val="0"/>
          <w:sz w:val="24"/>
        </w:rPr>
        <w:t>本项目在电压分析过程中将采用以下系统化的分析方法：</w:t>
      </w:r>
    </w:p>
    <w:p>
      <w:pPr>
        <w:spacing w:line="360" w:lineRule="auto"/>
        <w:ind w:firstLine="480"/>
      </w:pPr>
      <w:r>
        <w:rPr>
          <w:rFonts w:ascii="宋体" w:hAnsi="宋体" w:eastAsia="宋体"/>
          <w:b w:val="0"/>
          <w:sz w:val="24"/>
        </w:rPr>
        <w:t>（1）潮流计算分析法</w:t>
      </w:r>
    </w:p>
    <w:p>
      <w:pPr>
        <w:spacing w:line="360" w:lineRule="auto"/>
        <w:ind w:firstLine="480"/>
      </w:pPr>
      <w:r>
        <w:rPr>
          <w:rFonts w:ascii="宋体" w:hAnsi="宋体" w:eastAsia="宋体"/>
          <w:b w:val="0"/>
          <w:sz w:val="24"/>
        </w:rPr>
        <w:t>采用牛顿-拉夫逊法进行配电网潮流计算，确定各节点电压幅值和相角。通过正常运行方式和典型运行方式下的潮流计算，分析电压分布特征和薄弱环节。计算结果将用于评估各线路、台区的电压水平，识别电压越限节点和低电压区域。</w:t>
      </w:r>
    </w:p>
    <w:p>
      <w:pPr>
        <w:spacing w:line="360" w:lineRule="auto"/>
        <w:ind w:firstLine="480"/>
      </w:pPr>
      <w:r>
        <w:rPr>
          <w:rFonts w:ascii="宋体" w:hAnsi="宋体" w:eastAsia="宋体"/>
          <w:b w:val="0"/>
          <w:sz w:val="24"/>
        </w:rPr>
        <w:t>（2）电压灵敏度分析法</w:t>
      </w:r>
    </w:p>
    <w:p>
      <w:pPr>
        <w:spacing w:line="360" w:lineRule="auto"/>
        <w:ind w:firstLine="480"/>
      </w:pPr>
      <w:r>
        <w:rPr>
          <w:rFonts w:ascii="宋体" w:hAnsi="宋体" w:eastAsia="宋体"/>
          <w:b w:val="0"/>
          <w:sz w:val="24"/>
        </w:rPr>
        <w:t>通过计算各节点电压对有功功率和无功功率变化的灵敏度系数，确定影响电压变化的关键因素和敏感节点。灵敏度分析结果将用于指导无功补偿装置和调压装置的选址定容。</w:t>
      </w:r>
    </w:p>
    <w:p>
      <w:pPr>
        <w:spacing w:line="360" w:lineRule="auto"/>
        <w:ind w:firstLine="480"/>
      </w:pPr>
      <w:r>
        <w:rPr>
          <w:rFonts w:ascii="宋体" w:hAnsi="宋体" w:eastAsia="宋体"/>
          <w:b w:val="0"/>
          <w:sz w:val="24"/>
        </w:rPr>
        <w:t>（3）统计分析法</w:t>
      </w:r>
    </w:p>
    <w:p>
      <w:pPr>
        <w:spacing w:line="360" w:lineRule="auto"/>
        <w:ind w:firstLine="480"/>
      </w:pPr>
      <w:r>
        <w:rPr>
          <w:rFonts w:ascii="宋体" w:hAnsi="宋体" w:eastAsia="宋体"/>
          <w:b w:val="0"/>
          <w:sz w:val="24"/>
        </w:rPr>
        <w:t>运用描述性统计、趋势分析、相关性分析、回归分析等统计方法，对海量电压监测数据进行深度挖掘。通过统计分析揭示电压质量的时间变化规律、空间分布特征以及与各影响因素之间的定量关系。</w:t>
      </w:r>
    </w:p>
    <w:p>
      <w:pPr>
        <w:spacing w:line="360" w:lineRule="auto"/>
        <w:ind w:firstLine="480"/>
      </w:pPr>
      <w:r>
        <w:rPr>
          <w:rFonts w:ascii="宋体" w:hAnsi="宋体" w:eastAsia="宋体"/>
          <w:b w:val="0"/>
          <w:sz w:val="24"/>
        </w:rPr>
        <w:t>（4）故障树分析法</w:t>
      </w:r>
    </w:p>
    <w:p>
      <w:pPr>
        <w:spacing w:line="360" w:lineRule="auto"/>
        <w:ind w:firstLine="480"/>
      </w:pPr>
      <w:r>
        <w:rPr>
          <w:rFonts w:ascii="宋体" w:hAnsi="宋体" w:eastAsia="宋体"/>
          <w:b w:val="0"/>
          <w:sz w:val="24"/>
        </w:rPr>
        <w:t>针对电压越限问题，采用故障树分析法（FTA）自顶向下逐层追溯问题原因，建立电压问题的因果关系树，系统识别导致电压越限的各种可能原因及其组合方式。</w:t>
      </w:r>
    </w:p>
    <w:p>
      <w:pPr>
        <w:spacing w:line="360" w:lineRule="auto"/>
        <w:ind w:firstLine="480"/>
      </w:pPr>
      <w:r>
        <w:rPr>
          <w:rFonts w:ascii="宋体" w:hAnsi="宋体" w:eastAsia="宋体"/>
          <w:b w:val="0"/>
          <w:sz w:val="24"/>
        </w:rPr>
        <w:t>（5）层次分析法</w:t>
      </w:r>
    </w:p>
    <w:p>
      <w:pPr>
        <w:spacing w:line="360" w:lineRule="auto"/>
        <w:ind w:firstLine="480"/>
      </w:pPr>
      <w:r>
        <w:rPr>
          <w:rFonts w:ascii="宋体" w:hAnsi="宋体" w:eastAsia="宋体"/>
          <w:b w:val="0"/>
          <w:sz w:val="24"/>
        </w:rPr>
        <w:t>在多方案比选和问题优先级排序中，采用层次分析法（AHP）建立多层次评价模型，通过构造判断矩阵计算各因素的权重，实现科学的定量决策。</w:t>
      </w:r>
    </w:p>
    <w:p>
      <w:pPr>
        <w:spacing w:line="360" w:lineRule="auto"/>
        <w:ind w:firstLine="480"/>
      </w:pPr>
      <w:r>
        <w:rPr>
          <w:rFonts w:ascii="宋体" w:hAnsi="宋体" w:eastAsia="宋体"/>
          <w:b w:val="0"/>
          <w:sz w:val="24"/>
        </w:rPr>
        <w:t>（6）蒙特卡洛模拟法</w:t>
      </w:r>
    </w:p>
    <w:p>
      <w:pPr>
        <w:spacing w:line="360" w:lineRule="auto"/>
        <w:ind w:firstLine="480"/>
      </w:pPr>
      <w:r>
        <w:rPr>
          <w:rFonts w:ascii="宋体" w:hAnsi="宋体" w:eastAsia="宋体"/>
          <w:b w:val="0"/>
          <w:sz w:val="24"/>
        </w:rPr>
        <w:t>在评估电压合格率等概率性指标时，采用蒙特卡洛模拟方法，考虑负荷的随机波动、新能源出力的不确定性等因素，对电压质量进行概率评估。</w:t>
      </w:r>
    </w:p>
    <w:p>
      <w:pPr>
        <w:pStyle w:val="Heading2"/>
      </w:pPr>
      <w:r>
        <w:rPr>
          <w:rFonts w:ascii="黑体" w:hAnsi="黑体" w:eastAsia="黑体"/>
        </w:rPr>
        <w:t>2. 仿真分析工具</w:t>
      </w:r>
    </w:p>
    <w:p>
      <w:pPr>
        <w:spacing w:line="360" w:lineRule="auto"/>
        <w:ind w:firstLine="480"/>
      </w:pPr>
      <w:r>
        <w:rPr>
          <w:rFonts w:ascii="宋体" w:hAnsi="宋体" w:eastAsia="宋体"/>
          <w:b w:val="0"/>
          <w:sz w:val="24"/>
        </w:rPr>
        <w:t>本项目将使用以下专业仿真分析工具：</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序号</w:t>
            </w:r>
          </w:p>
        </w:tc>
        <w:tc>
          <w:tcPr>
            <w:tcW w:type="dxa" w:w="2161"/>
          </w:tcPr>
          <w:p>
            <w:pPr>
              <w:jc w:val="center"/>
            </w:pPr>
            <w:r>
              <w:rPr>
                <w:rFonts w:ascii="宋体" w:hAnsi="宋体" w:eastAsia="宋体"/>
                <w:b/>
                <w:sz w:val="22"/>
              </w:rPr>
              <w:t>工具名称</w:t>
            </w:r>
          </w:p>
        </w:tc>
        <w:tc>
          <w:tcPr>
            <w:tcW w:type="dxa" w:w="2161"/>
          </w:tcPr>
          <w:p>
            <w:pPr>
              <w:jc w:val="center"/>
            </w:pPr>
            <w:r>
              <w:rPr>
                <w:rFonts w:ascii="宋体" w:hAnsi="宋体" w:eastAsia="宋体"/>
                <w:b/>
                <w:sz w:val="22"/>
              </w:rPr>
              <w:t>用途</w:t>
            </w:r>
          </w:p>
        </w:tc>
        <w:tc>
          <w:tcPr>
            <w:tcW w:type="dxa" w:w="2161"/>
          </w:tcPr>
          <w:p>
            <w:pPr>
              <w:jc w:val="center"/>
            </w:pPr>
            <w:r>
              <w:rPr>
                <w:rFonts w:ascii="宋体" w:hAnsi="宋体" w:eastAsia="宋体"/>
                <w:b/>
                <w:sz w:val="22"/>
              </w:rPr>
              <w:t>特点</w:t>
            </w:r>
          </w:p>
        </w:tc>
      </w:tr>
      <w:tr>
        <w:tc>
          <w:tcPr>
            <w:tcW w:type="dxa" w:w="2161"/>
          </w:tcPr>
          <w:p>
            <w:r>
              <w:rPr>
                <w:rFonts w:ascii="宋体" w:hAnsi="宋体" w:eastAsia="宋体"/>
                <w:sz w:val="22"/>
              </w:rPr>
              <w:t>1</w:t>
            </w:r>
          </w:p>
        </w:tc>
        <w:tc>
          <w:tcPr>
            <w:tcW w:type="dxa" w:w="2161"/>
          </w:tcPr>
          <w:p>
            <w:r>
              <w:rPr>
                <w:rFonts w:ascii="宋体" w:hAnsi="宋体" w:eastAsia="宋体"/>
                <w:sz w:val="22"/>
              </w:rPr>
              <w:t>PSS/E</w:t>
            </w:r>
          </w:p>
        </w:tc>
        <w:tc>
          <w:tcPr>
            <w:tcW w:type="dxa" w:w="2161"/>
          </w:tcPr>
          <w:p>
            <w:r>
              <w:rPr>
                <w:rFonts w:ascii="宋体" w:hAnsi="宋体" w:eastAsia="宋体"/>
                <w:sz w:val="22"/>
              </w:rPr>
              <w:t>电力系统稳态分析</w:t>
            </w:r>
          </w:p>
        </w:tc>
        <w:tc>
          <w:tcPr>
            <w:tcW w:type="dxa" w:w="2161"/>
          </w:tcPr>
          <w:p>
            <w:r>
              <w:rPr>
                <w:rFonts w:ascii="宋体" w:hAnsi="宋体" w:eastAsia="宋体"/>
                <w:sz w:val="22"/>
              </w:rPr>
              <w:t>适用于大规模电网潮流计算</w:t>
            </w:r>
          </w:p>
        </w:tc>
      </w:tr>
      <w:tr>
        <w:tc>
          <w:tcPr>
            <w:tcW w:type="dxa" w:w="2161"/>
          </w:tcPr>
          <w:p>
            <w:r>
              <w:rPr>
                <w:rFonts w:ascii="宋体" w:hAnsi="宋体" w:eastAsia="宋体"/>
                <w:sz w:val="22"/>
              </w:rPr>
              <w:t>2</w:t>
            </w:r>
          </w:p>
        </w:tc>
        <w:tc>
          <w:tcPr>
            <w:tcW w:type="dxa" w:w="2161"/>
          </w:tcPr>
          <w:p>
            <w:r>
              <w:rPr>
                <w:rFonts w:ascii="宋体" w:hAnsi="宋体" w:eastAsia="宋体"/>
                <w:sz w:val="22"/>
              </w:rPr>
              <w:t>ETAP</w:t>
            </w:r>
          </w:p>
        </w:tc>
        <w:tc>
          <w:tcPr>
            <w:tcW w:type="dxa" w:w="2161"/>
          </w:tcPr>
          <w:p>
            <w:r>
              <w:rPr>
                <w:rFonts w:ascii="宋体" w:hAnsi="宋体" w:eastAsia="宋体"/>
                <w:sz w:val="22"/>
              </w:rPr>
              <w:t>配电网综合分析</w:t>
            </w:r>
          </w:p>
        </w:tc>
        <w:tc>
          <w:tcPr>
            <w:tcW w:type="dxa" w:w="2161"/>
          </w:tcPr>
          <w:p>
            <w:r>
              <w:rPr>
                <w:rFonts w:ascii="宋体" w:hAnsi="宋体" w:eastAsia="宋体"/>
                <w:sz w:val="22"/>
              </w:rPr>
              <w:t>支持配电网建模和优化</w:t>
            </w:r>
          </w:p>
        </w:tc>
      </w:tr>
      <w:tr>
        <w:tc>
          <w:tcPr>
            <w:tcW w:type="dxa" w:w="2161"/>
          </w:tcPr>
          <w:p>
            <w:r>
              <w:rPr>
                <w:rFonts w:ascii="宋体" w:hAnsi="宋体" w:eastAsia="宋体"/>
                <w:sz w:val="22"/>
              </w:rPr>
              <w:t>3</w:t>
            </w:r>
          </w:p>
        </w:tc>
        <w:tc>
          <w:tcPr>
            <w:tcW w:type="dxa" w:w="2161"/>
          </w:tcPr>
          <w:p>
            <w:r>
              <w:rPr>
                <w:rFonts w:ascii="宋体" w:hAnsi="宋体" w:eastAsia="宋体"/>
                <w:sz w:val="22"/>
              </w:rPr>
              <w:t>DIgSILENT</w:t>
            </w:r>
          </w:p>
        </w:tc>
        <w:tc>
          <w:tcPr>
            <w:tcW w:type="dxa" w:w="2161"/>
          </w:tcPr>
          <w:p>
            <w:r>
              <w:rPr>
                <w:rFonts w:ascii="宋体" w:hAnsi="宋体" w:eastAsia="宋体"/>
                <w:sz w:val="22"/>
              </w:rPr>
              <w:t>电力系统动态仿真</w:t>
            </w:r>
          </w:p>
        </w:tc>
        <w:tc>
          <w:tcPr>
            <w:tcW w:type="dxa" w:w="2161"/>
          </w:tcPr>
          <w:p>
            <w:r>
              <w:rPr>
                <w:rFonts w:ascii="宋体" w:hAnsi="宋体" w:eastAsia="宋体"/>
                <w:sz w:val="22"/>
              </w:rPr>
              <w:t>仿真精度高，模型库丰富</w:t>
            </w:r>
          </w:p>
        </w:tc>
      </w:tr>
      <w:tr>
        <w:tc>
          <w:tcPr>
            <w:tcW w:type="dxa" w:w="2161"/>
          </w:tcPr>
          <w:p>
            <w:r>
              <w:rPr>
                <w:rFonts w:ascii="宋体" w:hAnsi="宋体" w:eastAsia="宋体"/>
                <w:sz w:val="22"/>
              </w:rPr>
              <w:t>4</w:t>
            </w:r>
          </w:p>
        </w:tc>
        <w:tc>
          <w:tcPr>
            <w:tcW w:type="dxa" w:w="2161"/>
          </w:tcPr>
          <w:p>
            <w:r>
              <w:rPr>
                <w:rFonts w:ascii="宋体" w:hAnsi="宋体" w:eastAsia="宋体"/>
                <w:sz w:val="22"/>
              </w:rPr>
              <w:t>MATLAB/Simulink</w:t>
            </w:r>
          </w:p>
        </w:tc>
        <w:tc>
          <w:tcPr>
            <w:tcW w:type="dxa" w:w="2161"/>
          </w:tcPr>
          <w:p>
            <w:r>
              <w:rPr>
                <w:rFonts w:ascii="宋体" w:hAnsi="宋体" w:eastAsia="宋体"/>
                <w:sz w:val="22"/>
              </w:rPr>
              <w:t>算法开发与验证</w:t>
            </w:r>
          </w:p>
        </w:tc>
        <w:tc>
          <w:tcPr>
            <w:tcW w:type="dxa" w:w="2161"/>
          </w:tcPr>
          <w:p>
            <w:r>
              <w:rPr>
                <w:rFonts w:ascii="宋体" w:hAnsi="宋体" w:eastAsia="宋体"/>
                <w:sz w:val="22"/>
              </w:rPr>
              <w:t>灵活性强，适合定制化分析</w:t>
            </w:r>
          </w:p>
        </w:tc>
      </w:tr>
      <w:tr>
        <w:tc>
          <w:tcPr>
            <w:tcW w:type="dxa" w:w="2161"/>
          </w:tcPr>
          <w:p>
            <w:r>
              <w:rPr>
                <w:rFonts w:ascii="宋体" w:hAnsi="宋体" w:eastAsia="宋体"/>
                <w:sz w:val="22"/>
              </w:rPr>
              <w:t>5</w:t>
            </w:r>
          </w:p>
        </w:tc>
        <w:tc>
          <w:tcPr>
            <w:tcW w:type="dxa" w:w="2161"/>
          </w:tcPr>
          <w:p>
            <w:r>
              <w:rPr>
                <w:rFonts w:ascii="宋体" w:hAnsi="宋体" w:eastAsia="宋体"/>
                <w:sz w:val="22"/>
              </w:rPr>
              <w:t>Python数据分析平台</w:t>
            </w:r>
          </w:p>
        </w:tc>
        <w:tc>
          <w:tcPr>
            <w:tcW w:type="dxa" w:w="2161"/>
          </w:tcPr>
          <w:p>
            <w:r>
              <w:rPr>
                <w:rFonts w:ascii="宋体" w:hAnsi="宋体" w:eastAsia="宋体"/>
                <w:sz w:val="22"/>
              </w:rPr>
              <w:t>大数据处理与分析</w:t>
            </w:r>
          </w:p>
        </w:tc>
        <w:tc>
          <w:tcPr>
            <w:tcW w:type="dxa" w:w="2161"/>
          </w:tcPr>
          <w:p>
            <w:r>
              <w:rPr>
                <w:rFonts w:ascii="宋体" w:hAnsi="宋体" w:eastAsia="宋体"/>
                <w:sz w:val="22"/>
              </w:rPr>
              <w:t>处理效率高，可视化能力强</w:t>
            </w:r>
          </w:p>
        </w:tc>
      </w:tr>
      <w:tr>
        <w:tc>
          <w:tcPr>
            <w:tcW w:type="dxa" w:w="2161"/>
          </w:tcPr>
          <w:p>
            <w:r>
              <w:rPr>
                <w:rFonts w:ascii="宋体" w:hAnsi="宋体" w:eastAsia="宋体"/>
                <w:sz w:val="22"/>
              </w:rPr>
              <w:t>6</w:t>
            </w:r>
          </w:p>
        </w:tc>
        <w:tc>
          <w:tcPr>
            <w:tcW w:type="dxa" w:w="2161"/>
          </w:tcPr>
          <w:p>
            <w:r>
              <w:rPr>
                <w:rFonts w:ascii="宋体" w:hAnsi="宋体" w:eastAsia="宋体"/>
                <w:sz w:val="22"/>
              </w:rPr>
              <w:t>AutoCAD/GIS</w:t>
            </w:r>
          </w:p>
        </w:tc>
        <w:tc>
          <w:tcPr>
            <w:tcW w:type="dxa" w:w="2161"/>
          </w:tcPr>
          <w:p>
            <w:r>
              <w:rPr>
                <w:rFonts w:ascii="宋体" w:hAnsi="宋体" w:eastAsia="宋体"/>
                <w:sz w:val="22"/>
              </w:rPr>
              <w:t>网架图绘制与管理</w:t>
            </w:r>
          </w:p>
        </w:tc>
        <w:tc>
          <w:tcPr>
            <w:tcW w:type="dxa" w:w="2161"/>
          </w:tcPr>
          <w:p>
            <w:r>
              <w:rPr>
                <w:rFonts w:ascii="宋体" w:hAnsi="宋体" w:eastAsia="宋体"/>
                <w:sz w:val="22"/>
              </w:rPr>
              <w:t>图形化展示，便于理解</w:t>
            </w:r>
          </w:p>
        </w:tc>
      </w:tr>
    </w:tbl>
    <w:p/>
    <w:p>
      <w:pPr>
        <w:pStyle w:val="Heading2"/>
      </w:pPr>
      <w:r>
        <w:rPr>
          <w:rFonts w:ascii="黑体" w:hAnsi="黑体" w:eastAsia="黑体"/>
        </w:rPr>
        <w:t>3. 数据处理流程</w:t>
      </w:r>
    </w:p>
    <w:p>
      <w:pPr>
        <w:spacing w:line="360" w:lineRule="auto"/>
        <w:ind w:firstLine="480"/>
      </w:pPr>
      <w:r>
        <w:rPr>
          <w:rFonts w:ascii="宋体" w:hAnsi="宋体" w:eastAsia="宋体"/>
          <w:b w:val="0"/>
          <w:sz w:val="24"/>
        </w:rPr>
        <w:t>项目数据处理遵循以下标准化流程：</w:t>
      </w:r>
    </w:p>
    <w:p>
      <w:pPr>
        <w:spacing w:line="360" w:lineRule="auto"/>
        <w:ind w:firstLine="480"/>
      </w:pPr>
      <w:r>
        <w:rPr>
          <w:rFonts w:ascii="宋体" w:hAnsi="宋体" w:eastAsia="宋体"/>
          <w:b w:val="0"/>
          <w:sz w:val="24"/>
        </w:rPr>
        <w:t>步骤一：数据采集。从各业务系统导出原始数据，记录数据来源、采集时间、数据格式等元信息。</w:t>
      </w:r>
    </w:p>
    <w:p>
      <w:pPr>
        <w:spacing w:line="360" w:lineRule="auto"/>
        <w:ind w:firstLine="480"/>
      </w:pPr>
      <w:r>
        <w:rPr>
          <w:rFonts w:ascii="宋体" w:hAnsi="宋体" w:eastAsia="宋体"/>
          <w:b w:val="0"/>
          <w:sz w:val="24"/>
        </w:rPr>
        <w:t>步骤二：数据清洗。剔除无效数据、修复缺失数据、纠正异常数据，确保数据基础质量。</w:t>
      </w:r>
    </w:p>
    <w:p>
      <w:pPr>
        <w:spacing w:line="360" w:lineRule="auto"/>
        <w:ind w:firstLine="480"/>
      </w:pPr>
      <w:r>
        <w:rPr>
          <w:rFonts w:ascii="宋体" w:hAnsi="宋体" w:eastAsia="宋体"/>
          <w:b w:val="0"/>
          <w:sz w:val="24"/>
        </w:rPr>
        <w:t>步骤三：数据标准化。统一数据格式、时间基准、计量单位等，消除多源数据的格式差异。</w:t>
      </w:r>
    </w:p>
    <w:p>
      <w:pPr>
        <w:spacing w:line="360" w:lineRule="auto"/>
        <w:ind w:firstLine="480"/>
      </w:pPr>
      <w:r>
        <w:rPr>
          <w:rFonts w:ascii="宋体" w:hAnsi="宋体" w:eastAsia="宋体"/>
          <w:b w:val="0"/>
          <w:sz w:val="24"/>
        </w:rPr>
        <w:t>步骤四：数据融合。将来自不同系统的数据进行关联匹配和融合处理，形成完整的分析数据集。</w:t>
      </w:r>
    </w:p>
    <w:p>
      <w:pPr>
        <w:spacing w:line="360" w:lineRule="auto"/>
        <w:ind w:firstLine="480"/>
      </w:pPr>
      <w:r>
        <w:rPr>
          <w:rFonts w:ascii="宋体" w:hAnsi="宋体" w:eastAsia="宋体"/>
          <w:b w:val="0"/>
          <w:sz w:val="24"/>
        </w:rPr>
        <w:t>步骤五：数据分析。运用各种分析方法对数据进行深度挖掘，提取有价值的信息和规律。</w:t>
      </w:r>
    </w:p>
    <w:p>
      <w:pPr>
        <w:spacing w:line="360" w:lineRule="auto"/>
        <w:ind w:firstLine="480"/>
      </w:pPr>
      <w:r>
        <w:rPr>
          <w:rFonts w:ascii="宋体" w:hAnsi="宋体" w:eastAsia="宋体"/>
          <w:b w:val="0"/>
          <w:sz w:val="24"/>
        </w:rPr>
        <w:t>步骤六：结果验证。通过交叉验证、现场核实等方式，确认分析结果的准确性和可靠性。</w:t>
      </w:r>
    </w:p>
    <w:p>
      <w:r>
        <w:br w:type="page"/>
      </w:r>
    </w:p>
    <w:p>
      <w:pPr>
        <w:pStyle w:val="Heading1"/>
      </w:pPr>
      <w:r>
        <w:rPr>
          <w:rFonts w:ascii="黑体" w:hAnsi="黑体" w:eastAsia="黑体"/>
        </w:rPr>
        <w:t>附录二：项目管理保障措施</w:t>
      </w:r>
    </w:p>
    <w:p>
      <w:pPr>
        <w:pStyle w:val="Heading2"/>
      </w:pPr>
      <w:r>
        <w:rPr>
          <w:rFonts w:ascii="黑体" w:hAnsi="黑体" w:eastAsia="黑体"/>
        </w:rPr>
        <w:t>1. 项目组织架构</w:t>
      </w:r>
    </w:p>
    <w:p>
      <w:pPr>
        <w:spacing w:line="360" w:lineRule="auto"/>
        <w:ind w:firstLine="480"/>
      </w:pPr>
      <w:r>
        <w:rPr>
          <w:rFonts w:ascii="宋体" w:hAnsi="宋体" w:eastAsia="宋体"/>
          <w:b w:val="0"/>
          <w:sz w:val="24"/>
        </w:rPr>
        <w:t>本项目建立以下项目组织架构，确保项目的高效运转：</w:t>
      </w:r>
    </w:p>
    <w:p>
      <w:pPr>
        <w:spacing w:line="360" w:lineRule="auto"/>
        <w:ind w:firstLine="480"/>
      </w:pPr>
      <w:r>
        <w:rPr>
          <w:rFonts w:ascii="宋体" w:hAnsi="宋体" w:eastAsia="宋体"/>
          <w:b w:val="0"/>
          <w:sz w:val="24"/>
        </w:rPr>
        <w:t>（1）项目管理层</w:t>
      </w:r>
    </w:p>
    <w:p>
      <w:pPr>
        <w:spacing w:line="360" w:lineRule="auto"/>
        <w:ind w:firstLine="480"/>
      </w:pPr>
      <w:r>
        <w:rPr>
          <w:rFonts w:ascii="宋体" w:hAnsi="宋体" w:eastAsia="宋体"/>
          <w:b w:val="0"/>
          <w:sz w:val="24"/>
        </w:rPr>
        <w:t>由项目负责人和技术负责人组成项目管理层，负责项目的整体规划、资源协调和质量把控。项目负责人全面负责项目的进度管理、成本管理和客户关系管理；技术负责人全面负责项目的技术方案制定、技术质量审核和技术风险管控。</w:t>
      </w:r>
    </w:p>
    <w:p>
      <w:pPr>
        <w:spacing w:line="360" w:lineRule="auto"/>
        <w:ind w:firstLine="480"/>
      </w:pPr>
      <w:r>
        <w:rPr>
          <w:rFonts w:ascii="宋体" w:hAnsi="宋体" w:eastAsia="宋体"/>
          <w:b w:val="0"/>
          <w:sz w:val="24"/>
        </w:rPr>
        <w:t>（2）技术执行层</w:t>
      </w:r>
    </w:p>
    <w:p>
      <w:pPr>
        <w:spacing w:line="360" w:lineRule="auto"/>
        <w:ind w:firstLine="480"/>
      </w:pPr>
      <w:r>
        <w:rPr>
          <w:rFonts w:ascii="宋体" w:hAnsi="宋体" w:eastAsia="宋体"/>
          <w:b w:val="0"/>
          <w:sz w:val="24"/>
        </w:rPr>
        <w:t>由数据分析组、系统分析组、仿真建模组、现场勘查组、方案编制组组成技术执行层，各组按照专业分工负责具体技术工作的实施。各组设组长一名，负责本组工作的组织协调和质量管控。</w:t>
      </w:r>
    </w:p>
    <w:p>
      <w:pPr>
        <w:spacing w:line="360" w:lineRule="auto"/>
        <w:ind w:firstLine="480"/>
      </w:pPr>
      <w:r>
        <w:rPr>
          <w:rFonts w:ascii="宋体" w:hAnsi="宋体" w:eastAsia="宋体"/>
          <w:b w:val="0"/>
          <w:sz w:val="24"/>
        </w:rPr>
        <w:t>（3）支撑保障层</w:t>
      </w:r>
    </w:p>
    <w:p>
      <w:pPr>
        <w:spacing w:line="360" w:lineRule="auto"/>
        <w:ind w:firstLine="480"/>
      </w:pPr>
      <w:r>
        <w:rPr>
          <w:rFonts w:ascii="宋体" w:hAnsi="宋体" w:eastAsia="宋体"/>
          <w:b w:val="0"/>
          <w:sz w:val="24"/>
        </w:rPr>
        <w:t>由项目协调员、质量保证人员、后勤保障人员组成支撑保障层，负责项目的沟通联络、质量监督和后勤保障等工作。</w:t>
      </w:r>
    </w:p>
    <w:p>
      <w:pPr>
        <w:pStyle w:val="Heading2"/>
      </w:pPr>
      <w:r>
        <w:rPr>
          <w:rFonts w:ascii="黑体" w:hAnsi="黑体" w:eastAsia="黑体"/>
        </w:rPr>
        <w:t>2. 进度管理措施</w:t>
      </w:r>
    </w:p>
    <w:p>
      <w:pPr>
        <w:spacing w:line="360" w:lineRule="auto"/>
        <w:ind w:firstLine="480"/>
      </w:pPr>
      <w:r>
        <w:rPr>
          <w:rFonts w:ascii="宋体" w:hAnsi="宋体" w:eastAsia="宋体"/>
          <w:b w:val="0"/>
          <w:sz w:val="24"/>
        </w:rPr>
        <w:t>（1）制定详细的工作分解结构（WBS），将项目工作分解到可控的工作包层级。</w:t>
      </w:r>
    </w:p>
    <w:p>
      <w:pPr>
        <w:spacing w:line="360" w:lineRule="auto"/>
        <w:ind w:firstLine="480"/>
      </w:pPr>
      <w:r>
        <w:rPr>
          <w:rFonts w:ascii="宋体" w:hAnsi="宋体" w:eastAsia="宋体"/>
          <w:b w:val="0"/>
          <w:sz w:val="24"/>
        </w:rPr>
        <w:t>（2）编制项目进度网络图，明确各工作包之间的逻辑关系和关键路径。</w:t>
      </w:r>
    </w:p>
    <w:p>
      <w:pPr>
        <w:spacing w:line="360" w:lineRule="auto"/>
        <w:ind w:firstLine="480"/>
      </w:pPr>
      <w:r>
        <w:rPr>
          <w:rFonts w:ascii="宋体" w:hAnsi="宋体" w:eastAsia="宋体"/>
          <w:b w:val="0"/>
          <w:sz w:val="24"/>
        </w:rPr>
        <w:t>（3）建立进度跟踪和预警机制，每周更新进度状态，对偏差及时预警和纠偏。</w:t>
      </w:r>
    </w:p>
    <w:p>
      <w:pPr>
        <w:spacing w:line="360" w:lineRule="auto"/>
        <w:ind w:firstLine="480"/>
      </w:pPr>
      <w:r>
        <w:rPr>
          <w:rFonts w:ascii="宋体" w:hAnsi="宋体" w:eastAsia="宋体"/>
          <w:b w:val="0"/>
          <w:sz w:val="24"/>
        </w:rPr>
        <w:t>（4）设置关键里程碑节点，在里程碑节点进行阶段性评审和确认。</w:t>
      </w:r>
    </w:p>
    <w:p>
      <w:pPr>
        <w:spacing w:line="360" w:lineRule="auto"/>
        <w:ind w:firstLine="480"/>
      </w:pPr>
      <w:r>
        <w:rPr>
          <w:rFonts w:ascii="宋体" w:hAnsi="宋体" w:eastAsia="宋体"/>
          <w:b w:val="0"/>
          <w:sz w:val="24"/>
        </w:rPr>
        <w:t>（5）预留适当的进度缓冲，应对不可预见的延误和变更。</w:t>
      </w:r>
    </w:p>
    <w:p>
      <w:pPr>
        <w:pStyle w:val="Heading2"/>
      </w:pPr>
      <w:r>
        <w:rPr>
          <w:rFonts w:ascii="黑体" w:hAnsi="黑体" w:eastAsia="黑体"/>
        </w:rPr>
        <w:t>3. 质量管理措施</w:t>
      </w:r>
    </w:p>
    <w:p>
      <w:pPr>
        <w:spacing w:line="360" w:lineRule="auto"/>
        <w:ind w:firstLine="480"/>
      </w:pPr>
      <w:r>
        <w:rPr>
          <w:rFonts w:ascii="宋体" w:hAnsi="宋体" w:eastAsia="宋体"/>
          <w:b w:val="0"/>
          <w:sz w:val="24"/>
        </w:rPr>
        <w:t>（1）建立质量管理体系，制定项目质量管理计划、质量检查清单和质量标准。</w:t>
      </w:r>
    </w:p>
    <w:p>
      <w:pPr>
        <w:spacing w:line="360" w:lineRule="auto"/>
        <w:ind w:firstLine="480"/>
      </w:pPr>
      <w:r>
        <w:rPr>
          <w:rFonts w:ascii="宋体" w:hAnsi="宋体" w:eastAsia="宋体"/>
          <w:b w:val="0"/>
          <w:sz w:val="24"/>
        </w:rPr>
        <w:t>（2）实施过程质量控制，在工作过程中进行实时质量监督和检查。</w:t>
      </w:r>
    </w:p>
    <w:p>
      <w:pPr>
        <w:spacing w:line="360" w:lineRule="auto"/>
        <w:ind w:firstLine="480"/>
      </w:pPr>
      <w:r>
        <w:rPr>
          <w:rFonts w:ascii="宋体" w:hAnsi="宋体" w:eastAsia="宋体"/>
          <w:b w:val="0"/>
          <w:sz w:val="24"/>
        </w:rPr>
        <w:t>（3）执行三级审核制度，所有技术成果须经编制、审核、审定三级审核。</w:t>
      </w:r>
    </w:p>
    <w:p>
      <w:pPr>
        <w:spacing w:line="360" w:lineRule="auto"/>
        <w:ind w:firstLine="480"/>
      </w:pPr>
      <w:r>
        <w:rPr>
          <w:rFonts w:ascii="宋体" w:hAnsi="宋体" w:eastAsia="宋体"/>
          <w:b w:val="0"/>
          <w:sz w:val="24"/>
        </w:rPr>
        <w:t>（4）组织内部技术评审，在成果提交前进行内部专家评审。</w:t>
      </w:r>
    </w:p>
    <w:p>
      <w:pPr>
        <w:spacing w:line="360" w:lineRule="auto"/>
        <w:ind w:firstLine="480"/>
      </w:pPr>
      <w:r>
        <w:rPr>
          <w:rFonts w:ascii="宋体" w:hAnsi="宋体" w:eastAsia="宋体"/>
          <w:b w:val="0"/>
          <w:sz w:val="24"/>
        </w:rPr>
        <w:t>（5）建立不合格品控制程序，对发现的质量问题及时整改和复核。</w:t>
      </w:r>
    </w:p>
    <w:p>
      <w:pPr>
        <w:spacing w:line="360" w:lineRule="auto"/>
        <w:ind w:firstLine="480"/>
      </w:pPr>
      <w:r>
        <w:rPr>
          <w:rFonts w:ascii="宋体" w:hAnsi="宋体" w:eastAsia="宋体"/>
          <w:b w:val="0"/>
          <w:sz w:val="24"/>
        </w:rPr>
        <w:t>（6）记录质量管理全过程，形成完整的质量管理档案。</w:t>
      </w:r>
    </w:p>
    <w:p>
      <w:pPr>
        <w:pStyle w:val="Heading2"/>
      </w:pPr>
      <w:r>
        <w:rPr>
          <w:rFonts w:ascii="黑体" w:hAnsi="黑体" w:eastAsia="黑体"/>
        </w:rPr>
        <w:t>4. 安全与保密管理</w:t>
      </w:r>
    </w:p>
    <w:p>
      <w:pPr>
        <w:spacing w:line="360" w:lineRule="auto"/>
        <w:ind w:firstLine="480"/>
      </w:pPr>
      <w:r>
        <w:rPr>
          <w:rFonts w:ascii="宋体" w:hAnsi="宋体" w:eastAsia="宋体"/>
          <w:b w:val="0"/>
          <w:sz w:val="24"/>
        </w:rPr>
        <w:t>（1）安全管理</w:t>
      </w:r>
    </w:p>
    <w:p>
      <w:pPr>
        <w:spacing w:line="360" w:lineRule="auto"/>
        <w:ind w:firstLine="480"/>
      </w:pPr>
      <w:r>
        <w:rPr>
          <w:rFonts w:ascii="宋体" w:hAnsi="宋体" w:eastAsia="宋体"/>
          <w:b w:val="0"/>
          <w:sz w:val="24"/>
        </w:rPr>
        <w:t>严格遵守国家电网公司安全管理规定和博尔塔拉供电公司各项安全规章制度。所有现场工作人员须经安全培训合格后方可上岗。现场勘查前须办理相关工作票，落实安全措施。配备必要的安全防护用品和工具。</w:t>
      </w:r>
    </w:p>
    <w:p>
      <w:pPr>
        <w:spacing w:line="360" w:lineRule="auto"/>
        <w:ind w:firstLine="480"/>
      </w:pPr>
      <w:r>
        <w:rPr>
          <w:rFonts w:ascii="宋体" w:hAnsi="宋体" w:eastAsia="宋体"/>
          <w:b w:val="0"/>
          <w:sz w:val="24"/>
        </w:rPr>
        <w:t>（2）保密管理</w:t>
      </w:r>
    </w:p>
    <w:p>
      <w:pPr>
        <w:spacing w:line="360" w:lineRule="auto"/>
        <w:ind w:firstLine="480"/>
      </w:pPr>
      <w:r>
        <w:rPr>
          <w:rFonts w:ascii="宋体" w:hAnsi="宋体" w:eastAsia="宋体"/>
          <w:b w:val="0"/>
          <w:sz w:val="24"/>
        </w:rPr>
        <w:t>所有参与项目实施的人员须签订信息保密协议。项目涉及的业务数据、技术资料等保密信息严格按照保密等级进行管理。项目文件的传输、存储和销毁均按照保密管理要求执行。项目结束后，按要求移交或销毁相关保密信息载体。</w:t>
      </w:r>
    </w:p>
    <w:p>
      <w:pPr>
        <w:spacing w:line="360" w:lineRule="auto"/>
        <w:ind w:firstLine="480"/>
      </w:pPr>
      <w:r>
        <w:rPr>
          <w:rFonts w:ascii="宋体" w:hAnsi="宋体" w:eastAsia="宋体"/>
          <w:b w:val="0"/>
          <w:sz w:val="24"/>
        </w:rPr>
        <w:t>（3）信息安全</w:t>
      </w:r>
    </w:p>
    <w:p>
      <w:pPr>
        <w:spacing w:line="360" w:lineRule="auto"/>
        <w:ind w:firstLine="480"/>
      </w:pPr>
      <w:r>
        <w:rPr>
          <w:rFonts w:ascii="宋体" w:hAnsi="宋体" w:eastAsia="宋体"/>
          <w:b w:val="0"/>
          <w:sz w:val="24"/>
        </w:rPr>
        <w:t>项目实施过程中涉及的数据处理和分析工作，在满足信息安全要求的环境下进行。不得将项目数据存储在未经授权的设备或云平台上。不得通过不安全的网络传输项目保密数据。</w:t>
      </w:r>
    </w:p>
    <w:p>
      <w:pPr>
        <w:pStyle w:val="Heading2"/>
      </w:pPr>
      <w:r>
        <w:rPr>
          <w:rFonts w:ascii="黑体" w:hAnsi="黑体" w:eastAsia="黑体"/>
        </w:rPr>
        <w:t>5. 服务承诺</w:t>
      </w:r>
    </w:p>
    <w:p>
      <w:pPr>
        <w:spacing w:line="360" w:lineRule="auto"/>
        <w:ind w:firstLine="480"/>
      </w:pPr>
      <w:r>
        <w:rPr>
          <w:rFonts w:ascii="宋体" w:hAnsi="宋体" w:eastAsia="宋体"/>
          <w:b w:val="0"/>
          <w:sz w:val="24"/>
        </w:rPr>
        <w:t>（1）我公司承诺派出具有丰富项目经验和专业技术能力的团队执行本项目，确保服务质量。</w:t>
      </w:r>
    </w:p>
    <w:p>
      <w:pPr>
        <w:spacing w:line="360" w:lineRule="auto"/>
        <w:ind w:firstLine="480"/>
      </w:pPr>
      <w:r>
        <w:rPr>
          <w:rFonts w:ascii="宋体" w:hAnsi="宋体" w:eastAsia="宋体"/>
          <w:b w:val="0"/>
          <w:sz w:val="24"/>
        </w:rPr>
        <w:t>（2）我公司承诺严格按照技术规范书和合同要求完成全部工作任务，不打折扣。</w:t>
      </w:r>
    </w:p>
    <w:p>
      <w:pPr>
        <w:spacing w:line="360" w:lineRule="auto"/>
        <w:ind w:firstLine="480"/>
      </w:pPr>
      <w:r>
        <w:rPr>
          <w:rFonts w:ascii="宋体" w:hAnsi="宋体" w:eastAsia="宋体"/>
          <w:b w:val="0"/>
          <w:sz w:val="24"/>
        </w:rPr>
        <w:t>（3）我公司承诺提供7×24小时技术支持服务，确保及时响应博尔塔拉供电公司的技术需求。</w:t>
      </w:r>
    </w:p>
    <w:p>
      <w:pPr>
        <w:spacing w:line="360" w:lineRule="auto"/>
        <w:ind w:firstLine="480"/>
      </w:pPr>
      <w:r>
        <w:rPr>
          <w:rFonts w:ascii="宋体" w:hAnsi="宋体" w:eastAsia="宋体"/>
          <w:b w:val="0"/>
          <w:sz w:val="24"/>
        </w:rPr>
        <w:t>（4）我公司承诺所有工作由本公司独立完成，不进行任何形式的分包或外委。</w:t>
      </w:r>
    </w:p>
    <w:p>
      <w:pPr>
        <w:spacing w:line="360" w:lineRule="auto"/>
        <w:ind w:firstLine="480"/>
      </w:pPr>
      <w:r>
        <w:rPr>
          <w:rFonts w:ascii="宋体" w:hAnsi="宋体" w:eastAsia="宋体"/>
          <w:b w:val="0"/>
          <w:sz w:val="24"/>
        </w:rPr>
        <w:t>（5）我公司承诺严格遵守保密要求，对项目涉及的所有保密信息承担保密义务。</w:t>
      </w:r>
    </w:p>
    <w:p>
      <w:pPr>
        <w:spacing w:line="360" w:lineRule="auto"/>
        <w:ind w:firstLine="480"/>
      </w:pPr>
      <w:r>
        <w:rPr>
          <w:rFonts w:ascii="宋体" w:hAnsi="宋体" w:eastAsia="宋体"/>
          <w:b w:val="0"/>
          <w:sz w:val="24"/>
        </w:rPr>
        <w:t>（6）我公司承诺积极配合博尔塔拉供电公司的监督检查和考核评价，不断改进提升服务质量。</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