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691" w:rsidRPr="005C3CFB" w:rsidRDefault="003E0691" w:rsidP="003E06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3CFB">
        <w:rPr>
          <w:rFonts w:ascii="Times New Roman" w:hAnsi="Times New Roman" w:cs="Times New Roman"/>
          <w:b/>
          <w:sz w:val="24"/>
          <w:szCs w:val="24"/>
        </w:rPr>
        <w:t>Figures</w:t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029200" cy="4305300"/>
            <wp:effectExtent l="0" t="0" r="0" b="0"/>
            <wp:docPr id="10" name="Picture 10" descr="C:\Users\ado\AppData\Local\Microsoft\Windows\INetCache\Content.Word\Figure 1 of Propos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o\AppData\Local\Microsoft\Windows\INetCache\Content.Word\Figure 1 of Propos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1</w:t>
      </w:r>
      <w:r>
        <w:rPr>
          <w:rFonts w:ascii="Times New Roman" w:hAnsi="Times New Roman" w:cs="Times New Roman"/>
          <w:sz w:val="24"/>
          <w:szCs w:val="24"/>
        </w:rPr>
        <w:t>: Tailless embedded engine configuration for a typical ESAV configuration. Expanded view shows the embedded engine configuration in more detail.</w:t>
      </w:r>
    </w:p>
    <w:p w:rsidR="003E0691" w:rsidRDefault="003E0691" w:rsidP="003E0691">
      <w:pPr>
        <w:rPr>
          <w:rFonts w:ascii="Times New Roman" w:hAnsi="Times New Roman" w:cs="Times New Roman"/>
          <w:sz w:val="24"/>
          <w:szCs w:val="24"/>
        </w:rPr>
      </w:pP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514600"/>
            <wp:effectExtent l="0" t="0" r="9525" b="0"/>
            <wp:docPr id="8" name="Picture 8" descr="C:\Users\ado\AppData\Local\Microsoft\Windows\INetCache\Content.Word\Figure for thermal and acoustic 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o\AppData\Local\Microsoft\Windows\INetCache\Content.Word\Figure for thermal and acoustic load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2</w:t>
      </w:r>
      <w:r>
        <w:rPr>
          <w:rFonts w:ascii="Times New Roman" w:hAnsi="Times New Roman" w:cs="Times New Roman"/>
          <w:sz w:val="24"/>
          <w:szCs w:val="24"/>
        </w:rPr>
        <w:t>: Acoustic and thermal loading environment</w:t>
      </w:r>
      <w:r w:rsidR="005C7F64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often present in embedded engine configuration, which acts on the exhaust washed structure (EEWS)</w:t>
      </w:r>
    </w:p>
    <w:p w:rsidR="003E0691" w:rsidRDefault="003E0691" w:rsidP="003E0691">
      <w:pPr>
        <w:rPr>
          <w:rFonts w:ascii="Times New Roman" w:hAnsi="Times New Roman" w:cs="Times New Roman"/>
          <w:sz w:val="24"/>
          <w:szCs w:val="24"/>
        </w:rPr>
      </w:pPr>
    </w:p>
    <w:p w:rsidR="003E0691" w:rsidRDefault="003E0691" w:rsidP="003E0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D068F" wp14:editId="75618DFD">
            <wp:extent cx="59436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3</w:t>
      </w:r>
      <w:r>
        <w:rPr>
          <w:rFonts w:ascii="Times New Roman" w:hAnsi="Times New Roman" w:cs="Times New Roman"/>
          <w:sz w:val="24"/>
          <w:szCs w:val="24"/>
        </w:rPr>
        <w:t>: Dynamic response of aluminum panels subjected to thermal loading. 3a) non-buckled panel subject to acoustic loading. 3b) Post-buckled panel showing snap-though. 3c) Post-buckled panel vibrating about a buckled position.</w:t>
      </w:r>
    </w:p>
    <w:p w:rsidR="003E0691" w:rsidRDefault="003E0691" w:rsidP="003E0691">
      <w:pPr>
        <w:rPr>
          <w:rFonts w:ascii="Times New Roman" w:hAnsi="Times New Roman" w:cs="Times New Roman"/>
          <w:sz w:val="24"/>
          <w:szCs w:val="24"/>
        </w:rPr>
      </w:pP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3571875"/>
            <wp:effectExtent l="0" t="0" r="0" b="9525"/>
            <wp:docPr id="7" name="Picture 7" descr="C:\Users\ado\AppData\Local\Microsoft\Windows\INetCache\Content.Word\Effects of thermal and acoustic loading on strucu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o\AppData\Local\Microsoft\Windows\INetCache\Content.Word\Effects of thermal and acoustic loading on strucut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4</w:t>
      </w:r>
      <w:r>
        <w:rPr>
          <w:rFonts w:ascii="Times New Roman" w:hAnsi="Times New Roman" w:cs="Times New Roman"/>
          <w:sz w:val="24"/>
          <w:szCs w:val="24"/>
        </w:rPr>
        <w:t>: Deformation of the EEWS structure due to thermal expansion. Superimposed random acoustic loads with excite the thermally expanded structure, which drive a dynamics response at numerous excitation frequencies.</w:t>
      </w: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781300"/>
            <wp:effectExtent l="0" t="0" r="0" b="0"/>
            <wp:docPr id="6" name="Picture 6" descr="C:\Users\ado\AppData\Local\Microsoft\Windows\INetCache\Content.Word\figur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o\AppData\Local\Microsoft\Windows\INetCache\Content.Word\figure 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5</w:t>
      </w:r>
      <w:r>
        <w:rPr>
          <w:rFonts w:ascii="Times New Roman" w:hAnsi="Times New Roman" w:cs="Times New Roman"/>
          <w:sz w:val="24"/>
          <w:szCs w:val="24"/>
        </w:rPr>
        <w:t>: Asymmetric frequency response cures due to increased sound pressure levels. Figure on the left (5a) shows a response with increasing stiffness. Figure on the right shows a response with decreasing stiffness (5b)</w:t>
      </w:r>
    </w:p>
    <w:p w:rsidR="003E0691" w:rsidRDefault="003E0691" w:rsidP="003E0691">
      <w:pPr>
        <w:rPr>
          <w:rFonts w:ascii="Times New Roman" w:hAnsi="Times New Roman" w:cs="Times New Roman"/>
          <w:sz w:val="24"/>
          <w:szCs w:val="24"/>
        </w:rPr>
      </w:pPr>
    </w:p>
    <w:p w:rsidR="003E0691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2647950"/>
            <wp:effectExtent l="0" t="0" r="9525" b="0"/>
            <wp:docPr id="4" name="Picture 4" descr="C:\Users\ado\AppData\Local\Microsoft\Windows\INetCache\Content.Word\figur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o\AppData\Local\Microsoft\Windows\INetCache\Content.Word\figure 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91" w:rsidRPr="00583C08" w:rsidRDefault="003E0691" w:rsidP="003E0691">
      <w:pPr>
        <w:jc w:val="center"/>
        <w:rPr>
          <w:rFonts w:ascii="Times New Roman" w:hAnsi="Times New Roman" w:cs="Times New Roman"/>
          <w:sz w:val="24"/>
          <w:szCs w:val="24"/>
        </w:rPr>
      </w:pPr>
      <w:r w:rsidRPr="00B6640A">
        <w:rPr>
          <w:rFonts w:ascii="Times New Roman" w:hAnsi="Times New Roman" w:cs="Times New Roman"/>
          <w:b/>
          <w:sz w:val="24"/>
          <w:szCs w:val="24"/>
        </w:rPr>
        <w:t>Figure 6</w:t>
      </w:r>
      <w:r>
        <w:rPr>
          <w:rFonts w:ascii="Times New Roman" w:hAnsi="Times New Roman" w:cs="Times New Roman"/>
          <w:sz w:val="24"/>
          <w:szCs w:val="24"/>
        </w:rPr>
        <w:t>: Frequency response function peak shifts and broadening due to nonlinear effects. Figure 6a shows non-linear effects on the frequency response. Figure 6b shows non-linear effects on strain estimations.</w:t>
      </w:r>
    </w:p>
    <w:p w:rsidR="003E0691" w:rsidRPr="003E0691" w:rsidRDefault="003E0691" w:rsidP="003E0691"/>
    <w:sectPr w:rsidR="003E0691" w:rsidRPr="003E06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DF9" w:rsidRDefault="00663DF9">
      <w:r>
        <w:separator/>
      </w:r>
    </w:p>
  </w:endnote>
  <w:endnote w:type="continuationSeparator" w:id="0">
    <w:p w:rsidR="00663DF9" w:rsidRDefault="00663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DF9" w:rsidRDefault="00663DF9">
      <w:r>
        <w:separator/>
      </w:r>
    </w:p>
  </w:footnote>
  <w:footnote w:type="continuationSeparator" w:id="0">
    <w:p w:rsidR="00663DF9" w:rsidRDefault="00663D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691"/>
    <w:rsid w:val="002A1664"/>
    <w:rsid w:val="003E0691"/>
    <w:rsid w:val="005C7F64"/>
    <w:rsid w:val="00663DF9"/>
    <w:rsid w:val="0092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B9B2D-4C20-47EB-92E3-0E0AD0C7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0691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3260</TotalTime>
  <Pages>3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Makas, Admir</dc:creator>
  <cp:keywords/>
  <dc:description/>
  <cp:lastModifiedBy>Makas, Admir</cp:lastModifiedBy>
  <cp:revision>1</cp:revision>
  <dcterms:created xsi:type="dcterms:W3CDTF">2016-01-15T19:55:00Z</dcterms:created>
  <dcterms:modified xsi:type="dcterms:W3CDTF">2016-01-19T00:38:00Z</dcterms:modified>
</cp:coreProperties>
</file>