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Subject-Stratified Teacher Pipeline Model</w:t>
      </w:r>
    </w:p>
    <w:p>
      <w:pPr>
        <w:spacing w:after="200"/>
        <w:jc w:val="center"/>
      </w:pPr>
      <w:r>
        <w:rPr>
          <w:i/>
          <w:iCs/>
          <w:sz w:val="26"/>
          <w:szCs w:val="26"/>
        </w:rPr>
        <w:t xml:space="preserve">A Markov State-Space Framework for U.S. K-12 Teacher Workforce Modeling</w:t>
      </w:r>
    </w:p>
    <w:p>
      <w:pPr>
        <w:spacing w:after="400"/>
        <w:jc w:val="center"/>
      </w:pPr>
      <w:r>
        <w:rPr>
          <w:color w:val="666666"/>
          <w:sz w:val="22"/>
          <w:szCs w:val="22"/>
        </w:rPr>
        <w:t xml:space="preserve">Version 2.0 — Complete Specification with Calibration Methodology</w:t>
      </w:r>
    </w:p>
    <w:p>
      <w:pPr>
        <w:pStyle w:val="Heading1"/>
      </w:pPr>
      <w:r>
        <w:t xml:space="preserve">1. Executive Summary</w:t>
      </w:r>
    </w:p>
    <w:p>
      <w:pPr>
        <w:spacing w:after="200"/>
      </w:pPr>
      <w:r>
        <w:t xml:space="preserve">This document specifies a comprehensive mathematical model of the U.S. teacher workforce pipeline, stratified by subject area. The model tracks individuals from teacher preparation program enrollment through career progression, role transitions, and exit from the profession. It is designed to be calibrated using publicly available federal data sources (IPEDS, Title II, SASS/NTPS, TFS) and validated against observed teacher stock counts.</w:t>
      </w:r>
    </w:p>
    <w:p>
      <w:pPr>
        <w:pStyle w:val="Heading2"/>
      </w:pPr>
      <w:r>
        <w:t xml:space="preserve">Key Features</w:t>
      </w:r>
    </w:p>
    <w:p>
      <w:pPr>
        <w:pStyle w:val="ListParagraph"/>
        <w:numPr>
          <w:ilvl w:val="0"/>
          <w:numId w:val="2"/>
        </w:numPr>
      </w:pPr>
      <w:r>
        <w:rPr>
          <w:b/>
          <w:bCs/>
        </w:rPr>
        <w:t xml:space="preserve">Subject stratification: </w:t>
      </w:r>
      <w:r>
        <w:t xml:space="preserve">7 subject categories aligned to NTPS and Title II taxonomies</w:t>
      </w:r>
    </w:p>
    <w:p>
      <w:pPr>
        <w:pStyle w:val="ListParagraph"/>
        <w:numPr>
          <w:ilvl w:val="0"/>
          <w:numId w:val="2"/>
        </w:numPr>
      </w:pPr>
      <w:r>
        <w:rPr>
          <w:b/>
          <w:bCs/>
        </w:rPr>
        <w:t xml:space="preserve">Experience bands: </w:t>
      </w:r>
      <w:r>
        <w:t xml:space="preserve">Early career (0-2 years), mid-career (3-9 years), late career (10+ years)</w:t>
      </w:r>
    </w:p>
    <w:p>
      <w:pPr>
        <w:pStyle w:val="ListParagraph"/>
        <w:numPr>
          <w:ilvl w:val="0"/>
          <w:numId w:val="2"/>
        </w:numPr>
      </w:pPr>
      <w:r>
        <w:rPr>
          <w:b/>
          <w:bCs/>
        </w:rPr>
        <w:t xml:space="preserve">Role transitions: </w:t>
      </w:r>
      <w:r>
        <w:t xml:space="preserve">Explicit modeling of moves to administration, coaching, and non-teaching roles</w:t>
      </w:r>
    </w:p>
    <w:p>
      <w:pPr>
        <w:pStyle w:val="ListParagraph"/>
        <w:numPr>
          <w:ilvl w:val="0"/>
          <w:numId w:val="2"/>
        </w:numPr>
      </w:pPr>
      <w:r>
        <w:rPr>
          <w:b/>
          <w:bCs/>
        </w:rPr>
        <w:t xml:space="preserve">Re-entry dynamics: </w:t>
      </w:r>
      <w:r>
        <w:t xml:space="preserve">Reserve pool of licensed non-teachers who may return to classroom</w:t>
      </w:r>
    </w:p>
    <w:p>
      <w:pPr>
        <w:pStyle w:val="ListParagraph"/>
        <w:numPr>
          <w:ilvl w:val="0"/>
          <w:numId w:val="2"/>
        </w:numPr>
      </w:pPr>
      <w:r>
        <w:rPr>
          <w:b/>
          <w:bCs/>
        </w:rPr>
        <w:t xml:space="preserve">Cross-subject mobility: </w:t>
      </w:r>
      <w:r>
        <w:t xml:space="preserve">Flows between subjects via additional certification</w:t>
      </w:r>
    </w:p>
    <w:p>
      <w:pPr>
        <w:pStyle w:val="ListParagraph"/>
        <w:numPr>
          <w:ilvl w:val="0"/>
          <w:numId w:val="2"/>
        </w:numPr>
        <w:spacing w:after="200"/>
      </w:pPr>
      <w:r>
        <w:rPr>
          <w:b/>
          <w:bCs/>
        </w:rPr>
        <w:t xml:space="preserve">Empirical calibration: </w:t>
      </w:r>
      <w:r>
        <w:t xml:space="preserve">All parameters derived from or constrained by federal data</w:t>
      </w:r>
    </w:p>
    <w:p>
      <w:r>
        <w:br w:type="page"/>
      </w:r>
    </w:p>
    <w:p>
      <w:pPr>
        <w:pStyle w:val="Heading1"/>
      </w:pPr>
      <w:r>
        <w:t xml:space="preserve">2. Subject Category Definitions</w:t>
      </w:r>
    </w:p>
    <w:p>
      <w:pPr>
        <w:spacing w:after="200"/>
      </w:pPr>
      <w:r>
        <w:t xml:space="preserve">The model uses 7 subject categories (indexed s = 1, ..., 7) that align with both NTPS "field of main teaching assignment" and Title II program completion categories. This mapping enables consistent tracking from preparation through employment.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rPr>
          <w:tblHeader/>
        </w:trPr>
        <w:tc>
          <w:tcPr>
            <w:tcW w:type="dxa" w:w="18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Code</w:t>
            </w:r>
          </w:p>
        </w:tc>
        <w:tc>
          <w:tcPr>
            <w:tcW w:type="dxa" w:w="32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Subject Category</w:t>
            </w:r>
          </w:p>
        </w:tc>
        <w:tc>
          <w:tcPr>
            <w:tcW w:type="dxa" w:w="4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NTPS Fields Included</w:t>
            </w:r>
          </w:p>
        </w:tc>
      </w:tr>
      <w:tr>
        <w:tc>
          <w:tcPr>
            <w:tcW w:type="dxa" w:w="1800"/>
            <w:tcBorders>
              <w:top w:val="single" w:color="CCCCCC" w:sz="1"/>
              <w:left w:val="single" w:color="CCCCCC" w:sz="1"/>
              <w:bottom w:val="single" w:color="CCCCCC" w:sz="1"/>
              <w:right w:val="single" w:color="CCCCCC" w:sz="1"/>
            </w:tcBorders>
          </w:tcPr>
          <w:p>
            <w:r>
              <w:rPr>
                <w:b/>
                <w:bCs/>
                <w:color w:val="000000"/>
                <w:sz w:val="20"/>
                <w:szCs w:val="20"/>
              </w:rPr>
              <w:t xml:space="preserve">ELEM</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Elementary / Generalist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General elementary education</w:t>
            </w:r>
          </w:p>
        </w:tc>
      </w:tr>
      <w:tr>
        <w:tc>
          <w:tcPr>
            <w:tcW w:type="dxa" w:w="1800"/>
            <w:tcBorders>
              <w:top w:val="single" w:color="CCCCCC" w:sz="1"/>
              <w:left w:val="single" w:color="CCCCCC" w:sz="1"/>
              <w:bottom w:val="single" w:color="CCCCCC" w:sz="1"/>
              <w:right w:val="single" w:color="CCCCCC" w:sz="1"/>
            </w:tcBorders>
          </w:tcPr>
          <w:p>
            <w:r>
              <w:rPr>
                <w:b/>
                <w:bCs/>
                <w:color w:val="000000"/>
                <w:sz w:val="20"/>
                <w:szCs w:val="20"/>
              </w:rPr>
              <w:t xml:space="preserve">SPED</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Special Education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Special education (all categories)</w:t>
            </w:r>
          </w:p>
        </w:tc>
      </w:tr>
      <w:tr>
        <w:tc>
          <w:tcPr>
            <w:tcW w:type="dxa" w:w="1800"/>
            <w:tcBorders>
              <w:top w:val="single" w:color="CCCCCC" w:sz="1"/>
              <w:left w:val="single" w:color="CCCCCC" w:sz="1"/>
              <w:bottom w:val="single" w:color="CCCCCC" w:sz="1"/>
              <w:right w:val="single" w:color="CCCCCC" w:sz="1"/>
            </w:tcBorders>
          </w:tcPr>
          <w:p>
            <w:r>
              <w:rPr>
                <w:b/>
                <w:bCs/>
                <w:color w:val="000000"/>
                <w:sz w:val="20"/>
                <w:szCs w:val="20"/>
              </w:rPr>
              <w:t xml:space="preserve">ELA</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English / Language Arts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English and language arts, reading</w:t>
            </w:r>
          </w:p>
        </w:tc>
      </w:tr>
      <w:tr>
        <w:tc>
          <w:tcPr>
            <w:tcW w:type="dxa" w:w="1800"/>
            <w:tcBorders>
              <w:top w:val="single" w:color="CCCCCC" w:sz="1"/>
              <w:left w:val="single" w:color="CCCCCC" w:sz="1"/>
              <w:bottom w:val="single" w:color="CCCCCC" w:sz="1"/>
              <w:right w:val="single" w:color="CCCCCC" w:sz="1"/>
            </w:tcBorders>
          </w:tcPr>
          <w:p>
            <w:r>
              <w:rPr>
                <w:b/>
                <w:bCs/>
                <w:color w:val="000000"/>
                <w:sz w:val="20"/>
                <w:szCs w:val="20"/>
              </w:rPr>
              <w:t xml:space="preserve">STEM</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STEM</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Mathematics, computer science, natural sciences (biology, chemistry, physics, earth science)</w:t>
            </w:r>
          </w:p>
        </w:tc>
      </w:tr>
      <w:tr>
        <w:tc>
          <w:tcPr>
            <w:tcW w:type="dxa" w:w="1800"/>
            <w:tcBorders>
              <w:top w:val="single" w:color="CCCCCC" w:sz="1"/>
              <w:left w:val="single" w:color="CCCCCC" w:sz="1"/>
              <w:bottom w:val="single" w:color="CCCCCC" w:sz="1"/>
              <w:right w:val="single" w:color="CCCCCC" w:sz="1"/>
            </w:tcBorders>
          </w:tcPr>
          <w:p>
            <w:r>
              <w:rPr>
                <w:b/>
                <w:bCs/>
                <w:color w:val="000000"/>
                <w:sz w:val="20"/>
                <w:szCs w:val="20"/>
              </w:rPr>
              <w:t xml:space="preserve">SOCSCI</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Social Studies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Social sciences (history, geography, civics, economics)</w:t>
            </w:r>
          </w:p>
        </w:tc>
      </w:tr>
      <w:tr>
        <w:tc>
          <w:tcPr>
            <w:tcW w:type="dxa" w:w="1800"/>
            <w:tcBorders>
              <w:top w:val="single" w:color="CCCCCC" w:sz="1"/>
              <w:left w:val="single" w:color="CCCCCC" w:sz="1"/>
              <w:bottom w:val="single" w:color="CCCCCC" w:sz="1"/>
              <w:right w:val="single" w:color="CCCCCC" w:sz="1"/>
            </w:tcBorders>
          </w:tcPr>
          <w:p>
            <w:r>
              <w:rPr>
                <w:b/>
                <w:bCs/>
                <w:color w:val="000000"/>
                <w:sz w:val="20"/>
                <w:szCs w:val="20"/>
              </w:rPr>
              <w:t xml:space="preserve">LANG</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ELL / World Languages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English as a second language (ESL), foreign/world languages</w:t>
            </w:r>
          </w:p>
        </w:tc>
      </w:tr>
      <w:tr>
        <w:tc>
          <w:tcPr>
            <w:tcW w:type="dxa" w:w="1800"/>
            <w:tcBorders>
              <w:top w:val="single" w:color="CCCCCC" w:sz="1"/>
              <w:left w:val="single" w:color="CCCCCC" w:sz="1"/>
              <w:bottom w:val="single" w:color="CCCCCC" w:sz="1"/>
              <w:right w:val="single" w:color="CCCCCC" w:sz="1"/>
            </w:tcBorders>
          </w:tcPr>
          <w:p>
            <w:r>
              <w:rPr>
                <w:b/>
                <w:bCs/>
                <w:color w:val="000000"/>
                <w:sz w:val="20"/>
                <w:szCs w:val="20"/>
              </w:rPr>
              <w:t xml:space="preserve">OTHER</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Other Subjects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Arts, music, health/PE, career &amp; technical education, other</w:t>
            </w:r>
          </w:p>
        </w:tc>
      </w:tr>
    </w:tbl>
    <w:p>
      <w:pPr>
        <w:spacing w:before="200" w:after="200"/>
      </w:pPr>
      <w:r>
        <w:rPr>
          <w:b/>
          <w:bCs/>
        </w:rPr>
        <w:t xml:space="preserve">Title II Crosswalk: </w:t>
      </w:r>
      <w:r>
        <w:t xml:space="preserve">Title II reports completers by more granular subject areas. Map as follows: "Secondary Mathematics" → STEM; "Elementary Education" → ELEM; "Reading Specialist" → ELA; "Bilingual/ESL" → LANG; etc. A complete crosswalk table should be constructed when implementing.</w:t>
      </w:r>
    </w:p>
    <w:p>
      <w:r>
        <w:br w:type="page"/>
      </w:r>
    </w:p>
    <w:p>
      <w:pPr>
        <w:pStyle w:val="Heading1"/>
      </w:pPr>
      <w:r>
        <w:t xml:space="preserve">3. State Space Definition</w:t>
      </w:r>
    </w:p>
    <w:p>
      <w:pPr>
        <w:spacing w:after="200"/>
      </w:pPr>
      <w:r>
        <w:t xml:space="preserve">For each subject s, the model tracks individuals across 11 mutually exclusive states. The state vector at time t is:</w:t>
      </w:r>
    </w:p>
    <w:p>
      <w:pPr>
        <w:spacing w:after="200"/>
        <w:jc w:val="center"/>
      </w:pPr>
      <w:r>
        <w:rPr>
          <w:i/>
          <w:iCs/>
        </w:rPr>
        <w:t xml:space="preserve">x</w:t>
      </w:r>
      <w:r>
        <w:rPr>
          <w:sz w:val="18"/>
          <w:szCs w:val="18"/>
        </w:rPr>
        <w:t xml:space="preserve">ₜˢ</w:t>
      </w:r>
      <w:r>
        <w:t xml:space="preserve"> = (Pₛ, Lₛ, Rₛ, Tₛ⁰, Tₛ¹, Tₛ², Aₛ, Oₖ₁₂, Eₒₜₕₑᵣ, Eₙₒₙ, X)ₜ</w:t>
      </w:r>
    </w:p>
    <w:p>
      <w:pPr>
        <w:pStyle w:val="Heading2"/>
      </w:pPr>
      <w:r>
        <w:t xml:space="preserve">3.1 State Definitions</w:t>
      </w:r>
    </w:p>
    <w:p>
      <w:pPr>
        <w:pStyle w:val="Heading3"/>
      </w:pPr>
      <w:r>
        <w:t xml:space="preserve">Pre-Service States</w:t>
      </w:r>
    </w:p>
    <w:p>
      <w:pPr>
        <w:pStyle w:val="ListParagraph"/>
        <w:numPr>
          <w:ilvl w:val="0"/>
          <w:numId w:val="2"/>
        </w:numPr>
      </w:pPr>
      <w:r>
        <w:rPr>
          <w:b/>
          <w:bCs/>
        </w:rPr>
        <w:t xml:space="preserve">Pₛ (Program Enrolled): </w:t>
      </w:r>
      <w:r>
        <w:t xml:space="preserve">Currently enrolled in a teacher preparation program for subject s. Source: Title II enrollment data.</w:t>
      </w:r>
    </w:p>
    <w:p>
      <w:pPr>
        <w:pStyle w:val="ListParagraph"/>
        <w:numPr>
          <w:ilvl w:val="0"/>
          <w:numId w:val="2"/>
        </w:numPr>
      </w:pPr>
      <w:r>
        <w:rPr>
          <w:b/>
          <w:bCs/>
        </w:rPr>
        <w:t xml:space="preserve">Lₛ (Licensed, Seeking Employment): </w:t>
      </w:r>
      <w:r>
        <w:t xml:space="preserve">Completed program, holds license/certification in subject s, actively seeking teaching position. Transient state; most transition to Tₛ⁰ or Rₛ within 1-2 years.</w:t>
      </w:r>
    </w:p>
    <w:p>
      <w:pPr>
        <w:pStyle w:val="ListParagraph"/>
        <w:numPr>
          <w:ilvl w:val="0"/>
          <w:numId w:val="2"/>
        </w:numPr>
        <w:spacing w:after="200"/>
      </w:pPr>
      <w:r>
        <w:rPr>
          <w:b/>
          <w:bCs/>
        </w:rPr>
        <w:t xml:space="preserve">Rₛ (Reserve Pool): </w:t>
      </w:r>
      <w:r>
        <w:t xml:space="preserve">Licensed in subject s but not currently teaching in public K-12. Includes those in private schools, higher ed, ed-adjacent jobs, or temporarily out of workforce. Critical for modeling re-entry.</w:t>
      </w:r>
    </w:p>
    <w:p>
      <w:pPr>
        <w:pStyle w:val="Heading3"/>
      </w:pPr>
      <w:r>
        <w:t xml:space="preserve">Teaching States (Public K-12 Classroom)</w:t>
      </w:r>
    </w:p>
    <w:p>
      <w:pPr>
        <w:pStyle w:val="ListParagraph"/>
        <w:numPr>
          <w:ilvl w:val="0"/>
          <w:numId w:val="2"/>
        </w:numPr>
      </w:pPr>
      <w:r>
        <w:rPr>
          <w:b/>
          <w:bCs/>
        </w:rPr>
        <w:t xml:space="preserve">Tₛ⁰ (Early Career, 0-2 years): </w:t>
      </w:r>
      <w:r>
        <w:t xml:space="preserve">First through third year of teaching in subject s. Highest attrition period. Includes first-year teachers and those building foundational skills.</w:t>
      </w:r>
    </w:p>
    <w:p>
      <w:pPr>
        <w:pStyle w:val="ListParagraph"/>
        <w:numPr>
          <w:ilvl w:val="0"/>
          <w:numId w:val="2"/>
        </w:numPr>
      </w:pPr>
      <w:r>
        <w:rPr>
          <w:b/>
          <w:bCs/>
        </w:rPr>
        <w:t xml:space="preserve">Tₛ¹ (Mid-Career, 3-9 years): </w:t>
      </w:r>
      <w:r>
        <w:t xml:space="preserve">Established teachers with moderate experience. Lower attrition than early career; many develop leadership interests.</w:t>
      </w:r>
    </w:p>
    <w:p>
      <w:pPr>
        <w:pStyle w:val="ListParagraph"/>
        <w:numPr>
          <w:ilvl w:val="0"/>
          <w:numId w:val="2"/>
        </w:numPr>
        <w:spacing w:after="200"/>
      </w:pPr>
      <w:r>
        <w:rPr>
          <w:b/>
          <w:bCs/>
        </w:rPr>
        <w:t xml:space="preserve">Tₛ² (Late Career, 10+ years): </w:t>
      </w:r>
      <w:r>
        <w:t xml:space="preserve">Veteran teachers. Attrition increases toward end of band due to retirement eligibility. Many serve as mentors.</w:t>
      </w:r>
    </w:p>
    <w:p>
      <w:pPr>
        <w:pStyle w:val="Heading3"/>
      </w:pPr>
      <w:r>
        <w:t xml:space="preserve">Non-Classroom K-12 Roles</w:t>
      </w:r>
    </w:p>
    <w:p>
      <w:pPr>
        <w:pStyle w:val="ListParagraph"/>
        <w:numPr>
          <w:ilvl w:val="0"/>
          <w:numId w:val="2"/>
        </w:numPr>
      </w:pPr>
      <w:r>
        <w:rPr>
          <w:b/>
          <w:bCs/>
        </w:rPr>
        <w:t xml:space="preserve">Aₛ (Administration/Specialist): </w:t>
      </w:r>
      <w:r>
        <w:t xml:space="preserve">School/district administrators, instructional coaches, curriculum specialists, department heads aligned to subject s. Principals without clear subject alignment counted in A_ELEM by convention.</w:t>
      </w:r>
    </w:p>
    <w:p>
      <w:pPr>
        <w:pStyle w:val="ListParagraph"/>
        <w:numPr>
          <w:ilvl w:val="0"/>
          <w:numId w:val="2"/>
        </w:numPr>
        <w:spacing w:after="200"/>
      </w:pPr>
      <w:r>
        <w:rPr>
          <w:b/>
          <w:bCs/>
        </w:rPr>
        <w:t xml:space="preserve">Oₖ₁₂ (Other K-12 Staff): </w:t>
      </w:r>
      <w:r>
        <w:t xml:space="preserve">Non-subject-specific roles: counselors, librarians, psychologists, non-instructional support. Shared across all subjects (not subject-indexed in practice).</w:t>
      </w:r>
    </w:p>
    <w:p>
      <w:pPr>
        <w:pStyle w:val="Heading3"/>
      </w:pPr>
      <w:r>
        <w:t xml:space="preserve">Exit States</w:t>
      </w:r>
    </w:p>
    <w:p>
      <w:pPr>
        <w:pStyle w:val="ListParagraph"/>
        <w:numPr>
          <w:ilvl w:val="0"/>
          <w:numId w:val="2"/>
        </w:numPr>
      </w:pPr>
      <w:r>
        <w:rPr>
          <w:b/>
          <w:bCs/>
        </w:rPr>
        <w:t xml:space="preserve">Eₒₜₕₑᵣ (Other Education): </w:t>
      </w:r>
      <w:r>
        <w:t xml:space="preserve">Left public K-12 but still in education sector: private K-12, higher education, ed nonprofits, EdTech companies.</w:t>
      </w:r>
    </w:p>
    <w:p>
      <w:pPr>
        <w:pStyle w:val="ListParagraph"/>
        <w:numPr>
          <w:ilvl w:val="0"/>
          <w:numId w:val="2"/>
        </w:numPr>
      </w:pPr>
      <w:r>
        <w:rPr>
          <w:b/>
          <w:bCs/>
        </w:rPr>
        <w:t xml:space="preserve">Eₙₒₙ (Non-Education): </w:t>
      </w:r>
      <w:r>
        <w:t xml:space="preserve">Left education entirely, including career changers and retirees.</w:t>
      </w:r>
    </w:p>
    <w:p>
      <w:pPr>
        <w:pStyle w:val="ListParagraph"/>
        <w:numPr>
          <w:ilvl w:val="0"/>
          <w:numId w:val="2"/>
        </w:numPr>
        <w:spacing w:after="200"/>
      </w:pPr>
      <w:r>
        <w:rPr>
          <w:b/>
          <w:bCs/>
        </w:rPr>
        <w:t xml:space="preserve">X (Deceased/Emigrated): </w:t>
      </w:r>
      <w:r>
        <w:t xml:space="preserve">Absorbing state for mortality and permanent emigration. Small but non-zero for actuarial completeness.</w:t>
      </w:r>
    </w:p>
    <w:p>
      <w:r>
        <w:br w:type="page"/>
      </w:r>
    </w:p>
    <w:p>
      <w:pPr>
        <w:pStyle w:val="Heading1"/>
      </w:pPr>
      <w:r>
        <w:t xml:space="preserve">4. Transition Structure</w:t>
      </w:r>
    </w:p>
    <w:p>
      <w:pPr>
        <w:spacing w:after="200"/>
      </w:pPr>
      <w:r>
        <w:t xml:space="preserve">The model evolves annually via a transition equation. For each subject s:</w:t>
      </w:r>
    </w:p>
    <w:p>
      <w:pPr>
        <w:spacing w:after="200"/>
        <w:jc w:val="center"/>
      </w:pPr>
      <w:r>
        <w:rPr>
          <w:i/>
          <w:iCs/>
        </w:rPr>
        <w:t xml:space="preserve">x</w:t>
      </w:r>
      <w:r>
        <w:rPr>
          <w:sz w:val="18"/>
          <w:szCs w:val="18"/>
        </w:rPr>
        <w:t xml:space="preserve">ₜ₊₁ˢ</w:t>
      </w:r>
      <w:r>
        <w:t xml:space="preserve"> = </w:t>
      </w:r>
      <w:r>
        <w:rPr>
          <w:i/>
          <w:iCs/>
        </w:rPr>
        <w:t xml:space="preserve">M</w:t>
      </w:r>
      <w:r>
        <w:rPr>
          <w:sz w:val="18"/>
          <w:szCs w:val="18"/>
        </w:rPr>
        <w:t xml:space="preserve">ₜˢ</w:t>
      </w:r>
      <w:r>
        <w:t xml:space="preserve"> · </w:t>
      </w:r>
      <w:r>
        <w:rPr>
          <w:i/>
          <w:iCs/>
        </w:rPr>
        <w:t xml:space="preserve">x</w:t>
      </w:r>
      <w:r>
        <w:rPr>
          <w:sz w:val="18"/>
          <w:szCs w:val="18"/>
        </w:rPr>
        <w:t xml:space="preserve">ₜˢ</w:t>
      </w:r>
      <w:r>
        <w:t xml:space="preserve"> + </w:t>
      </w:r>
      <w:r>
        <w:rPr>
          <w:i/>
          <w:iCs/>
        </w:rPr>
        <w:t xml:space="preserve">b</w:t>
      </w:r>
      <w:r>
        <w:rPr>
          <w:sz w:val="18"/>
          <w:szCs w:val="18"/>
        </w:rPr>
        <w:t xml:space="preserve">ₜˢ</w:t>
      </w:r>
      <w:r>
        <w:t xml:space="preserve"> + </w:t>
      </w:r>
      <w:r>
        <w:rPr>
          <w:i/>
          <w:iCs/>
        </w:rPr>
        <w:t xml:space="preserve">c</w:t>
      </w:r>
      <w:r>
        <w:rPr>
          <w:sz w:val="18"/>
          <w:szCs w:val="18"/>
        </w:rPr>
        <w:t xml:space="preserve">ₜˢ</w:t>
      </w:r>
    </w:p>
    <w:p>
      <w:pPr>
        <w:spacing w:after="200"/>
      </w:pPr>
      <w:r>
        <w:t xml:space="preserve">Where:</w:t>
      </w:r>
    </w:p>
    <w:p>
      <w:pPr>
        <w:pStyle w:val="ListParagraph"/>
        <w:numPr>
          <w:ilvl w:val="0"/>
          <w:numId w:val="2"/>
        </w:numPr>
      </w:pPr>
      <w:r>
        <w:rPr>
          <w:b/>
          <w:bCs/>
        </w:rPr>
        <w:t xml:space="preserve">Mₜˢ </w:t>
      </w:r>
      <w:r>
        <w:t xml:space="preserve">is the 11×11 transition matrix for subject s at time t</w:t>
      </w:r>
    </w:p>
    <w:p>
      <w:pPr>
        <w:pStyle w:val="ListParagraph"/>
        <w:numPr>
          <w:ilvl w:val="0"/>
          <w:numId w:val="2"/>
        </w:numPr>
      </w:pPr>
      <w:r>
        <w:rPr>
          <w:b/>
          <w:bCs/>
        </w:rPr>
        <w:t xml:space="preserve">bₜˢ </w:t>
      </w:r>
      <w:r>
        <w:t xml:space="preserve">is the external inflow vector (new program enrollees)</w:t>
      </w:r>
    </w:p>
    <w:p>
      <w:pPr>
        <w:pStyle w:val="ListParagraph"/>
        <w:numPr>
          <w:ilvl w:val="0"/>
          <w:numId w:val="2"/>
        </w:numPr>
        <w:spacing w:after="200"/>
      </w:pPr>
      <w:r>
        <w:rPr>
          <w:b/>
          <w:bCs/>
        </w:rPr>
        <w:t xml:space="preserve">cₜˢ </w:t>
      </w:r>
      <w:r>
        <w:t xml:space="preserve">is the cross-subject transfer vector (net flows from other subjects)</w:t>
      </w:r>
    </w:p>
    <w:p>
      <w:pPr>
        <w:pStyle w:val="Heading2"/>
      </w:pPr>
      <w:r>
        <w:t xml:space="preserve">4.1 Primary Transitions (Within Subject)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tcW w:type="dxa" w:w="22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From</w:t>
            </w:r>
          </w:p>
        </w:tc>
        <w:tc>
          <w:tcPr>
            <w:tcW w:type="dxa" w:w="22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To</w:t>
            </w:r>
          </w:p>
        </w:tc>
        <w:tc>
          <w:tcPr>
            <w:tcW w:type="dxa" w:w="51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Description &amp; Parameters</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Pₛ</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Lₛ</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Program completion + licensure. Rate: πₛ (Title II completion rate × pass rate)</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Pₛ</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Eₙₒₙ</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Program dropout. Rate: 1 - πₛ - (small retention in P)</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Lₛ</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Tₛ⁰</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Hired into public K-12. Rate: hₛ (calibrated hire rate)</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Lₛ</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Rₛ</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Enter reserve pool (not hired within 1 year). Rate: rₛ</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Tₛ⁰</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Tₛ¹</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Experience progression. Rate: 1/3 per year (deterministic aging)</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Tₛ¹</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Tₛ²</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Experience progression. Rate: 1/7 per year (deterministic aging)</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Tₛⁱ</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Rₛ</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Leave classroom, retain license. Rate: λₛⁱ · (1 - δ)</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Tₛⁱ</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Eₒₜₕₑᵣ</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Move to other education. Rate: λₛⁱ · δ · (1 - ρ)</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Tₛⁱ</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Eₙₒₙ</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Leave education/retire. Rate: λₛⁱ · δ · ρ</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Tₛⁱ</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Aₛ</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Move to admin/coaching. Rate: αₛⁱ (higher for i=1,2)</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Tₛⁱ</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Oₖ₁₂</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Move to other K-12 role. Rate: οₛⁱ</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Rₛ</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Tₛ⁰/Tₛ¹</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Re-enter teaching. Rate: ηₛ (split by years since last teaching)</w:t>
            </w:r>
          </w:p>
        </w:tc>
      </w:tr>
      <w:tr>
        <w:tc>
          <w:tcPr>
            <w:tcW w:type="dxa" w:w="2200"/>
            <w:tcBorders>
              <w:top w:val="single" w:color="CCCCCC" w:sz="1"/>
              <w:left w:val="single" w:color="CCCCCC" w:sz="1"/>
              <w:bottom w:val="single" w:color="CCCCCC" w:sz="1"/>
              <w:right w:val="single" w:color="CCCCCC" w:sz="1"/>
            </w:tcBorders>
          </w:tcPr>
          <w:p>
            <w:r>
              <w:rPr>
                <w:b/>
                <w:bCs/>
                <w:color w:val="000000"/>
                <w:sz w:val="20"/>
                <w:szCs w:val="20"/>
              </w:rPr>
              <w:t xml:space="preserve">Eₒₜₕₑᵣ</w:t>
            </w:r>
          </w:p>
        </w:tc>
        <w:tc>
          <w:tcPr>
            <w:tcW w:type="dxa" w:w="2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Tₛ⁰</w:t>
            </w:r>
          </w:p>
        </w:tc>
        <w:tc>
          <w:tcPr>
            <w:tcW w:type="dxa" w:w="51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Return from other ed. Rate: η'ₛ (small)</w:t>
            </w:r>
          </w:p>
        </w:tc>
      </w:tr>
    </w:tbl>
    <w:p>
      <w:r>
        <w:br w:type="page"/>
      </w:r>
    </w:p>
    <w:p>
      <w:pPr>
        <w:pStyle w:val="Heading2"/>
      </w:pPr>
      <w:r>
        <w:t xml:space="preserve">4.2 Cross-Subject Transitions</w:t>
      </w:r>
    </w:p>
    <w:p>
      <w:pPr>
        <w:spacing w:after="200"/>
      </w:pPr>
      <w:r>
        <w:t xml:space="preserve">Teachers may change subject area through additional certification or reassignment. These are modeled as small annual flows between subject-specific teaching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900"/>
      </w:tblGrid>
      <w:tr>
        <w:trPr>
          <w:tblHeader/>
        </w:trPr>
        <w:tc>
          <w:tcPr>
            <w:tcW w:type="dxa" w:w="28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From Subject</w:t>
            </w:r>
          </w:p>
        </w:tc>
        <w:tc>
          <w:tcPr>
            <w:tcW w:type="dxa" w:w="28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To Subject</w:t>
            </w:r>
          </w:p>
        </w:tc>
        <w:tc>
          <w:tcPr>
            <w:tcW w:type="dxa" w:w="39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ELEM</w:t>
            </w:r>
          </w:p>
        </w:tc>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SPED</w:t>
            </w:r>
          </w:p>
        </w:tc>
        <w:tc>
          <w:tcPr>
            <w:tcW w:type="dxa" w:w="39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Common pathway via SPED endorsement (~2%/yr)</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ELA</w:t>
            </w:r>
          </w:p>
        </w:tc>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SPED</w:t>
            </w:r>
          </w:p>
        </w:tc>
        <w:tc>
          <w:tcPr>
            <w:tcW w:type="dxa" w:w="39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Reading specialists moving to SPED (~1%/yr)</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Any Secondary</w:t>
            </w:r>
          </w:p>
        </w:tc>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ELEM</w:t>
            </w:r>
          </w:p>
        </w:tc>
        <w:tc>
          <w:tcPr>
            <w:tcW w:type="dxa" w:w="39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Secondary teachers moving to elementary (~0.5%/yr)</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STEM (Math)</w:t>
            </w:r>
          </w:p>
        </w:tc>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STEM (Science)</w:t>
            </w:r>
          </w:p>
        </w:tc>
        <w:tc>
          <w:tcPr>
            <w:tcW w:type="dxa" w:w="3900"/>
            <w:tcBorders>
              <w:top w:val="single" w:color="CCCCCC" w:sz="1"/>
              <w:left w:val="single" w:color="CCCCCC" w:sz="1"/>
              <w:bottom w:val="single" w:color="CCCCCC" w:sz="1"/>
              <w:right w:val="single" w:color="CCCCCC" w:sz="1"/>
            </w:tcBorders>
          </w:tcPr>
          <w:p>
            <w:r>
              <w:rPr>
                <w:b w:val="false"/>
                <w:bCs w:val="false"/>
                <w:color w:val="000000"/>
                <w:sz w:val="20"/>
                <w:szCs w:val="20"/>
              </w:rPr>
              <w:t xml:space="preserve">Within-STEM reassignment (~1%/yr)</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ELA</w:t>
            </w:r>
          </w:p>
        </w:tc>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LANG (ELL)</w:t>
            </w:r>
          </w:p>
        </w:tc>
        <w:tc>
          <w:tcPr>
            <w:tcW w:type="dxa" w:w="39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ELA teachers adding ESL endorsement (~1%/yr)</w:t>
            </w:r>
          </w:p>
        </w:tc>
      </w:tr>
    </w:tbl>
    <w:p>
      <w:pPr>
        <w:spacing w:before="200" w:after="200"/>
      </w:pPr>
      <w:r>
        <w:rPr>
          <w:b/>
          <w:bCs/>
        </w:rPr>
        <w:t xml:space="preserve">Implementation Note: </w:t>
      </w:r>
      <w:r>
        <w:t xml:space="preserve">Cross-subject flows are captured in the cₜˢ vector. For most applications, assume net cross-subject flows are small (&lt;3% of any subject's annual transitions). Sensitivity analysis should vary these rates.</w:t>
      </w:r>
    </w:p>
    <w:p>
      <w:pPr>
        <w:pStyle w:val="Heading2"/>
      </w:pPr>
      <w:r>
        <w:t xml:space="preserve">4.3 Administration/Coaching Allocation by Subject</w:t>
      </w:r>
    </w:p>
    <w:p>
      <w:pPr>
        <w:spacing w:after="200"/>
      </w:pPr>
      <w:r>
        <w:t xml:space="preserve">National data do not provide subject-specific counts of administrators and coaches. The following allocation weights (wₐₛ) distribute observed admin/coach counts to subjects based on qualitative evidence: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300"/>
      </w:tblGrid>
      <w:tr>
        <w:trPr>
          <w:tblHeader/>
        </w:trPr>
        <w:tc>
          <w:tcPr>
            <w:tcW w:type="dxa" w:w="20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Subject</w:t>
            </w:r>
          </w:p>
        </w:tc>
        <w:tc>
          <w:tcPr>
            <w:tcW w:type="dxa" w:w="16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Principal Weight</w:t>
            </w:r>
          </w:p>
        </w:tc>
        <w:tc>
          <w:tcPr>
            <w:tcW w:type="dxa" w:w="16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Coach Weight</w:t>
            </w:r>
          </w:p>
        </w:tc>
        <w:tc>
          <w:tcPr>
            <w:tcW w:type="dxa" w:w="43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Rationale</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ELEM</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0.45</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0.15</w:t>
            </w:r>
          </w:p>
        </w:tc>
        <w:tc>
          <w:tcPr>
            <w:tcW w:type="dxa" w:w="43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Most principals are former elementary teachers</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SPED</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0.05</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0.10</w:t>
            </w:r>
          </w:p>
        </w:tc>
        <w:tc>
          <w:tcPr>
            <w:tcW w:type="dxa" w:w="43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SPED coordinators; fewer principals</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ELA</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0.15</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0.40</w:t>
            </w:r>
          </w:p>
        </w:tc>
        <w:tc>
          <w:tcPr>
            <w:tcW w:type="dxa" w:w="43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Literacy coaches heavily drawn from ELA</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STEM</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0.12</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0.15</w:t>
            </w:r>
          </w:p>
        </w:tc>
        <w:tc>
          <w:tcPr>
            <w:tcW w:type="dxa" w:w="4300"/>
            <w:tcBorders>
              <w:top w:val="single" w:color="CCCCCC" w:sz="1"/>
              <w:left w:val="single" w:color="CCCCCC" w:sz="1"/>
              <w:bottom w:val="single" w:color="CCCCCC" w:sz="1"/>
              <w:right w:val="single" w:color="CCCCCC" w:sz="1"/>
            </w:tcBorders>
          </w:tcPr>
          <w:p>
            <w:r>
              <w:rPr>
                <w:b w:val="false"/>
                <w:bCs w:val="false"/>
                <w:color w:val="000000"/>
                <w:sz w:val="20"/>
                <w:szCs w:val="20"/>
              </w:rPr>
              <w:t xml:space="preserve">Math coaches; fewer principals than ELA/ELEM</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SOCSCI</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0.12</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0.08</w:t>
            </w:r>
          </w:p>
        </w:tc>
        <w:tc>
          <w:tcPr>
            <w:tcW w:type="dxa" w:w="43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Secondary principals often from social studies</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LANG</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0.03</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0.07</w:t>
            </w:r>
          </w:p>
        </w:tc>
        <w:tc>
          <w:tcPr>
            <w:tcW w:type="dxa" w:w="43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ELL coordinators; rare as principals</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OTHER</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0.08</w:t>
            </w:r>
          </w:p>
        </w:tc>
        <w:tc>
          <w:tcPr>
            <w:tcW w:type="dxa" w:w="16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0.05</w:t>
            </w:r>
          </w:p>
        </w:tc>
        <w:tc>
          <w:tcPr>
            <w:tcW w:type="dxa" w:w="4300"/>
            <w:tcBorders>
              <w:top w:val="single" w:color="CCCCCC" w:sz="1"/>
              <w:left w:val="single" w:color="CCCCCC" w:sz="1"/>
              <w:bottom w:val="single" w:color="CCCCCC" w:sz="1"/>
              <w:right w:val="single" w:color="CCCCCC" w:sz="1"/>
            </w:tcBorders>
          </w:tcPr>
          <w:p>
            <w:r>
              <w:rPr>
                <w:b w:val="false"/>
                <w:bCs w:val="false"/>
                <w:color w:val="000000"/>
                <w:sz w:val="20"/>
                <w:szCs w:val="20"/>
              </w:rPr>
              <w:t xml:space="preserve">PE teachers sometimes become APs; fewer coaches</w:t>
            </w:r>
          </w:p>
        </w:tc>
      </w:tr>
    </w:tbl>
    <w:p>
      <w:r>
        <w:br w:type="page"/>
      </w:r>
    </w:p>
    <w:p>
      <w:pPr>
        <w:pStyle w:val="Heading1"/>
      </w:pPr>
      <w:r>
        <w:t xml:space="preserve">5. Parameter Specification</w:t>
      </w:r>
    </w:p>
    <w:p>
      <w:pPr>
        <w:pStyle w:val="Heading2"/>
      </w:pPr>
      <w:r>
        <w:t xml:space="preserve">5.1 Baseline Attrition Rates (λₜ)</w:t>
      </w:r>
    </w:p>
    <w:p>
      <w:pPr>
        <w:spacing w:after="200"/>
      </w:pPr>
      <w:r>
        <w:t xml:space="preserve">The baseline annual leave rate for public school teachers is derived from TFS data and RAND panel studies. This represents the aggregate probability of leaving classroom teaching (to any destination) in a given year.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00"/>
      </w:tblGrid>
      <w:tr>
        <w:trPr>
          <w:tblHeader/>
        </w:trPr>
        <w:tc>
          <w:tcPr>
            <w:tcW w:type="dxa" w:w="24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Period</w:t>
            </w:r>
          </w:p>
        </w:tc>
        <w:tc>
          <w:tcPr>
            <w:tcW w:type="dxa" w:w="24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Baseline λₜ</w:t>
            </w:r>
          </w:p>
        </w:tc>
        <w:tc>
          <w:tcPr>
            <w:tcW w:type="dxa" w:w="47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Source / Rationale</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2010-2014</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0.060</w:t>
            </w:r>
          </w:p>
        </w:tc>
        <w:tc>
          <w:tcPr>
            <w:tcW w:type="dxa" w:w="4700"/>
            <w:tcBorders>
              <w:top w:val="single" w:color="CCCCCC" w:sz="1"/>
              <w:left w:val="single" w:color="CCCCCC" w:sz="1"/>
              <w:bottom w:val="single" w:color="CCCCCC" w:sz="1"/>
              <w:right w:val="single" w:color="CCCCCC" w:sz="1"/>
            </w:tcBorders>
          </w:tcPr>
          <w:p>
            <w:r>
              <w:rPr>
                <w:b w:val="false"/>
                <w:bCs w:val="false"/>
                <w:color w:val="000000"/>
                <w:sz w:val="20"/>
                <w:szCs w:val="20"/>
              </w:rPr>
              <w:t xml:space="preserve">Pre-recovery period; TFS 2008-09 showed ~6% leavers</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2015-2019</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0.070</w:t>
            </w:r>
          </w:p>
        </w:tc>
        <w:tc>
          <w:tcPr>
            <w:tcW w:type="dxa" w:w="47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Recovery period; TFS 2012-13 showed ~8% (includes movers); ~7% pure leavers</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2020-2021</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0.065</w:t>
            </w:r>
          </w:p>
        </w:tc>
        <w:tc>
          <w:tcPr>
            <w:tcW w:type="dxa" w:w="4700"/>
            <w:tcBorders>
              <w:top w:val="single" w:color="CCCCCC" w:sz="1"/>
              <w:left w:val="single" w:color="CCCCCC" w:sz="1"/>
              <w:bottom w:val="single" w:color="CCCCCC" w:sz="1"/>
              <w:right w:val="single" w:color="CCCCCC" w:sz="1"/>
            </w:tcBorders>
          </w:tcPr>
          <w:p>
            <w:r>
              <w:rPr>
                <w:b w:val="false"/>
                <w:bCs w:val="false"/>
                <w:color w:val="000000"/>
                <w:sz w:val="20"/>
                <w:szCs w:val="20"/>
              </w:rPr>
              <w:t xml:space="preserve">Early pandemic; some teachers stayed due to uncertainty</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2021-2022</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0.090</w:t>
            </w:r>
          </w:p>
        </w:tc>
        <w:tc>
          <w:tcPr>
            <w:tcW w:type="dxa" w:w="47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Pandemic peak attrition; RAND data shows ~10% turnover</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2023-2025</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0.075</w:t>
            </w:r>
          </w:p>
        </w:tc>
        <w:tc>
          <w:tcPr>
            <w:tcW w:type="dxa" w:w="4700"/>
            <w:tcBorders>
              <w:top w:val="single" w:color="CCCCCC" w:sz="1"/>
              <w:left w:val="single" w:color="CCCCCC" w:sz="1"/>
              <w:bottom w:val="single" w:color="CCCCCC" w:sz="1"/>
              <w:right w:val="single" w:color="CCCCCC" w:sz="1"/>
            </w:tcBorders>
          </w:tcPr>
          <w:p>
            <w:r>
              <w:rPr>
                <w:b w:val="false"/>
                <w:bCs w:val="false"/>
                <w:color w:val="000000"/>
                <w:sz w:val="20"/>
                <w:szCs w:val="20"/>
              </w:rPr>
              <w:t xml:space="preserve">Post-pandemic normalization; RAND 2024 shows ~7%</w:t>
            </w:r>
          </w:p>
        </w:tc>
      </w:tr>
    </w:tbl>
    <w:p>
      <w:pPr>
        <w:pStyle w:val="Heading2"/>
        <w:spacing w:before="300"/>
      </w:pPr>
      <w:r>
        <w:t xml:space="preserve">5.2 Subject-Specific Multipliers (mₛ)</w:t>
      </w:r>
    </w:p>
    <w:p>
      <w:pPr>
        <w:spacing w:after="200"/>
      </w:pPr>
      <w:r>
        <w:t xml:space="preserve">Research consistently shows differential attrition by subject. Apply multipliers to baseline rate: λₜ,ₛ = λₜ × mₛ, then normalize so weighted average equals λₜ.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300"/>
      </w:tblGrid>
      <w:tr>
        <w:trPr>
          <w:tblHeader/>
        </w:trPr>
        <w:tc>
          <w:tcPr>
            <w:tcW w:type="dxa" w:w="24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Subject</w:t>
            </w:r>
          </w:p>
        </w:tc>
        <w:tc>
          <w:tcPr>
            <w:tcW w:type="dxa" w:w="18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Multiplier mₛ</w:t>
            </w:r>
          </w:p>
        </w:tc>
        <w:tc>
          <w:tcPr>
            <w:tcW w:type="dxa" w:w="53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ELEM</w:t>
            </w:r>
          </w:p>
        </w:tc>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0.95</w:t>
            </w:r>
          </w:p>
        </w:tc>
        <w:tc>
          <w:tcPr>
            <w:tcW w:type="dxa" w:w="5300"/>
            <w:tcBorders>
              <w:top w:val="single" w:color="CCCCCC" w:sz="1"/>
              <w:left w:val="single" w:color="CCCCCC" w:sz="1"/>
              <w:bottom w:val="single" w:color="CCCCCC" w:sz="1"/>
              <w:right w:val="single" w:color="CCCCCC" w:sz="1"/>
            </w:tcBorders>
          </w:tcPr>
          <w:p>
            <w:r>
              <w:rPr>
                <w:b w:val="false"/>
                <w:bCs w:val="false"/>
                <w:color w:val="000000"/>
                <w:sz w:val="20"/>
                <w:szCs w:val="20"/>
              </w:rPr>
              <w:t xml:space="preserve">Below average attrition; stable demand, generalist flexibility</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SPED</w:t>
            </w:r>
          </w:p>
        </w:tc>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1.30</w:t>
            </w:r>
          </w:p>
        </w:tc>
        <w:tc>
          <w:tcPr>
            <w:tcW w:type="dxa" w:w="53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Highest attrition; paperwork burden, challenging conditions (Billingsley &amp; Bettini 2019)</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ELA</w:t>
            </w:r>
          </w:p>
        </w:tc>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0.95</w:t>
            </w:r>
          </w:p>
        </w:tc>
        <w:tc>
          <w:tcPr>
            <w:tcW w:type="dxa" w:w="5300"/>
            <w:tcBorders>
              <w:top w:val="single" w:color="CCCCCC" w:sz="1"/>
              <w:left w:val="single" w:color="CCCCCC" w:sz="1"/>
              <w:bottom w:val="single" w:color="CCCCCC" w:sz="1"/>
              <w:right w:val="single" w:color="CCCCCC" w:sz="1"/>
            </w:tcBorders>
          </w:tcPr>
          <w:p>
            <w:r>
              <w:rPr>
                <w:b w:val="false"/>
                <w:bCs w:val="false"/>
                <w:color w:val="000000"/>
                <w:sz w:val="20"/>
                <w:szCs w:val="20"/>
              </w:rPr>
              <w:t xml:space="preserve">Below average; large hiring pools, stable demand</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STEM</w:t>
            </w:r>
          </w:p>
        </w:tc>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1.20</w:t>
            </w:r>
          </w:p>
        </w:tc>
        <w:tc>
          <w:tcPr>
            <w:tcW w:type="dxa" w:w="5300"/>
            <w:tcBorders>
              <w:top w:val="single" w:color="CCCCCC" w:sz="1"/>
              <w:left w:val="single" w:color="CCCCCC" w:sz="1"/>
              <w:bottom w:val="single" w:color="CCCCCC" w:sz="1"/>
              <w:right w:val="single" w:color="CCCCCC" w:sz="1"/>
            </w:tcBorders>
          </w:tcPr>
          <w:p>
            <w:r>
              <w:rPr>
                <w:b w:val="false"/>
                <w:bCs w:val="false"/>
                <w:color w:val="000000"/>
                <w:sz w:val="20"/>
                <w:szCs w:val="20"/>
              </w:rPr>
              <w:t xml:space="preserve">Above average; outside salary competition (Ingersoll &amp; May 2012)</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SOCSCI</w:t>
            </w:r>
          </w:p>
        </w:tc>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0.90</w:t>
            </w:r>
          </w:p>
        </w:tc>
        <w:tc>
          <w:tcPr>
            <w:tcW w:type="dxa" w:w="5300"/>
            <w:tcBorders>
              <w:top w:val="single" w:color="CCCCCC" w:sz="1"/>
              <w:left w:val="single" w:color="CCCCCC" w:sz="1"/>
              <w:bottom w:val="single" w:color="CCCCCC" w:sz="1"/>
              <w:right w:val="single" w:color="CCCCCC" w:sz="1"/>
            </w:tcBorders>
          </w:tcPr>
          <w:p>
            <w:r>
              <w:rPr>
                <w:b w:val="false"/>
                <w:bCs w:val="false"/>
                <w:color w:val="000000"/>
                <w:sz w:val="20"/>
                <w:szCs w:val="20"/>
              </w:rPr>
              <w:t xml:space="preserve">Below average; limited outside options, stable demand</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LANG</w:t>
            </w:r>
          </w:p>
        </w:tc>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1.15</w:t>
            </w:r>
          </w:p>
        </w:tc>
        <w:tc>
          <w:tcPr>
            <w:tcW w:type="dxa" w:w="5300"/>
            <w:tcBorders>
              <w:top w:val="single" w:color="CCCCCC" w:sz="1"/>
              <w:left w:val="single" w:color="CCCCCC" w:sz="1"/>
              <w:bottom w:val="single" w:color="CCCCCC" w:sz="1"/>
              <w:right w:val="single" w:color="CCCCCC" w:sz="1"/>
            </w:tcBorders>
          </w:tcPr>
          <w:p>
            <w:r>
              <w:rPr>
                <w:b w:val="false"/>
                <w:bCs w:val="false"/>
                <w:color w:val="000000"/>
                <w:sz w:val="20"/>
                <w:szCs w:val="20"/>
              </w:rPr>
              <w:t xml:space="preserve">Above average; small programs vulnerable to cuts, isolation</w:t>
            </w:r>
          </w:p>
        </w:tc>
      </w:tr>
      <w:tr>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OTHER</w:t>
            </w:r>
          </w:p>
        </w:tc>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0.85</w:t>
            </w:r>
          </w:p>
        </w:tc>
        <w:tc>
          <w:tcPr>
            <w:tcW w:type="dxa" w:w="5300"/>
            <w:tcBorders>
              <w:top w:val="single" w:color="CCCCCC" w:sz="1"/>
              <w:left w:val="single" w:color="CCCCCC" w:sz="1"/>
              <w:bottom w:val="single" w:color="CCCCCC" w:sz="1"/>
              <w:right w:val="single" w:color="CCCCCC" w:sz="1"/>
            </w:tcBorders>
          </w:tcPr>
          <w:p>
            <w:r>
              <w:rPr>
                <w:b w:val="false"/>
                <w:bCs w:val="false"/>
                <w:color w:val="000000"/>
                <w:sz w:val="20"/>
                <w:szCs w:val="20"/>
              </w:rPr>
              <w:t xml:space="preserve">Below average; arts/PE teachers often committed to subject</w:t>
            </w:r>
          </w:p>
        </w:tc>
      </w:tr>
    </w:tbl>
    <w:p>
      <w:r>
        <w:br w:type="page"/>
      </w:r>
    </w:p>
    <w:p>
      <w:pPr>
        <w:pStyle w:val="Heading2"/>
      </w:pPr>
      <w:r>
        <w:t xml:space="preserve">5.3 Experience-Specific Attrition Modifiers (eⁱ)</w:t>
      </w:r>
    </w:p>
    <w:p>
      <w:pPr>
        <w:spacing w:after="200"/>
      </w:pPr>
      <w:r>
        <w:t xml:space="preserve">Within each subject, attrition varies by experience band. Apply modifiers: λₜ,ₛⁱ = λₜ,ₛ × eⁱ, normalized so weighted average (by band size) equals λₜ,ₛ.</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300"/>
      </w:tblGrid>
      <w:tr>
        <w:trPr>
          <w:tblHeader/>
        </w:trPr>
        <w:tc>
          <w:tcPr>
            <w:tcW w:type="dxa" w:w="32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Experience Band</w:t>
            </w:r>
          </w:p>
        </w:tc>
        <w:tc>
          <w:tcPr>
            <w:tcW w:type="dxa" w:w="20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Modifier eⁱ</w:t>
            </w:r>
          </w:p>
        </w:tc>
        <w:tc>
          <w:tcPr>
            <w:tcW w:type="dxa" w:w="43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Evidence</w:t>
            </w:r>
          </w:p>
        </w:tc>
      </w:tr>
      <w:tr>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Tₛ⁰ (0-2 years)</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1.60</w:t>
            </w:r>
          </w:p>
        </w:tc>
        <w:tc>
          <w:tcPr>
            <w:tcW w:type="dxa" w:w="4300"/>
            <w:tcBorders>
              <w:top w:val="single" w:color="CCCCCC" w:sz="1"/>
              <w:left w:val="single" w:color="CCCCCC" w:sz="1"/>
              <w:bottom w:val="single" w:color="CCCCCC" w:sz="1"/>
              <w:right w:val="single" w:color="CCCCCC" w:sz="1"/>
            </w:tcBorders>
          </w:tcPr>
          <w:p>
            <w:r>
              <w:rPr>
                <w:b w:val="false"/>
                <w:bCs w:val="false"/>
                <w:color w:val="000000"/>
                <w:sz w:val="20"/>
                <w:szCs w:val="20"/>
              </w:rPr>
              <w:t xml:space="preserve">BTLS: ~17% leave by year 3; TFS shows highest early-career attrition</w:t>
            </w:r>
          </w:p>
        </w:tc>
      </w:tr>
      <w:tr>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Tₛ¹ (3-9 years)</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0.85</w:t>
            </w:r>
          </w:p>
        </w:tc>
        <w:tc>
          <w:tcPr>
            <w:tcW w:type="dxa" w:w="43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Stabilized; past initial shock, not yet retirement-eligible</w:t>
            </w:r>
          </w:p>
        </w:tc>
      </w:tr>
      <w:tr>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Tₛ² (10+ years)</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0.90</w:t>
            </w:r>
          </w:p>
        </w:tc>
        <w:tc>
          <w:tcPr>
            <w:tcW w:type="dxa" w:w="43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mid-band, rising at 25+ years due to retirement eligibility</w:t>
            </w:r>
          </w:p>
        </w:tc>
      </w:tr>
    </w:tbl>
    <w:p>
      <w:pPr>
        <w:pStyle w:val="Heading2"/>
        <w:spacing w:before="300"/>
      </w:pPr>
      <w:r>
        <w:t xml:space="preserve">5.4 Destination Split Parameters</w:t>
      </w:r>
    </w:p>
    <w:p>
      <w:pPr>
        <w:spacing w:after="200"/>
      </w:pPr>
      <w:r>
        <w:t xml:space="preserve">When teachers leave classroom teaching, they go to different destinations. TFS 2021-22 shows ~12% of leavers exit education entirely.</w:t>
      </w:r>
    </w:p>
    <w:p>
      <w:pPr>
        <w:pStyle w:val="ListParagraph"/>
        <w:numPr>
          <w:ilvl w:val="0"/>
          <w:numId w:val="2"/>
        </w:numPr>
      </w:pPr>
      <w:r>
        <w:rPr>
          <w:b/>
          <w:bCs/>
        </w:rPr>
        <w:t xml:space="preserve">δ (License abandon rate): </w:t>
      </w:r>
      <w:r>
        <w:t xml:space="preserve">Proportion of leavers who fully exit vs. retain license. Estimate: 0.60 (60% retain license → Reserve pool or Other Ed)</w:t>
      </w:r>
    </w:p>
    <w:p>
      <w:pPr>
        <w:pStyle w:val="ListParagraph"/>
        <w:numPr>
          <w:ilvl w:val="0"/>
          <w:numId w:val="2"/>
        </w:numPr>
      </w:pPr>
      <w:r>
        <w:rPr>
          <w:b/>
          <w:bCs/>
        </w:rPr>
        <w:t xml:space="preserve">ρ (Full exit rate among license abandoners): </w:t>
      </w:r>
      <w:r>
        <w:t xml:space="preserve">Proportion leaving education entirely. Estimate: 0.30 (30% of the 40% who abandon license leave education)</w:t>
      </w:r>
    </w:p>
    <w:p>
      <w:pPr>
        <w:pStyle w:val="ListParagraph"/>
        <w:numPr>
          <w:ilvl w:val="0"/>
          <w:numId w:val="2"/>
        </w:numPr>
        <w:spacing w:after="200"/>
      </w:pPr>
      <w:r>
        <w:rPr>
          <w:b/>
          <w:bCs/>
        </w:rPr>
        <w:t xml:space="preserve">Retirement adjustment: </w:t>
      </w:r>
      <w:r>
        <w:t xml:space="preserve">For Tₛ² teachers with 25+ years, increase ρ to 0.80 to reflect retirement</w:t>
      </w:r>
    </w:p>
    <w:p>
      <w:pPr>
        <w:pStyle w:val="Heading2"/>
      </w:pPr>
      <w:r>
        <w:t xml:space="preserve">5.5 Re-Entry Parameters</w:t>
      </w:r>
    </w:p>
    <w:p>
      <w:pPr>
        <w:spacing w:after="200"/>
      </w:pPr>
      <w:r>
        <w:t xml:space="preserve">Re-entrants constitute a significant portion of hires. TFS tracks "returners" - teachers who left and came back.</w:t>
      </w:r>
    </w:p>
    <w:p>
      <w:pPr>
        <w:pStyle w:val="ListParagraph"/>
        <w:numPr>
          <w:ilvl w:val="0"/>
          <w:numId w:val="2"/>
        </w:numPr>
      </w:pPr>
      <w:r>
        <w:rPr>
          <w:b/>
          <w:bCs/>
        </w:rPr>
        <w:t xml:space="preserve">ηₛ (Reserve pool re-entry rate): </w:t>
      </w:r>
      <w:r>
        <w:t xml:space="preserve">Annual probability of returning to teaching from Rₛ. Estimate: 0.08-0.12 depending on labor market</w:t>
      </w:r>
    </w:p>
    <w:p>
      <w:pPr>
        <w:pStyle w:val="ListParagraph"/>
        <w:numPr>
          <w:ilvl w:val="0"/>
          <w:numId w:val="2"/>
        </w:numPr>
      </w:pPr>
      <w:r>
        <w:rPr>
          <w:b/>
          <w:bCs/>
        </w:rPr>
        <w:t xml:space="preserve">η'ₛ (Other-ed return rate): </w:t>
      </w:r>
      <w:r>
        <w:t xml:space="preserve">Annual probability of returning from Eₒₜₕₑᵣ. Estimate: 0.02-0.04</w:t>
      </w:r>
    </w:p>
    <w:p>
      <w:pPr>
        <w:pStyle w:val="ListParagraph"/>
        <w:numPr>
          <w:ilvl w:val="0"/>
          <w:numId w:val="2"/>
        </w:numPr>
        <w:spacing w:after="200"/>
      </w:pPr>
      <w:r>
        <w:rPr>
          <w:b/>
          <w:bCs/>
        </w:rPr>
        <w:t xml:space="preserve">Experience credit: </w:t>
      </w:r>
      <w:r>
        <w:t xml:space="preserve">Re-entrants with &lt;5 years since teaching return to Tₛ¹; others return to Tₛ⁰</w:t>
      </w:r>
    </w:p>
    <w:p>
      <w:r>
        <w:br w:type="page"/>
      </w:r>
    </w:p>
    <w:p>
      <w:pPr>
        <w:pStyle w:val="Heading1"/>
      </w:pPr>
      <w:r>
        <w:t xml:space="preserve">6. Data Sources &amp; Table References</w:t>
      </w:r>
    </w:p>
    <w:p>
      <w:pPr>
        <w:pStyle w:val="Heading2"/>
      </w:pPr>
      <w:r>
        <w:t xml:space="preserve">6.1 Teacher Stock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200"/>
      </w:tblGrid>
      <w:tr>
        <w:trPr>
          <w:tblHeader/>
        </w:trPr>
        <w:tc>
          <w:tcPr>
            <w:tcW w:type="dxa" w:w="28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Variable</w:t>
            </w:r>
          </w:p>
        </w:tc>
        <w:tc>
          <w:tcPr>
            <w:tcW w:type="dxa" w:w="3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Source</w:t>
            </w:r>
          </w:p>
        </w:tc>
        <w:tc>
          <w:tcPr>
            <w:tcW w:type="dxa" w:w="32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Specific Table</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teachers (Tₜ)</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NCES Digest of Education Statistics</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Table 208.20, 209.10</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 by subject field</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NTPS Public School Teacher File</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Table ntps2021_flt03_t1n</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 by experience band</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NTPS Public School Teacher File</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Table ntps2021_sflt03_t1s</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Admin/coordinator counts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NCES Digest of Education Statistics</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Table 213.10, 213.20</w:t>
            </w:r>
          </w:p>
        </w:tc>
      </w:tr>
    </w:tbl>
    <w:p>
      <w:pPr>
        <w:pStyle w:val="Heading2"/>
        <w:spacing w:before="300"/>
      </w:pPr>
      <w:r>
        <w:t xml:space="preserve">6.2 Flow Data (Attrition &amp; Mobility)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200"/>
      </w:tblGrid>
      <w:tr>
        <w:trPr>
          <w:tblHeader/>
        </w:trPr>
        <w:tc>
          <w:tcPr>
            <w:tcW w:type="dxa" w:w="28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Variable</w:t>
            </w:r>
          </w:p>
        </w:tc>
        <w:tc>
          <w:tcPr>
            <w:tcW w:type="dxa" w:w="3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Source</w:t>
            </w:r>
          </w:p>
        </w:tc>
        <w:tc>
          <w:tcPr>
            <w:tcW w:type="dxa" w:w="32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Specific Table / Report</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Stay/Move/Leave rates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Teacher Follow-up Survey (TFS)</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NCES 2024-039, Table A-1</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Attrition by experience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TFS / BTLS</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NCES 2015-337, Table 4</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Destination of leavers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TFS Former Teacher File</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NCES 2024-039, Table A-5</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Time-varying turnover</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RAND American School District Panel</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RR-A956-29 (2025)</w:t>
            </w:r>
          </w:p>
        </w:tc>
      </w:tr>
    </w:tbl>
    <w:p>
      <w:pPr>
        <w:pStyle w:val="Heading2"/>
        <w:spacing w:before="300"/>
      </w:pPr>
      <w:r>
        <w:t xml:space="preserve">6.3 Pipeline Data (Preparation &amp; Entry)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200"/>
      </w:tblGrid>
      <w:tr>
        <w:trPr>
          <w:tblHeader/>
        </w:trPr>
        <w:tc>
          <w:tcPr>
            <w:tcW w:type="dxa" w:w="28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Variable</w:t>
            </w:r>
          </w:p>
        </w:tc>
        <w:tc>
          <w:tcPr>
            <w:tcW w:type="dxa" w:w="3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Source</w:t>
            </w:r>
          </w:p>
        </w:tc>
        <w:tc>
          <w:tcPr>
            <w:tcW w:type="dxa" w:w="32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Access</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Program enrollment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II HEA Reports</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title2.ed.gov (State Report Cards)</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Program completers by subject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II HEA Reports</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Secretary's Annual Report, Supplemental Tables</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Licensure pass rates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II + NCTQ analysis</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NCTQ Teacher Prep Review (2021)</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Degrees by CIP code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IPEDS Completions</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nces.ed.gov/ipeds (CIP 13.xxxx)</w:t>
            </w:r>
          </w:p>
        </w:tc>
      </w:tr>
    </w:tbl>
    <w:p>
      <w:r>
        <w:br w:type="page"/>
      </w:r>
    </w:p>
    <w:p>
      <w:pPr>
        <w:pStyle w:val="Heading1"/>
      </w:pPr>
      <w:r>
        <w:t xml:space="preserve">7. Calibration Methodology</w:t>
      </w:r>
    </w:p>
    <w:p>
      <w:pPr>
        <w:pStyle w:val="Heading2"/>
      </w:pPr>
      <w:r>
        <w:t xml:space="preserve">7.1 Anchor Years</w:t>
      </w:r>
    </w:p>
    <w:p>
      <w:pPr>
        <w:spacing w:after="200"/>
      </w:pPr>
      <w:r>
        <w:t xml:space="preserve">Calibrate to SASS/NTPS survey years when teacher counts by subject and experience are directly observed:</w:t>
      </w:r>
    </w:p>
    <w:p>
      <w:pPr>
        <w:pStyle w:val="ListParagraph"/>
        <w:numPr>
          <w:ilvl w:val="0"/>
          <w:numId w:val="2"/>
        </w:numPr>
      </w:pPr>
      <w:r>
        <w:rPr>
          <w:b/>
          <w:bCs/>
        </w:rPr>
        <w:t xml:space="preserve">2011-12 (SASS): </w:t>
      </w:r>
      <w:r>
        <w:t xml:space="preserve">Primary baseline. Pre-Common Core, post-recession recovery beginning.</w:t>
      </w:r>
    </w:p>
    <w:p>
      <w:pPr>
        <w:pStyle w:val="ListParagraph"/>
        <w:numPr>
          <w:ilvl w:val="0"/>
          <w:numId w:val="2"/>
        </w:numPr>
      </w:pPr>
      <w:r>
        <w:rPr>
          <w:b/>
          <w:bCs/>
        </w:rPr>
        <w:t xml:space="preserve">2015-16 (NTPS): </w:t>
      </w:r>
      <w:r>
        <w:t xml:space="preserve">Mid-decade checkpoint.</w:t>
      </w:r>
    </w:p>
    <w:p>
      <w:pPr>
        <w:pStyle w:val="ListParagraph"/>
        <w:numPr>
          <w:ilvl w:val="0"/>
          <w:numId w:val="2"/>
        </w:numPr>
      </w:pPr>
      <w:r>
        <w:rPr>
          <w:b/>
          <w:bCs/>
        </w:rPr>
        <w:t xml:space="preserve">2017-18 (NTPS): </w:t>
      </w:r>
      <w:r>
        <w:t xml:space="preserve">Pre-pandemic benchmark. Use as primary calibration target.</w:t>
      </w:r>
    </w:p>
    <w:p>
      <w:pPr>
        <w:pStyle w:val="ListParagraph"/>
        <w:numPr>
          <w:ilvl w:val="0"/>
          <w:numId w:val="2"/>
        </w:numPr>
        <w:spacing w:after="200"/>
      </w:pPr>
      <w:r>
        <w:rPr>
          <w:b/>
          <w:bCs/>
        </w:rPr>
        <w:t xml:space="preserve">2020-21 (NTPS): </w:t>
      </w:r>
      <w:r>
        <w:t xml:space="preserve">Pandemic year. Use for validation with wider tolerance (±5%).</w:t>
      </w:r>
    </w:p>
    <w:p>
      <w:pPr>
        <w:pStyle w:val="Heading2"/>
      </w:pPr>
      <w:r>
        <w:t xml:space="preserve">7.2 Hire Rate Calibration Algorithm</w:t>
      </w:r>
    </w:p>
    <w:p>
      <w:pPr>
        <w:spacing w:after="200"/>
      </w:pPr>
      <w:r>
        <w:t xml:space="preserve">For each subject s and interval [t, t+Δ] between anchor years:</w:t>
      </w:r>
    </w:p>
    <w:p>
      <w:pPr>
        <w:spacing w:after="100"/>
      </w:pPr>
      <w:r>
        <w:rPr>
          <w:b/>
          <w:bCs/>
        </w:rPr>
        <w:t xml:space="preserve">Step 1: </w:t>
      </w:r>
      <w:r>
        <w:t xml:space="preserve">Compute observed stock change: ΔN = Nₜ₊Δ,ₛ - Nₜ,ₛ</w:t>
      </w:r>
    </w:p>
    <w:p>
      <w:pPr>
        <w:spacing w:after="100"/>
      </w:pPr>
      <w:r>
        <w:rPr>
          <w:b/>
          <w:bCs/>
        </w:rPr>
        <w:t xml:space="preserve">Step 2: </w:t>
      </w:r>
      <w:r>
        <w:t xml:space="preserve">Compute expected survivors: Survivors = Nₜ,ₛ × (1 - λ̄ₜ:ₜ₊Δ,ₛ)^Δ</w:t>
      </w:r>
    </w:p>
    <w:p>
      <w:pPr>
        <w:spacing w:after="100"/>
      </w:pPr>
      <w:r>
        <w:rPr>
          <w:b/>
          <w:bCs/>
        </w:rPr>
        <w:t xml:space="preserve">Step 3: </w:t>
      </w:r>
      <w:r>
        <w:t xml:space="preserve">Compute implied new entrants needed: Entrants = Nₜ₊Δ,ₛ - Survivors</w:t>
      </w:r>
    </w:p>
    <w:p>
      <w:pPr>
        <w:spacing w:after="100"/>
      </w:pPr>
      <w:r>
        <w:rPr>
          <w:b/>
          <w:bCs/>
        </w:rPr>
        <w:t xml:space="preserve">Step 4: </w:t>
      </w:r>
      <w:r>
        <w:t xml:space="preserve">Sum Title II completers over interval: Completers = Σₖ Cₜ₊ₖ,ₛ × PassRateₜ₊ₖ,ₛ</w:t>
      </w:r>
    </w:p>
    <w:p>
      <w:pPr>
        <w:spacing w:after="100"/>
      </w:pPr>
      <w:r>
        <w:rPr>
          <w:b/>
          <w:bCs/>
        </w:rPr>
        <w:t xml:space="preserve">Step 5: </w:t>
      </w:r>
      <w:r>
        <w:t xml:space="preserve">Compute hire rate: hₛ = Entrants / Completers</w:t>
      </w:r>
    </w:p>
    <w:p>
      <w:pPr>
        <w:spacing w:after="200"/>
      </w:pPr>
      <w:r>
        <w:rPr>
          <w:b/>
          <w:bCs/>
        </w:rPr>
        <w:t xml:space="preserve">Step 6: </w:t>
      </w:r>
      <w:r>
        <w:t xml:space="preserve">If hₛ &gt; 1.0, flag for re-entry adjustment (implies re-entrants exceed program completers in filling positions)</w:t>
      </w:r>
    </w:p>
    <w:p>
      <w:pPr>
        <w:pStyle w:val="Heading2"/>
      </w:pPr>
      <w:r>
        <w:t xml:space="preserve">7.3 Re-Entry Rate Calibration</w:t>
      </w:r>
    </w:p>
    <w:p>
      <w:pPr>
        <w:spacing w:after="200"/>
      </w:pPr>
      <w:r>
        <w:t xml:space="preserve">When calibrated hₛ &gt; 1.0, solve for re-entry rate ηₛ that reconciles the gap:</w:t>
      </w:r>
    </w:p>
    <w:p>
      <w:pPr>
        <w:spacing w:after="100"/>
      </w:pPr>
      <w:r>
        <w:t xml:space="preserve">Entrants = (hₛ* × Completers) + (ηₛ × Rₜ,ₛ)</w:t>
      </w:r>
    </w:p>
    <w:p>
      <w:pPr>
        <w:spacing w:after="200"/>
      </w:pPr>
      <w:r>
        <w:t xml:space="preserve">where hₛ* is capped at 0.85 (not all completers enter public K-12), and ηₛ adjusts to close the gap. This ensures the Reserve pool (Rₛ) plays its intended role.</w:t>
      </w:r>
    </w:p>
    <w:p>
      <w:pPr>
        <w:pStyle w:val="Heading2"/>
      </w:pPr>
      <w:r>
        <w:t xml:space="preserve">7.4 Validation Metrics</w:t>
      </w:r>
    </w:p>
    <w:p>
      <w:pPr>
        <w:pStyle w:val="ListParagraph"/>
        <w:numPr>
          <w:ilvl w:val="0"/>
          <w:numId w:val="3"/>
        </w:numPr>
      </w:pPr>
      <w:r>
        <w:rPr>
          <w:b/>
          <w:bCs/>
        </w:rPr>
        <w:t xml:space="preserve">Stock match: </w:t>
      </w:r>
      <w:r>
        <w:t xml:space="preserve">Simulated Σᵢ Tₛⁱ should match observed Nₜ,ₛ within ±3% at 2017-18, ±5% at 2020-21</w:t>
      </w:r>
    </w:p>
    <w:p>
      <w:pPr>
        <w:pStyle w:val="ListParagraph"/>
        <w:numPr>
          <w:ilvl w:val="0"/>
          <w:numId w:val="3"/>
        </w:numPr>
      </w:pPr>
      <w:r>
        <w:rPr>
          <w:b/>
          <w:bCs/>
        </w:rPr>
        <w:t xml:space="preserve">Experience distribution: </w:t>
      </w:r>
      <w:r>
        <w:t xml:space="preserve">Simulated shares of Tₛ⁰, Tₛ¹, Tₛ² should match NTPS reported distribution within ±2pp</w:t>
      </w:r>
    </w:p>
    <w:p>
      <w:pPr>
        <w:pStyle w:val="ListParagraph"/>
        <w:numPr>
          <w:ilvl w:val="0"/>
          <w:numId w:val="3"/>
        </w:numPr>
      </w:pPr>
      <w:r>
        <w:rPr>
          <w:b/>
          <w:bCs/>
        </w:rPr>
        <w:t xml:space="preserve">Admin counts: </w:t>
      </w:r>
      <w:r>
        <w:t xml:space="preserve">Simulated Σₛ Aₛ should match Digest 213.10 within ±5%</w:t>
      </w:r>
    </w:p>
    <w:p>
      <w:pPr>
        <w:pStyle w:val="ListParagraph"/>
        <w:numPr>
          <w:ilvl w:val="0"/>
          <w:numId w:val="3"/>
        </w:numPr>
      </w:pPr>
      <w:r>
        <w:rPr>
          <w:b/>
          <w:bCs/>
        </w:rPr>
        <w:t xml:space="preserve">Attrition rates: </w:t>
      </w:r>
      <w:r>
        <w:t xml:space="preserve">Implied overall stay/leave rates should match TFS within reported confidence intervals</w:t>
      </w:r>
    </w:p>
    <w:p>
      <w:pPr>
        <w:pStyle w:val="ListParagraph"/>
        <w:numPr>
          <w:ilvl w:val="0"/>
          <w:numId w:val="3"/>
        </w:numPr>
        <w:spacing w:after="200"/>
      </w:pPr>
      <w:r>
        <w:rPr>
          <w:b/>
          <w:bCs/>
        </w:rPr>
        <w:t xml:space="preserve">New hire composition: </w:t>
      </w:r>
      <w:r>
        <w:t xml:space="preserve">If state data available, compare simulated new hires by subject to actual hiring patterns</w:t>
      </w:r>
    </w:p>
    <w:p>
      <w:r>
        <w:br w:type="page"/>
      </w:r>
    </w:p>
    <w:p>
      <w:pPr>
        <w:pStyle w:val="Heading1"/>
      </w:pPr>
      <w:r>
        <w:t xml:space="preserve">8. Sensitivity Analysis Framework</w:t>
      </w:r>
    </w:p>
    <w:p>
      <w:pPr>
        <w:spacing w:after="200"/>
      </w:pPr>
      <w:r>
        <w:t xml:space="preserve">Given parameter uncertainty, conduct sensitivity analysis on key assumptions:</w:t>
      </w:r>
    </w:p>
    <w:p>
      <w:pPr>
        <w:pStyle w:val="Heading2"/>
      </w:pPr>
      <w:r>
        <w:t xml:space="preserve">8.1 Parameters to Vary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900"/>
      </w:tblGrid>
      <w:tr>
        <w:trPr>
          <w:tblHeader/>
        </w:trPr>
        <w:tc>
          <w:tcPr>
            <w:tcW w:type="dxa" w:w="28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Parameter</w:t>
            </w:r>
          </w:p>
        </w:tc>
        <w:tc>
          <w:tcPr>
            <w:tcW w:type="dxa" w:w="24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Base Value</w:t>
            </w:r>
          </w:p>
        </w:tc>
        <w:tc>
          <w:tcPr>
            <w:tcW w:type="dxa" w:w="24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Range to Test</w:t>
            </w:r>
          </w:p>
        </w:tc>
        <w:tc>
          <w:tcPr>
            <w:tcW w:type="dxa" w:w="19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Priority</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STEM attrition multiplier</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1.20</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[1.05, 1.35]</w:t>
            </w:r>
          </w:p>
        </w:tc>
        <w:tc>
          <w:tcPr>
            <w:tcW w:type="dxa" w:w="19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SPED attrition multiplier</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1.30</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[1.15, 1.50]</w:t>
            </w:r>
          </w:p>
        </w:tc>
        <w:tc>
          <w:tcPr>
            <w:tcW w:type="dxa" w:w="19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Early-career modifier</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1.60</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[1.40, 1.80]</w:t>
            </w:r>
          </w:p>
        </w:tc>
        <w:tc>
          <w:tcPr>
            <w:tcW w:type="dxa" w:w="19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Re-entry rate (ηₛ)</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0.10</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[0.05, 0.15]</w:t>
            </w:r>
          </w:p>
        </w:tc>
        <w:tc>
          <w:tcPr>
            <w:tcW w:type="dxa" w:w="19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Cross-subject mobility</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0.01</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[0.005, 0.03]</w:t>
            </w:r>
          </w:p>
        </w:tc>
        <w:tc>
          <w:tcPr>
            <w:tcW w:type="dxa" w:w="19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Post-2022 baseline λ</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0.075</w:t>
            </w:r>
          </w:p>
        </w:tc>
        <w:tc>
          <w:tcPr>
            <w:tcW w:type="dxa" w:w="2400"/>
            <w:tcBorders>
              <w:top w:val="single" w:color="CCCCCC" w:sz="1"/>
              <w:left w:val="single" w:color="CCCCCC" w:sz="1"/>
              <w:bottom w:val="single" w:color="CCCCCC" w:sz="1"/>
              <w:right w:val="single" w:color="CCCCCC" w:sz="1"/>
            </w:tcBorders>
          </w:tcPr>
          <w:p>
            <w:r>
              <w:rPr>
                <w:b w:val="false"/>
                <w:bCs w:val="false"/>
                <w:color w:val="000000"/>
                <w:sz w:val="20"/>
                <w:szCs w:val="20"/>
              </w:rPr>
              <w:t xml:space="preserve">[0.065, 0.090]</w:t>
            </w:r>
          </w:p>
        </w:tc>
        <w:tc>
          <w:tcPr>
            <w:tcW w:type="dxa" w:w="19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w:t>
            </w:r>
          </w:p>
        </w:tc>
      </w:tr>
    </w:tbl>
    <w:p>
      <w:pPr>
        <w:pStyle w:val="Heading2"/>
        <w:spacing w:before="300"/>
      </w:pPr>
      <w:r>
        <w:t xml:space="preserve">8.2 Scenario Definitions</w:t>
      </w:r>
    </w:p>
    <w:p>
      <w:pPr>
        <w:pStyle w:val="ListParagraph"/>
        <w:numPr>
          <w:ilvl w:val="0"/>
          <w:numId w:val="2"/>
        </w:numPr>
      </w:pPr>
      <w:r>
        <w:rPr>
          <w:b/>
          <w:bCs/>
        </w:rPr>
        <w:t xml:space="preserve">Baseline: </w:t>
      </w:r>
      <w:r>
        <w:t xml:space="preserve">All parameters at central estimates; attrition returns to 7% by 2025</w:t>
      </w:r>
    </w:p>
    <w:p>
      <w:pPr>
        <w:pStyle w:val="ListParagraph"/>
        <w:numPr>
          <w:ilvl w:val="0"/>
          <w:numId w:val="2"/>
        </w:numPr>
      </w:pPr>
      <w:r>
        <w:rPr>
          <w:b/>
          <w:bCs/>
        </w:rPr>
        <w:t xml:space="preserve">High attrition: </w:t>
      </w:r>
      <w:r>
        <w:t xml:space="preserve">Baseline λ stays at 8.5%; multipliers at upper bounds; re-entry rate at lower bound</w:t>
      </w:r>
    </w:p>
    <w:p>
      <w:pPr>
        <w:pStyle w:val="ListParagraph"/>
        <w:numPr>
          <w:ilvl w:val="0"/>
          <w:numId w:val="2"/>
        </w:numPr>
      </w:pPr>
      <w:r>
        <w:rPr>
          <w:b/>
          <w:bCs/>
        </w:rPr>
        <w:t xml:space="preserve">Low attrition: </w:t>
      </w:r>
      <w:r>
        <w:t xml:space="preserve">Baseline λ falls to 6.5%; multipliers at lower bounds; re-entry rate at upper bound</w:t>
      </w:r>
    </w:p>
    <w:p>
      <w:pPr>
        <w:pStyle w:val="ListParagraph"/>
        <w:numPr>
          <w:ilvl w:val="0"/>
          <w:numId w:val="2"/>
        </w:numPr>
      </w:pPr>
      <w:r>
        <w:rPr>
          <w:b/>
          <w:bCs/>
        </w:rPr>
        <w:t xml:space="preserve">STEM crisis: </w:t>
      </w:r>
      <w:r>
        <w:t xml:space="preserve">STEM multiplier at 1.35; tech sector wage growth continues; STEM completers decline 10%</w:t>
      </w:r>
    </w:p>
    <w:p>
      <w:pPr>
        <w:pStyle w:val="ListParagraph"/>
        <w:numPr>
          <w:ilvl w:val="0"/>
          <w:numId w:val="2"/>
        </w:numPr>
        <w:spacing w:after="200"/>
      </w:pPr>
      <w:r>
        <w:rPr>
          <w:b/>
          <w:bCs/>
        </w:rPr>
        <w:t xml:space="preserve">SPED improvement: </w:t>
      </w:r>
      <w:r>
        <w:t xml:space="preserve">SPED multiplier falls to 1.15 (policy intervention); SPED completers increase 15%</w:t>
      </w:r>
    </w:p>
    <w:p>
      <w:r>
        <w:br w:type="page"/>
      </w:r>
    </w:p>
    <w:p>
      <w:pPr>
        <w:pStyle w:val="Heading1"/>
      </w:pPr>
      <w:r>
        <w:t xml:space="preserve">9. Implementation Checklist</w:t>
      </w:r>
    </w:p>
    <w:p>
      <w:pPr>
        <w:pStyle w:val="Heading2"/>
      </w:pPr>
      <w:r>
        <w:t xml:space="preserve">9.1 Data Preparation</w:t>
      </w:r>
    </w:p>
    <w:p>
      <w:pPr>
        <w:pStyle w:val="ListParagraph"/>
        <w:numPr>
          <w:ilvl w:val="0"/>
          <w:numId w:val="4"/>
        </w:numPr>
      </w:pPr>
      <w:r>
        <w:t xml:space="preserve">Download NCES Digest Tables 208.20, 209.10, 209.60, 213.10, 213.20 for 2010-2024</w:t>
      </w:r>
    </w:p>
    <w:p>
      <w:pPr>
        <w:pStyle w:val="ListParagraph"/>
        <w:numPr>
          <w:ilvl w:val="0"/>
          <w:numId w:val="4"/>
        </w:numPr>
      </w:pPr>
      <w:r>
        <w:t xml:space="preserve">Download NTPS summary tables for subject distribution (2015-16, 2017-18, 2020-21)</w:t>
      </w:r>
    </w:p>
    <w:p>
      <w:pPr>
        <w:pStyle w:val="ListParagraph"/>
        <w:numPr>
          <w:ilvl w:val="0"/>
          <w:numId w:val="4"/>
        </w:numPr>
      </w:pPr>
      <w:r>
        <w:t xml:space="preserve">Download Title II national data files for enrollment, completers, pass rates (2010-2023)</w:t>
      </w:r>
    </w:p>
    <w:p>
      <w:pPr>
        <w:pStyle w:val="ListParagraph"/>
        <w:numPr>
          <w:ilvl w:val="0"/>
          <w:numId w:val="4"/>
        </w:numPr>
      </w:pPr>
      <w:r>
        <w:t xml:space="preserve">Construct Title II → 7-subject crosswalk mapping</w:t>
      </w:r>
    </w:p>
    <w:p>
      <w:pPr>
        <w:pStyle w:val="ListParagraph"/>
        <w:numPr>
          <w:ilvl w:val="0"/>
          <w:numId w:val="4"/>
        </w:numPr>
        <w:spacing w:after="200"/>
      </w:pPr>
      <w:r>
        <w:t xml:space="preserve">Compute Nₜ,ₛ = Tₜ × (% in subject s) for anchor years</w:t>
      </w:r>
    </w:p>
    <w:p>
      <w:pPr>
        <w:pStyle w:val="Heading2"/>
      </w:pPr>
      <w:r>
        <w:t xml:space="preserve">9.2 Model Construction</w:t>
      </w:r>
    </w:p>
    <w:p>
      <w:pPr>
        <w:pStyle w:val="ListParagraph"/>
        <w:numPr>
          <w:ilvl w:val="0"/>
          <w:numId w:val="5"/>
        </w:numPr>
      </w:pPr>
      <w:r>
        <w:t xml:space="preserve">Define 11-state vector for each of 7 subjects (77 total state variables)</w:t>
      </w:r>
    </w:p>
    <w:p>
      <w:pPr>
        <w:pStyle w:val="ListParagraph"/>
        <w:numPr>
          <w:ilvl w:val="0"/>
          <w:numId w:val="5"/>
        </w:numPr>
      </w:pPr>
      <w:r>
        <w:t xml:space="preserve">Initialize 2011-12 states from SASS data (split Nₜ,ₛ into experience bands using NTPS %)</w:t>
      </w:r>
    </w:p>
    <w:p>
      <w:pPr>
        <w:pStyle w:val="ListParagraph"/>
        <w:numPr>
          <w:ilvl w:val="0"/>
          <w:numId w:val="5"/>
        </w:numPr>
      </w:pPr>
      <w:r>
        <w:t xml:space="preserve">Initialize Reserve pool Rₛ = 0.20 × Nₜ,ₛ (rough estimate of licensed non-teachers)</w:t>
      </w:r>
    </w:p>
    <w:p>
      <w:pPr>
        <w:pStyle w:val="ListParagraph"/>
        <w:numPr>
          <w:ilvl w:val="0"/>
          <w:numId w:val="5"/>
        </w:numPr>
      </w:pPr>
      <w:r>
        <w:t xml:space="preserve">Construct 11×11 transition matrix Mₜˢ for each subject using parameter values</w:t>
      </w:r>
    </w:p>
    <w:p>
      <w:pPr>
        <w:pStyle w:val="ListParagraph"/>
        <w:numPr>
          <w:ilvl w:val="0"/>
          <w:numId w:val="5"/>
        </w:numPr>
        <w:spacing w:after="200"/>
      </w:pPr>
      <w:r>
        <w:t xml:space="preserve">Define external inflow bₜˢ from Title II completers × pass rate × hire rate</w:t>
      </w:r>
    </w:p>
    <w:p>
      <w:pPr>
        <w:pStyle w:val="Heading2"/>
      </w:pPr>
      <w:r>
        <w:t xml:space="preserve">9.3 Calibration Execution</w:t>
      </w:r>
    </w:p>
    <w:p>
      <w:pPr>
        <w:pStyle w:val="ListParagraph"/>
        <w:numPr>
          <w:ilvl w:val="0"/>
          <w:numId w:val="6"/>
        </w:numPr>
      </w:pPr>
      <w:r>
        <w:t xml:space="preserve">Run model 2011-12 → 2017-18 with initial parameter guesses</w:t>
      </w:r>
    </w:p>
    <w:p>
      <w:pPr>
        <w:pStyle w:val="ListParagraph"/>
        <w:numPr>
          <w:ilvl w:val="0"/>
          <w:numId w:val="6"/>
        </w:numPr>
      </w:pPr>
      <w:r>
        <w:t xml:space="preserve">Compare simulated vs. observed stocks by subject; compute RMSE</w:t>
      </w:r>
    </w:p>
    <w:p>
      <w:pPr>
        <w:pStyle w:val="ListParagraph"/>
        <w:numPr>
          <w:ilvl w:val="0"/>
          <w:numId w:val="6"/>
        </w:numPr>
      </w:pPr>
      <w:r>
        <w:t xml:space="preserve">Adjust hₛ and ηₛ to minimize stock discrepancy</w:t>
      </w:r>
    </w:p>
    <w:p>
      <w:pPr>
        <w:pStyle w:val="ListParagraph"/>
        <w:numPr>
          <w:ilvl w:val="0"/>
          <w:numId w:val="6"/>
        </w:numPr>
      </w:pPr>
      <w:r>
        <w:t xml:space="preserve">Verify experience distribution matches NTPS within tolerance</w:t>
      </w:r>
    </w:p>
    <w:p>
      <w:pPr>
        <w:pStyle w:val="ListParagraph"/>
        <w:numPr>
          <w:ilvl w:val="0"/>
          <w:numId w:val="6"/>
        </w:numPr>
      </w:pPr>
      <w:r>
        <w:t xml:space="preserve">Run validation to 2020-21; accept if within ±5%</w:t>
      </w:r>
    </w:p>
    <w:p>
      <w:pPr>
        <w:pStyle w:val="ListParagraph"/>
        <w:numPr>
          <w:ilvl w:val="0"/>
          <w:numId w:val="6"/>
        </w:numPr>
        <w:spacing w:after="200"/>
      </w:pPr>
      <w:r>
        <w:t xml:space="preserve">Document final calibrated parameters with confidence ranges</w:t>
      </w:r>
    </w:p>
    <w:p>
      <w:pPr>
        <w:pStyle w:val="Heading2"/>
      </w:pPr>
      <w:r>
        <w:t xml:space="preserve">9.4 Projection &amp; Analysis</w:t>
      </w:r>
    </w:p>
    <w:p>
      <w:pPr>
        <w:pStyle w:val="ListParagraph"/>
        <w:numPr>
          <w:ilvl w:val="0"/>
          <w:numId w:val="7"/>
        </w:numPr>
      </w:pPr>
      <w:r>
        <w:t xml:space="preserve">Project 2021-22 → 2030-31 under baseline and scenario assumptions</w:t>
      </w:r>
    </w:p>
    <w:p>
      <w:pPr>
        <w:pStyle w:val="ListParagraph"/>
        <w:numPr>
          <w:ilvl w:val="0"/>
          <w:numId w:val="7"/>
        </w:numPr>
      </w:pPr>
      <w:r>
        <w:t xml:space="preserve">Compute shortage/surplus by subject: Gap = Demand - Σᵢ Tₛⁱ</w:t>
      </w:r>
    </w:p>
    <w:p>
      <w:pPr>
        <w:pStyle w:val="ListParagraph"/>
        <w:numPr>
          <w:ilvl w:val="0"/>
          <w:numId w:val="7"/>
        </w:numPr>
      </w:pPr>
      <w:r>
        <w:t xml:space="preserve">Report uncertainty bands from sensitivity analysis</w:t>
      </w:r>
    </w:p>
    <w:p>
      <w:pPr>
        <w:pStyle w:val="ListParagraph"/>
        <w:numPr>
          <w:ilvl w:val="0"/>
          <w:numId w:val="7"/>
        </w:numPr>
        <w:spacing w:after="200"/>
      </w:pPr>
      <w:r>
        <w:t xml:space="preserve">Identify highest-impact policy levers (which parameters most affect shortages)</w:t>
      </w:r>
    </w:p>
    <w:p>
      <w:r>
        <w:br w:type="page"/>
      </w:r>
    </w:p>
    <w:p>
      <w:pPr>
        <w:pStyle w:val="Heading1"/>
      </w:pPr>
      <w:r>
        <w:t xml:space="preserve">10. Limitations &amp; Caveats</w:t>
      </w:r>
    </w:p>
    <w:p>
      <w:pPr>
        <w:pStyle w:val="Heading2"/>
      </w:pPr>
      <w:r>
        <w:t xml:space="preserve">10.1 Data Limitations</w:t>
      </w:r>
    </w:p>
    <w:p>
      <w:pPr>
        <w:pStyle w:val="ListParagraph"/>
        <w:numPr>
          <w:ilvl w:val="0"/>
          <w:numId w:val="2"/>
        </w:numPr>
      </w:pPr>
      <w:r>
        <w:rPr>
          <w:b/>
          <w:bCs/>
        </w:rPr>
        <w:t xml:space="preserve">Survey timing: </w:t>
      </w:r>
      <w:r>
        <w:t xml:space="preserve">NTPS/SASS conducted every 2-4 years; interpolation required for intervening years</w:t>
      </w:r>
    </w:p>
    <w:p>
      <w:pPr>
        <w:pStyle w:val="ListParagraph"/>
        <w:numPr>
          <w:ilvl w:val="0"/>
          <w:numId w:val="2"/>
        </w:numPr>
      </w:pPr>
      <w:r>
        <w:rPr>
          <w:b/>
          <w:bCs/>
        </w:rPr>
        <w:t xml:space="preserve">Subject-specific attrition: </w:t>
      </w:r>
      <w:r>
        <w:t xml:space="preserve">Published tables show aggregate attrition; subject-specific rates require restricted microdata or literature-based multipliers</w:t>
      </w:r>
    </w:p>
    <w:p>
      <w:pPr>
        <w:pStyle w:val="ListParagraph"/>
        <w:numPr>
          <w:ilvl w:val="0"/>
          <w:numId w:val="2"/>
        </w:numPr>
      </w:pPr>
      <w:r>
        <w:rPr>
          <w:b/>
          <w:bCs/>
        </w:rPr>
        <w:t xml:space="preserve">Reserve pool size: </w:t>
      </w:r>
      <w:r>
        <w:t xml:space="preserve">No direct measure of licensed-but-not-teaching population; estimated from difference between completers and teachers</w:t>
      </w:r>
    </w:p>
    <w:p>
      <w:pPr>
        <w:pStyle w:val="ListParagraph"/>
        <w:numPr>
          <w:ilvl w:val="0"/>
          <w:numId w:val="2"/>
        </w:numPr>
      </w:pPr>
      <w:r>
        <w:rPr>
          <w:b/>
          <w:bCs/>
        </w:rPr>
        <w:t xml:space="preserve">Title II lag: </w:t>
      </w:r>
      <w:r>
        <w:t xml:space="preserve">Title II data released ~2 years after collection; most recent data may be 2021-22</w:t>
      </w:r>
    </w:p>
    <w:p>
      <w:pPr>
        <w:pStyle w:val="ListParagraph"/>
        <w:numPr>
          <w:ilvl w:val="0"/>
          <w:numId w:val="2"/>
        </w:numPr>
        <w:spacing w:after="200"/>
      </w:pPr>
      <w:r>
        <w:rPr>
          <w:b/>
          <w:bCs/>
        </w:rPr>
        <w:t xml:space="preserve">COVID disruption: </w:t>
      </w:r>
      <w:r>
        <w:t xml:space="preserve">2020-21 NTPS collected during pandemic; may not reflect steady-state behavior</w:t>
      </w:r>
    </w:p>
    <w:p>
      <w:pPr>
        <w:pStyle w:val="Heading2"/>
      </w:pPr>
      <w:r>
        <w:t xml:space="preserve">10.2 Model Limitations</w:t>
      </w:r>
    </w:p>
    <w:p>
      <w:pPr>
        <w:pStyle w:val="ListParagraph"/>
        <w:numPr>
          <w:ilvl w:val="0"/>
          <w:numId w:val="2"/>
        </w:numPr>
      </w:pPr>
      <w:r>
        <w:rPr>
          <w:b/>
          <w:bCs/>
        </w:rPr>
        <w:t xml:space="preserve">Geographic homogeneity: </w:t>
      </w:r>
      <w:r>
        <w:t xml:space="preserve">Model is national; does not capture state/district variation in shortages</w:t>
      </w:r>
    </w:p>
    <w:p>
      <w:pPr>
        <w:pStyle w:val="ListParagraph"/>
        <w:numPr>
          <w:ilvl w:val="0"/>
          <w:numId w:val="2"/>
        </w:numPr>
      </w:pPr>
      <w:r>
        <w:rPr>
          <w:b/>
          <w:bCs/>
        </w:rPr>
        <w:t xml:space="preserve">Demand exogeneity: </w:t>
      </w:r>
      <w:r>
        <w:t xml:space="preserve">Demand for teachers treated as external input; does not model class size choices or budget constraints</w:t>
      </w:r>
    </w:p>
    <w:p>
      <w:pPr>
        <w:pStyle w:val="ListParagraph"/>
        <w:numPr>
          <w:ilvl w:val="0"/>
          <w:numId w:val="2"/>
        </w:numPr>
      </w:pPr>
      <w:r>
        <w:rPr>
          <w:b/>
          <w:bCs/>
        </w:rPr>
        <w:t xml:space="preserve">Salary effects: </w:t>
      </w:r>
      <w:r>
        <w:t xml:space="preserve">Does not explicitly model salary as driver of attrition; captured implicitly in baseline rates</w:t>
      </w:r>
    </w:p>
    <w:p>
      <w:pPr>
        <w:pStyle w:val="ListParagraph"/>
        <w:numPr>
          <w:ilvl w:val="0"/>
          <w:numId w:val="2"/>
        </w:numPr>
      </w:pPr>
      <w:r>
        <w:rPr>
          <w:b/>
          <w:bCs/>
        </w:rPr>
        <w:t xml:space="preserve">Alternative certification: </w:t>
      </w:r>
      <w:r>
        <w:t xml:space="preserve">Groups traditional and alternative completers; could be separated for higher fidelity</w:t>
      </w:r>
    </w:p>
    <w:p>
      <w:pPr>
        <w:pStyle w:val="ListParagraph"/>
        <w:numPr>
          <w:ilvl w:val="0"/>
          <w:numId w:val="2"/>
        </w:numPr>
        <w:spacing w:after="200"/>
      </w:pPr>
      <w:r>
        <w:rPr>
          <w:b/>
          <w:bCs/>
        </w:rPr>
        <w:t xml:space="preserve">School-type heterogeneity: </w:t>
      </w:r>
      <w:r>
        <w:t xml:space="preserve">Does not differentiate high-poverty vs. low-poverty schools; high-poverty attrition ~50% higher</w:t>
      </w:r>
    </w:p>
    <w:p>
      <w:pPr>
        <w:pStyle w:val="Heading2"/>
      </w:pPr>
      <w:r>
        <w:t xml:space="preserve">10.3 Future Extensions</w:t>
      </w:r>
    </w:p>
    <w:p>
      <w:pPr>
        <w:pStyle w:val="ListParagraph"/>
        <w:numPr>
          <w:ilvl w:val="0"/>
          <w:numId w:val="2"/>
        </w:numPr>
      </w:pPr>
      <w:r>
        <w:t xml:space="preserve">Incorporate state-level modeling for policy-relevant geographic granularity</w:t>
      </w:r>
    </w:p>
    <w:p>
      <w:pPr>
        <w:pStyle w:val="ListParagraph"/>
        <w:numPr>
          <w:ilvl w:val="0"/>
          <w:numId w:val="2"/>
        </w:numPr>
      </w:pPr>
      <w:r>
        <w:t xml:space="preserve">Add school-poverty dimension with differential attrition rates</w:t>
      </w:r>
    </w:p>
    <w:p>
      <w:pPr>
        <w:pStyle w:val="ListParagraph"/>
        <w:numPr>
          <w:ilvl w:val="0"/>
          <w:numId w:val="2"/>
        </w:numPr>
      </w:pPr>
      <w:r>
        <w:t xml:space="preserve">Model salary-attrition relationship using salary schedule data</w:t>
      </w:r>
    </w:p>
    <w:p>
      <w:pPr>
        <w:pStyle w:val="ListParagraph"/>
        <w:numPr>
          <w:ilvl w:val="0"/>
          <w:numId w:val="2"/>
        </w:numPr>
      </w:pPr>
      <w:r>
        <w:t xml:space="preserve">Separate traditional vs. alternative certification pathways with different retention profiles</w:t>
      </w:r>
    </w:p>
    <w:p>
      <w:pPr>
        <w:pStyle w:val="ListParagraph"/>
        <w:numPr>
          <w:ilvl w:val="0"/>
          <w:numId w:val="2"/>
        </w:numPr>
        <w:spacing w:after="200"/>
      </w:pPr>
      <w:r>
        <w:t xml:space="preserve">Link to demand model incorporating enrollment projections and class size policy</w:t>
      </w:r>
    </w:p>
    <w:p>
      <w:r>
        <w:br w:type="page"/>
      </w:r>
    </w:p>
    <w:p>
      <w:pPr>
        <w:pStyle w:val="Heading1"/>
      </w:pPr>
      <w:r>
        <w:t xml:space="preserve">Appendix: Key References</w:t>
      </w:r>
    </w:p>
    <w:p>
      <w:pPr>
        <w:pStyle w:val="Heading2"/>
      </w:pPr>
      <w:r>
        <w:t xml:space="preserve">Federal Data Sources</w:t>
      </w:r>
    </w:p>
    <w:p>
      <w:pPr>
        <w:pStyle w:val="ListParagraph"/>
        <w:numPr>
          <w:ilvl w:val="0"/>
          <w:numId w:val="2"/>
        </w:numPr>
      </w:pPr>
      <w:r>
        <w:t xml:space="preserve">NCES National Teacher and Principal Survey (NTPS): nces.ed.gov/surveys/ntps</w:t>
      </w:r>
    </w:p>
    <w:p>
      <w:pPr>
        <w:pStyle w:val="ListParagraph"/>
        <w:numPr>
          <w:ilvl w:val="0"/>
          <w:numId w:val="2"/>
        </w:numPr>
      </w:pPr>
      <w:r>
        <w:t xml:space="preserve">NCES Teacher Follow-up Survey (TFS): nces.ed.gov/surveys/sass</w:t>
      </w:r>
    </w:p>
    <w:p>
      <w:pPr>
        <w:pStyle w:val="ListParagraph"/>
        <w:numPr>
          <w:ilvl w:val="0"/>
          <w:numId w:val="2"/>
        </w:numPr>
      </w:pPr>
      <w:r>
        <w:t xml:space="preserve">NCES Digest of Education Statistics: nces.ed.gov/programs/digest</w:t>
      </w:r>
    </w:p>
    <w:p>
      <w:pPr>
        <w:pStyle w:val="ListParagraph"/>
        <w:numPr>
          <w:ilvl w:val="0"/>
          <w:numId w:val="2"/>
        </w:numPr>
      </w:pPr>
      <w:r>
        <w:t xml:space="preserve">Title II Higher Education Act Data: title2.ed.gov</w:t>
      </w:r>
    </w:p>
    <w:p>
      <w:pPr>
        <w:pStyle w:val="ListParagraph"/>
        <w:numPr>
          <w:ilvl w:val="0"/>
          <w:numId w:val="2"/>
        </w:numPr>
        <w:spacing w:after="200"/>
      </w:pPr>
      <w:r>
        <w:t xml:space="preserve">IPEDS Completions Survey: nces.ed.gov/ipeds</w:t>
      </w:r>
    </w:p>
    <w:p>
      <w:pPr>
        <w:pStyle w:val="Heading2"/>
      </w:pPr>
      <w:r>
        <w:t xml:space="preserve">Key Research Publications</w:t>
      </w:r>
    </w:p>
    <w:p>
      <w:pPr>
        <w:pStyle w:val="ListParagraph"/>
        <w:numPr>
          <w:ilvl w:val="0"/>
          <w:numId w:val="2"/>
        </w:numPr>
      </w:pPr>
      <w:r>
        <w:rPr>
          <w:i/>
          <w:iCs/>
        </w:rPr>
        <w:t xml:space="preserve">Nguyen, T.D., et al. (2019). </w:t>
      </w:r>
      <w:r>
        <w:t xml:space="preserve">The Factors of Teacher Attrition and Retention: An Updated and Expanded Meta-Analysis. EdWorkingPapers 19-149.</w:t>
      </w:r>
    </w:p>
    <w:p>
      <w:pPr>
        <w:pStyle w:val="ListParagraph"/>
        <w:numPr>
          <w:ilvl w:val="0"/>
          <w:numId w:val="2"/>
        </w:numPr>
      </w:pPr>
      <w:r>
        <w:rPr>
          <w:i/>
          <w:iCs/>
        </w:rPr>
        <w:t xml:space="preserve">Carver-Thomas, D. &amp; Darling-Hammond, L. (2019). </w:t>
      </w:r>
      <w:r>
        <w:t xml:space="preserve">The Trouble with Teacher Turnover. Education Policy Analysis Archives, 27(36).</w:t>
      </w:r>
    </w:p>
    <w:p>
      <w:pPr>
        <w:pStyle w:val="ListParagraph"/>
        <w:numPr>
          <w:ilvl w:val="0"/>
          <w:numId w:val="2"/>
        </w:numPr>
      </w:pPr>
      <w:r>
        <w:rPr>
          <w:i/>
          <w:iCs/>
        </w:rPr>
        <w:t xml:space="preserve">Billingsley, B. &amp; Bettini, E. (2019). </w:t>
      </w:r>
      <w:r>
        <w:t xml:space="preserve">Special Education Teacher Attrition and Retention: A Review. Review of Educational Research, 89(5).</w:t>
      </w:r>
    </w:p>
    <w:p>
      <w:pPr>
        <w:pStyle w:val="ListParagraph"/>
        <w:numPr>
          <w:ilvl w:val="0"/>
          <w:numId w:val="2"/>
        </w:numPr>
      </w:pPr>
      <w:r>
        <w:rPr>
          <w:i/>
          <w:iCs/>
        </w:rPr>
        <w:t xml:space="preserve">Ingersoll, R. &amp; May, H. (2012). </w:t>
      </w:r>
      <w:r>
        <w:t xml:space="preserve">The Magnitude, Destinations, and Determinants of Mathematics and Science Teacher Turnover. Educational Evaluation and Policy Analysis, 34(4).</w:t>
      </w:r>
    </w:p>
    <w:p>
      <w:pPr>
        <w:pStyle w:val="ListParagraph"/>
        <w:numPr>
          <w:ilvl w:val="0"/>
          <w:numId w:val="2"/>
        </w:numPr>
      </w:pPr>
      <w:r>
        <w:rPr>
          <w:i/>
          <w:iCs/>
        </w:rPr>
        <w:t xml:space="preserve">Sutcher, L., Darling-Hammond, L., &amp; Carver-Thomas, D. (2016). </w:t>
      </w:r>
      <w:r>
        <w:t xml:space="preserve">A Coming Crisis in Teaching? Teacher Supply, Demand, and Shortages in the U.S. Learning Policy Institute.</w:t>
      </w:r>
    </w:p>
    <w:p>
      <w:pPr>
        <w:pStyle w:val="ListParagraph"/>
        <w:numPr>
          <w:ilvl w:val="0"/>
          <w:numId w:val="2"/>
        </w:numPr>
        <w:spacing w:after="200"/>
      </w:pPr>
      <w:r>
        <w:rPr>
          <w:i/>
          <w:iCs/>
        </w:rPr>
        <w:t xml:space="preserve">RAND Corporation. (2025). </w:t>
      </w:r>
      <w:r>
        <w:t xml:space="preserve">Will Educator Turnover Rates Ever Return to Pre-Pandemic Levels? RR-A956-29.</w:t>
      </w:r>
    </w:p>
    <w:p>
      <w:pPr>
        <w:pStyle w:val="Heading2"/>
      </w:pPr>
      <w:r>
        <w:t xml:space="preserve">NCES Table References</w:t>
      </w:r>
    </w:p>
    <w:p>
      <w:pPr>
        <w:pStyle w:val="ListParagraph"/>
        <w:numPr>
          <w:ilvl w:val="0"/>
          <w:numId w:val="2"/>
        </w:numPr>
      </w:pPr>
      <w:r>
        <w:rPr>
          <w:b/>
          <w:bCs/>
        </w:rPr>
        <w:t xml:space="preserve">Table 208.20: </w:t>
      </w:r>
      <w:r>
        <w:t xml:space="preserve">Public and private teachers, enrollment, pupil/teacher ratios, new hires</w:t>
      </w:r>
    </w:p>
    <w:p>
      <w:pPr>
        <w:pStyle w:val="ListParagraph"/>
        <w:numPr>
          <w:ilvl w:val="0"/>
          <w:numId w:val="2"/>
        </w:numPr>
      </w:pPr>
      <w:r>
        <w:rPr>
          <w:b/>
          <w:bCs/>
        </w:rPr>
        <w:t xml:space="preserve">Table 209.10: </w:t>
      </w:r>
      <w:r>
        <w:t xml:space="preserve">Number and percentage distribution of teachers by characteristics</w:t>
      </w:r>
    </w:p>
    <w:p>
      <w:pPr>
        <w:pStyle w:val="ListParagraph"/>
        <w:numPr>
          <w:ilvl w:val="0"/>
          <w:numId w:val="2"/>
        </w:numPr>
      </w:pPr>
      <w:r>
        <w:rPr>
          <w:b/>
          <w:bCs/>
        </w:rPr>
        <w:t xml:space="preserve">Table 209.60: </w:t>
      </w:r>
      <w:r>
        <w:t xml:space="preserve">Teachers by field of main teaching assignment (historical)</w:t>
      </w:r>
    </w:p>
    <w:p>
      <w:pPr>
        <w:pStyle w:val="ListParagraph"/>
        <w:numPr>
          <w:ilvl w:val="0"/>
          <w:numId w:val="2"/>
        </w:numPr>
      </w:pPr>
      <w:r>
        <w:rPr>
          <w:b/>
          <w:bCs/>
        </w:rPr>
        <w:t xml:space="preserve">Table 213.10: </w:t>
      </w:r>
      <w:r>
        <w:t xml:space="preserve">Staff employed in public schools by type of assignment</w:t>
      </w:r>
    </w:p>
    <w:p>
      <w:pPr>
        <w:pStyle w:val="ListParagraph"/>
        <w:numPr>
          <w:ilvl w:val="0"/>
          <w:numId w:val="2"/>
        </w:numPr>
      </w:pPr>
      <w:r>
        <w:rPr>
          <w:b/>
          <w:bCs/>
        </w:rPr>
        <w:t xml:space="preserve">Table 213.20: </w:t>
      </w:r>
      <w:r>
        <w:t xml:space="preserve">Staff employed in public schools by state</w:t>
      </w:r>
    </w:p>
    <w:p>
      <w:pPr>
        <w:pStyle w:val="ListParagraph"/>
        <w:numPr>
          <w:ilvl w:val="0"/>
          <w:numId w:val="2"/>
        </w:numPr>
        <w:spacing w:after="400"/>
      </w:pPr>
      <w:r>
        <w:rPr>
          <w:b/>
          <w:bCs/>
        </w:rPr>
        <w:t xml:space="preserve">NCES 2024-039: </w:t>
      </w:r>
      <w:r>
        <w:t xml:space="preserve">Teacher Attrition and Mobility: Results from 2021-22 TFS</w:t>
      </w:r>
    </w:p>
    <w:p>
      <w:pPr>
        <w:spacing w:before="400"/>
        <w:jc w:val="center"/>
      </w:pPr>
      <w:r>
        <w:rPr>
          <w:i/>
          <w:iCs/>
          <w:color w:val="66666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Teacher Pipeline Model v2.0 — Subject-Stratified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2025-12-05T21:58:15.947Z</dcterms:created>
  <dcterms:modified xsi:type="dcterms:W3CDTF">2025-12-05T21:58:15.948Z</dcterms:modified>
</cp:coreProperties>
</file>

<file path=docProps/custom.xml><?xml version="1.0" encoding="utf-8"?>
<Properties xmlns="http://schemas.openxmlformats.org/officeDocument/2006/custom-properties" xmlns:vt="http://schemas.openxmlformats.org/officeDocument/2006/docPropsVTypes"/>
</file>