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DIAGNÓSTICO EXECUTIVO DO ACERVO</w:t>
        <w:br/>
        <w:t>E PLANO DE TRABALHO</w:t>
      </w:r>
    </w:p>
    <w:p>
      <w:pPr>
        <w:jc w:val="center"/>
      </w:pPr>
      <w:r>
        <w:rPr>
          <w:b/>
        </w:rPr>
        <w:t>Programa Integrado de Governança, Serviços e Segurança de TI (SGS / SGSI)</w:t>
      </w:r>
    </w:p>
    <w:p>
      <w:pPr>
        <w:jc w:val="center"/>
      </w:pPr>
      <w:r>
        <w:rPr>
          <w:i/>
        </w:rPr>
        <w:t>Versão 1.2 — Case conceitual para portfólio profissional</w:t>
      </w:r>
    </w:p>
    <w:p/>
    <w:p>
      <w:pPr>
        <w:jc w:val="center"/>
      </w:pPr>
      <w:r>
        <w:rPr>
          <w:b/>
        </w:rPr>
        <w:t>Projeto autoral e conceitual. Diagnósticos, inventários, metas e resultados devem ser interpretados conforme as ressalvas deste documento.</w:t>
      </w:r>
    </w:p>
    <w:p>
      <w:r>
        <w:br w:type="page"/>
      </w:r>
    </w:p>
    <w:p>
      <w:pPr>
        <w:pStyle w:val="Heading1"/>
      </w:pPr>
      <w:r>
        <w:t>Natureza, objetivo e limites</w:t>
      </w:r>
    </w:p>
    <w:p>
      <w:r>
        <w:t>Este documento organiza a visão do acervo documental do programa SGS / SGSI e propõe um plano de trabalho para revisar, integrar e preparar seus componentes para apresentação pública como portfólio profissional. Não é um diagnóstico de uma empresa real nem comprova auditoria, implantação, aprovação corporativa, certificação ou conformidade.</w:t>
      </w:r>
    </w:p>
    <w:p>
      <w:r>
        <w:t>O conteúdo original inclui estimativas, referências normativas, afirmações de maturidade e descrições de artefatos. Nesta revisão, afirmações não sustentadas por evidência direta são tratadas como premissas ou pontos a validar. Prazos e etapas são estimativas de planejamento e podem mudar conforme o escopo e as prioridades.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Informação</w:t>
            </w:r>
          </w:p>
        </w:tc>
      </w:tr>
      <w:tr>
        <w:tc>
          <w:tcPr>
            <w:tcW w:type="dxa" w:w="5083"/>
            <w:vAlign w:val="center"/>
          </w:tcPr>
          <w:p>
            <w:r>
              <w:t>Programa</w:t>
            </w:r>
          </w:p>
        </w:tc>
        <w:tc>
          <w:tcPr>
            <w:tcW w:type="dxa" w:w="5083"/>
            <w:vAlign w:val="center"/>
          </w:tcPr>
          <w:p>
            <w:r>
              <w:t>Programa Integrado de Governança, Serviços e Segurança de TI (SGS / SGSI)</w:t>
            </w:r>
          </w:p>
        </w:tc>
      </w:tr>
      <w:tr>
        <w:tc>
          <w:tcPr>
            <w:tcW w:type="dxa" w:w="5083"/>
            <w:vAlign w:val="center"/>
          </w:tcPr>
          <w:p>
            <w:r>
              <w:t>Documento</w:t>
            </w:r>
          </w:p>
        </w:tc>
        <w:tc>
          <w:tcPr>
            <w:tcW w:type="dxa" w:w="5083"/>
            <w:vAlign w:val="center"/>
          </w:tcPr>
          <w:p>
            <w:r>
              <w:t>Diagnóstico Executivo do Acervo e Plano de Trabalho</w:t>
            </w:r>
          </w:p>
        </w:tc>
      </w:tr>
      <w:tr>
        <w:tc>
          <w:tcPr>
            <w:tcW w:type="dxa" w:w="5083"/>
            <w:vAlign w:val="center"/>
          </w:tcPr>
          <w:p>
            <w:r>
              <w:t>Versão</w:t>
            </w:r>
          </w:p>
        </w:tc>
        <w:tc>
          <w:tcPr>
            <w:tcW w:type="dxa" w:w="5083"/>
            <w:vAlign w:val="center"/>
          </w:tcPr>
          <w:p>
            <w:r>
              <w:t>1.2 — revisão conceitual para portfólio</w:t>
            </w:r>
          </w:p>
        </w:tc>
      </w:tr>
      <w:tr>
        <w:tc>
          <w:tcPr>
            <w:tcW w:type="dxa" w:w="5083"/>
            <w:vAlign w:val="center"/>
          </w:tcPr>
          <w:p>
            <w:r>
              <w:t>Autor</w:t>
            </w:r>
          </w:p>
        </w:tc>
        <w:tc>
          <w:tcPr>
            <w:tcW w:type="dxa" w:w="5083"/>
            <w:vAlign w:val="center"/>
          </w:tcPr>
          <w:p>
            <w:r>
              <w:t>José Eduardo Moura Cardozo</w:t>
            </w:r>
          </w:p>
        </w:tc>
      </w:tr>
      <w:tr>
        <w:tc>
          <w:tcPr>
            <w:tcW w:type="dxa" w:w="5083"/>
            <w:vAlign w:val="center"/>
          </w:tcPr>
          <w:p>
            <w:r>
              <w:t>Status</w:t>
            </w:r>
          </w:p>
        </w:tc>
        <w:tc>
          <w:tcPr>
            <w:tcW w:type="dxa" w:w="5083"/>
            <w:vAlign w:val="center"/>
          </w:tcPr>
          <w:p>
            <w:r>
              <w:t>Documento de planejamento conceitual; não aprovado para execução corporativa</w:t>
            </w:r>
          </w:p>
        </w:tc>
      </w:tr>
      <w:tr>
        <w:tc>
          <w:tcPr>
            <w:tcW w:type="dxa" w:w="5083"/>
            <w:vAlign w:val="center"/>
          </w:tcPr>
          <w:p>
            <w:r>
              <w:t>Finalidade</w:t>
            </w:r>
          </w:p>
        </w:tc>
        <w:tc>
          <w:tcPr>
            <w:tcW w:type="dxa" w:w="5083"/>
            <w:vAlign w:val="center"/>
          </w:tcPr>
          <w:p>
            <w:r>
              <w:t>Organizar a revisão documental, identificar lacunas e orientar a consolidação do acervo.</w:t>
            </w:r>
          </w:p>
        </w:tc>
      </w:tr>
    </w:tbl>
    <w:p/>
    <w:p>
      <w:pPr>
        <w:pStyle w:val="Heading1"/>
      </w:pPr>
      <w:r>
        <w:t>1. Inventário de referenciais normativos e técnicos</w:t>
      </w:r>
    </w:p>
    <w:p>
      <w:r>
        <w:t>O documento original declara um acervo de 59 fontes normativas e técnicas agrupadas em sete domínios. Como o inventário integral das 59 fontes não está reproduzido nesta peça e sua vigência/aplicabilidade não foi verificada item a item, o total deve ser tratado como uma informação declarada no material de origem, não como inventário auditado.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Domínio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Referenciais mencionados no original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Relação com os processos</w:t>
            </w:r>
          </w:p>
        </w:tc>
      </w:tr>
      <w:tr>
        <w:tc>
          <w:tcPr>
            <w:tcW w:type="dxa" w:w="3389"/>
            <w:vAlign w:val="center"/>
          </w:tcPr>
          <w:p>
            <w:r>
              <w:t>Gestão de serviços (ITSM)</w:t>
            </w:r>
          </w:p>
        </w:tc>
        <w:tc>
          <w:tcPr>
            <w:tcW w:type="dxa" w:w="3389"/>
            <w:vAlign w:val="center"/>
          </w:tcPr>
          <w:p>
            <w:r>
              <w:t>ISO/IEC 20000-1:2020; ITIL v3/v4; Lean IT</w:t>
            </w:r>
          </w:p>
        </w:tc>
        <w:tc>
          <w:tcPr>
            <w:tcW w:type="dxa" w:w="3389"/>
            <w:vAlign w:val="center"/>
          </w:tcPr>
          <w:p>
            <w:r>
              <w:t>Incidentes, problemas, mudanças, SLM/catálogo e melhoria contínua.</w:t>
            </w:r>
          </w:p>
        </w:tc>
      </w:tr>
      <w:tr>
        <w:tc>
          <w:tcPr>
            <w:tcW w:type="dxa" w:w="3389"/>
            <w:vAlign w:val="center"/>
          </w:tcPr>
          <w:p>
            <w:r>
              <w:t>Segurança e ciberdefesa</w:t>
            </w:r>
          </w:p>
        </w:tc>
        <w:tc>
          <w:tcPr>
            <w:tcW w:type="dxa" w:w="3389"/>
            <w:vAlign w:val="center"/>
          </w:tcPr>
          <w:p>
            <w:r>
              <w:t>ISO/IEC 27001/27002; ISO/IEC 27005; ISO 27017/27018; CIS Controls</w:t>
            </w:r>
          </w:p>
        </w:tc>
        <w:tc>
          <w:tcPr>
            <w:tcW w:type="dxa" w:w="3389"/>
            <w:vAlign w:val="center"/>
          </w:tcPr>
          <w:p>
            <w:r>
              <w:t>SGSI, mudanças, ativos, segurança de terceiros.</w:t>
            </w:r>
          </w:p>
        </w:tc>
      </w:tr>
      <w:tr>
        <w:tc>
          <w:tcPr>
            <w:tcW w:type="dxa" w:w="3389"/>
            <w:vAlign w:val="center"/>
          </w:tcPr>
          <w:p>
            <w:r>
              <w:t>Governança e compliance</w:t>
            </w:r>
          </w:p>
        </w:tc>
        <w:tc>
          <w:tcPr>
            <w:tcW w:type="dxa" w:w="3389"/>
            <w:vAlign w:val="center"/>
          </w:tcPr>
          <w:p>
            <w:r>
              <w:t>ISO/IEC 38500; ISO 37001; ISO 37301; LGPD; guias de governança e compliance</w:t>
            </w:r>
          </w:p>
        </w:tc>
        <w:tc>
          <w:tcPr>
            <w:tcW w:type="dxa" w:w="3389"/>
            <w:vAlign w:val="center"/>
          </w:tcPr>
          <w:p>
            <w:r>
              <w:t>Governança, fornecedores, auditoria e análise crítica.</w:t>
            </w:r>
          </w:p>
        </w:tc>
      </w:tr>
      <w:tr>
        <w:tc>
          <w:tcPr>
            <w:tcW w:type="dxa" w:w="3389"/>
            <w:vAlign w:val="center"/>
          </w:tcPr>
          <w:p>
            <w:r>
              <w:t>Riscos e controles financeiros</w:t>
            </w:r>
          </w:p>
        </w:tc>
        <w:tc>
          <w:tcPr>
            <w:tcW w:type="dxa" w:w="3389"/>
            <w:vAlign w:val="center"/>
          </w:tcPr>
          <w:p>
            <w:r>
              <w:t>COSO; SOX ITGC; ISO 31000; ISO 31004; IEC 31010; ISO 27557</w:t>
            </w:r>
          </w:p>
        </w:tc>
        <w:tc>
          <w:tcPr>
            <w:tcW w:type="dxa" w:w="3389"/>
            <w:vAlign w:val="center"/>
          </w:tcPr>
          <w:p>
            <w:r>
              <w:t>Riscos, controles, FinOps e avaliação de desempenho.</w:t>
            </w:r>
          </w:p>
        </w:tc>
      </w:tr>
      <w:tr>
        <w:tc>
          <w:tcPr>
            <w:tcW w:type="dxa" w:w="3389"/>
            <w:vAlign w:val="center"/>
          </w:tcPr>
          <w:p>
            <w:r>
              <w:t>IA e tecnologias emergentes</w:t>
            </w:r>
          </w:p>
        </w:tc>
        <w:tc>
          <w:tcPr>
            <w:tcW w:type="dxa" w:w="3389"/>
            <w:vAlign w:val="center"/>
          </w:tcPr>
          <w:p>
            <w:r>
              <w:t>ISO/IEC 42001; ISO 22989; ISO 23894; NIST AI 100-1</w:t>
            </w:r>
          </w:p>
        </w:tc>
        <w:tc>
          <w:tcPr>
            <w:tcW w:type="dxa" w:w="3389"/>
            <w:vAlign w:val="center"/>
          </w:tcPr>
          <w:p>
            <w:r>
              <w:t>Governança e riscos de IA, com aplicação transversal quando pertinente.</w:t>
            </w:r>
          </w:p>
        </w:tc>
      </w:tr>
      <w:tr>
        <w:tc>
          <w:tcPr>
            <w:tcW w:type="dxa" w:w="3389"/>
            <w:vAlign w:val="center"/>
          </w:tcPr>
          <w:p>
            <w:r>
              <w:t>Agilidade, DevOps e processos</w:t>
            </w:r>
          </w:p>
        </w:tc>
        <w:tc>
          <w:tcPr>
            <w:tcW w:type="dxa" w:w="3389"/>
            <w:vAlign w:val="center"/>
          </w:tcPr>
          <w:p>
            <w:r>
              <w:t>The DevOps Handbook; Scrum Guide; PMBOK; Six Sigma; ISO 9001</w:t>
            </w:r>
          </w:p>
        </w:tc>
        <w:tc>
          <w:tcPr>
            <w:tcW w:type="dxa" w:w="3389"/>
            <w:vAlign w:val="center"/>
          </w:tcPr>
          <w:p>
            <w:r>
              <w:t>Mudanças, causa-raiz, automação e melhoria.</w:t>
            </w:r>
          </w:p>
        </w:tc>
      </w:tr>
      <w:tr>
        <w:tc>
          <w:tcPr>
            <w:tcW w:type="dxa" w:w="3389"/>
            <w:vAlign w:val="center"/>
          </w:tcPr>
          <w:p>
            <w:r>
              <w:t>Continuidade e operações</w:t>
            </w:r>
          </w:p>
        </w:tc>
        <w:tc>
          <w:tcPr>
            <w:tcW w:type="dxa" w:w="3389"/>
            <w:vAlign w:val="center"/>
          </w:tcPr>
          <w:p>
            <w:r>
              <w:t>ISO 22301 e documentos internos citados no original</w:t>
            </w:r>
          </w:p>
        </w:tc>
        <w:tc>
          <w:tcPr>
            <w:tcW w:type="dxa" w:w="3389"/>
            <w:vAlign w:val="center"/>
          </w:tcPr>
          <w:p>
            <w:r>
              <w:t>Continuidade, recuperação e operação de serviços.</w:t>
            </w:r>
          </w:p>
        </w:tc>
      </w:tr>
    </w:tbl>
    <w:p/>
    <w:p>
      <w:r>
        <w:t>A lista acima resume as referências citadas no documento original; não é a lista completa de 59 fontes. Edições, nomes oficiais, cláusulas e aplicabilidade precisam de conferência antes de se declarar alinhamento normativo.</w:t>
      </w:r>
    </w:p>
    <w:p>
      <w:pPr>
        <w:pStyle w:val="Heading1"/>
      </w:pPr>
      <w:r>
        <w:t>2. Avaliação do conteúdo e do estado documental</w:t>
      </w:r>
    </w:p>
    <w:p>
      <w:r>
        <w:t>O documento original classifica materiais em camadas executivas/visuais, textos de processos e instrumentos operacionais. Para a versão atual do acervo, a avaliação deve distinguir a existência de arquivos da sua validação técnica, consistência e prontidão para publicação.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Estado documental considerado nesta revisão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Trabalho recomendado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Executiva e visual</w:t>
            </w:r>
          </w:p>
        </w:tc>
        <w:tc>
          <w:tcPr>
            <w:tcW w:type="dxa" w:w="3389"/>
            <w:vAlign w:val="center"/>
          </w:tcPr>
          <w:p>
            <w:r>
              <w:t>O documento original menciona apresentações, Business Case, dashboard e fluxogramas; a completude e a qualidade de cada item devem ser confirmadas no inventário de arquivos.</w:t>
            </w:r>
          </w:p>
        </w:tc>
        <w:tc>
          <w:tcPr>
            <w:tcW w:type="dxa" w:w="3389"/>
            <w:vAlign w:val="center"/>
          </w:tcPr>
          <w:p>
            <w:r>
              <w:t>Inventariar arquivos, versões, conteúdo, autoria e dependências; não presumir qualidade ou prontidão sem revisão.</w:t>
            </w:r>
          </w:p>
        </w:tc>
      </w:tr>
      <w:tr>
        <w:tc>
          <w:tcPr>
            <w:tcW w:type="dxa" w:w="3389"/>
            <w:vAlign w:val="center"/>
          </w:tcPr>
          <w:p>
            <w:r>
              <w:t>Documento Mestre e roadmap</w:t>
            </w:r>
          </w:p>
        </w:tc>
        <w:tc>
          <w:tcPr>
            <w:tcW w:type="dxa" w:w="3389"/>
            <w:vAlign w:val="center"/>
          </w:tcPr>
          <w:p>
            <w:r>
              <w:t>Existem documentos próprios para arquitetura integrada e roadmap consolidado; ambos estão em processo de revisão conceitual.</w:t>
            </w:r>
          </w:p>
        </w:tc>
        <w:tc>
          <w:tcPr>
            <w:tcW w:type="dxa" w:w="3389"/>
            <w:vAlign w:val="center"/>
          </w:tcPr>
          <w:p>
            <w:r>
              <w:t>Conferir coerência entre escopo, cronogramas, metas, custos, dependências e nomenclatura.</w:t>
            </w:r>
          </w:p>
        </w:tc>
      </w:tr>
      <w:tr>
        <w:tc>
          <w:tcPr>
            <w:tcW w:type="dxa" w:w="3389"/>
            <w:vAlign w:val="center"/>
          </w:tcPr>
          <w:p>
            <w:r>
              <w:t>Dez documentos de processos</w:t>
            </w:r>
          </w:p>
        </w:tc>
        <w:tc>
          <w:tcPr>
            <w:tcW w:type="dxa" w:w="3389"/>
            <w:vAlign w:val="center"/>
          </w:tcPr>
          <w:p>
            <w:r>
              <w:t>O acervo disponibilizado inclui documentos para os dez processos, além do Documento Mestre e do roadmap.</w:t>
            </w:r>
          </w:p>
        </w:tc>
        <w:tc>
          <w:tcPr>
            <w:tcW w:type="dxa" w:w="3389"/>
            <w:vAlign w:val="center"/>
          </w:tcPr>
          <w:p>
            <w:r>
              <w:t>Revisar individualmente cada documento, preservando conteúdo e rastreando alterações.</w:t>
            </w:r>
          </w:p>
        </w:tc>
      </w:tr>
      <w:tr>
        <w:tc>
          <w:tcPr>
            <w:tcW w:type="dxa" w:w="3389"/>
            <w:vAlign w:val="center"/>
          </w:tcPr>
          <w:p>
            <w:r>
              <w:t>POPs e instrumentos operacionais</w:t>
            </w:r>
          </w:p>
        </w:tc>
        <w:tc>
          <w:tcPr>
            <w:tcW w:type="dxa" w:w="3389"/>
            <w:vAlign w:val="center"/>
          </w:tcPr>
          <w:p>
            <w:r>
              <w:t>Os manuais incluem procedimentos, tabelas, modelos, anexos e exemplos; seu grau de prontidão varia e precisa de revisão.</w:t>
            </w:r>
          </w:p>
        </w:tc>
        <w:tc>
          <w:tcPr>
            <w:tcW w:type="dxa" w:w="3389"/>
            <w:vAlign w:val="center"/>
          </w:tcPr>
          <w:p>
            <w:r>
              <w:t>Validar clareza, executabilidade, segurança, responsabilidades, métricas e evidências propostas.</w:t>
            </w:r>
          </w:p>
        </w:tc>
      </w:tr>
      <w:tr>
        <w:tc>
          <w:tcPr>
            <w:tcW w:type="dxa" w:w="3389"/>
            <w:vAlign w:val="center"/>
          </w:tcPr>
          <w:p>
            <w:r>
              <w:t>Rastreabilidade normativa</w:t>
            </w:r>
          </w:p>
        </w:tc>
        <w:tc>
          <w:tcPr>
            <w:tcW w:type="dxa" w:w="3389"/>
            <w:vAlign w:val="center"/>
          </w:tcPr>
          <w:p>
            <w:r>
              <w:t>Há tabelas e referências em diferentes documentos, mas a rastreabilidade integral ainda não está comprovada.</w:t>
            </w:r>
          </w:p>
        </w:tc>
        <w:tc>
          <w:tcPr>
            <w:tcW w:type="dxa" w:w="3389"/>
            <w:vAlign w:val="center"/>
          </w:tcPr>
          <w:p>
            <w:r>
              <w:t>Consolidar uma matriz com fonte, edição, requisito, controle, processo, responsável e evidência esperada.</w:t>
            </w:r>
          </w:p>
        </w:tc>
      </w:tr>
    </w:tbl>
    <w:p/>
    <w:p>
      <w:r>
        <w:t>Nota de atualização: o documento original afirmava que os textos estendidos dos Projetos 2 a 9 ainda precisavam ser elaborados. Como o acervo atualmente disponibilizado inclui documentos desses processos, essa afirmação não deve ser mantida como situação atual. A existência dos arquivos, contudo, não comprova que estejam tecnicamente validados ou prontos para uso.</w:t>
      </w:r>
    </w:p>
    <w:p>
      <w:pPr>
        <w:pStyle w:val="Heading1"/>
      </w:pPr>
      <w:r>
        <w:t>3. Alinhamento GRC, regulação e controles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Referência citada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Controle ou preocupação descrita no original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Processos relacionados e ressalvas</w:t>
            </w:r>
          </w:p>
        </w:tc>
      </w:tr>
      <w:tr>
        <w:tc>
          <w:tcPr>
            <w:tcW w:type="dxa" w:w="3389"/>
            <w:vAlign w:val="center"/>
          </w:tcPr>
          <w:p>
            <w:r>
              <w:t>SOX — ITGC</w:t>
            </w:r>
          </w:p>
        </w:tc>
        <w:tc>
          <w:tcPr>
            <w:tcW w:type="dxa" w:w="3389"/>
            <w:vAlign w:val="center"/>
          </w:tcPr>
          <w:p>
            <w:r>
              <w:t>Segregação de funções, aprovação prévia de mudanças e rastreabilidade de configuração.</w:t>
            </w:r>
          </w:p>
        </w:tc>
        <w:tc>
          <w:tcPr>
            <w:tcW w:type="dxa" w:w="3389"/>
            <w:vAlign w:val="center"/>
          </w:tcPr>
          <w:p>
            <w:r>
              <w:t>P03 Mudanças e P07 Ativos/CMDB; aplicabilidade depende do contexto da organização.</w:t>
            </w:r>
          </w:p>
        </w:tc>
      </w:tr>
      <w:tr>
        <w:tc>
          <w:tcPr>
            <w:tcW w:type="dxa" w:w="3389"/>
            <w:vAlign w:val="center"/>
          </w:tcPr>
          <w:p>
            <w:r>
              <w:t>LGPD</w:t>
            </w:r>
          </w:p>
        </w:tc>
        <w:tc>
          <w:tcPr>
            <w:tcW w:type="dxa" w:w="3389"/>
            <w:vAlign w:val="center"/>
          </w:tcPr>
          <w:p>
            <w:r>
              <w:t>Tratamento de incidentes com dados pessoais, segurança, descarte e criptografia.</w:t>
            </w:r>
          </w:p>
        </w:tc>
        <w:tc>
          <w:tcPr>
            <w:tcW w:type="dxa" w:w="3389"/>
            <w:vAlign w:val="center"/>
          </w:tcPr>
          <w:p>
            <w:r>
              <w:t>P06 SGSI e P01 Incidentes; prazos e deveres de comunicação devem ser verificados conforme a regulamentação aplicável.</w:t>
            </w:r>
          </w:p>
        </w:tc>
      </w:tr>
      <w:tr>
        <w:tc>
          <w:tcPr>
            <w:tcW w:type="dxa" w:w="3389"/>
            <w:vAlign w:val="center"/>
          </w:tcPr>
          <w:p>
            <w:r>
              <w:t>COSO</w:t>
            </w:r>
          </w:p>
        </w:tc>
        <w:tc>
          <w:tcPr>
            <w:tcW w:type="dxa" w:w="3389"/>
            <w:vAlign w:val="center"/>
          </w:tcPr>
          <w:p>
            <w:r>
              <w:t>Avaliação de mudanças que possam impactar controles internos.</w:t>
            </w:r>
          </w:p>
        </w:tc>
        <w:tc>
          <w:tcPr>
            <w:tcW w:type="dxa" w:w="3389"/>
            <w:vAlign w:val="center"/>
          </w:tcPr>
          <w:p>
            <w:r>
              <w:t>P03 Mudanças e P10 Avaliação; a correspondência específica de princípio/controle requer validação.</w:t>
            </w:r>
          </w:p>
        </w:tc>
      </w:tr>
      <w:tr>
        <w:tc>
          <w:tcPr>
            <w:tcW w:type="dxa" w:w="3389"/>
            <w:vAlign w:val="center"/>
          </w:tcPr>
          <w:p>
            <w:r>
              <w:t>ISO 37001 / ISO 37301</w:t>
            </w:r>
          </w:p>
        </w:tc>
        <w:tc>
          <w:tcPr>
            <w:tcW w:type="dxa" w:w="3389"/>
            <w:vAlign w:val="center"/>
          </w:tcPr>
          <w:p>
            <w:r>
              <w:t>Due diligence de integridade e compliance de fornecedores.</w:t>
            </w:r>
          </w:p>
        </w:tc>
        <w:tc>
          <w:tcPr>
            <w:tcW w:type="dxa" w:w="3389"/>
            <w:vAlign w:val="center"/>
          </w:tcPr>
          <w:p>
            <w:r>
              <w:t>P08 Fornecedores/BRM; controles dependem de risco e requisitos aplicáveis.</w:t>
            </w:r>
          </w:p>
        </w:tc>
      </w:tr>
      <w:tr>
        <w:tc>
          <w:tcPr>
            <w:tcW w:type="dxa" w:w="3389"/>
            <w:vAlign w:val="center"/>
          </w:tcPr>
          <w:p>
            <w:r>
              <w:t>CIS Controls</w:t>
            </w:r>
          </w:p>
        </w:tc>
        <w:tc>
          <w:tcPr>
            <w:tcW w:type="dxa" w:w="3389"/>
            <w:vAlign w:val="center"/>
          </w:tcPr>
          <w:p>
            <w:r>
              <w:t>Gestão e resposta a incidentes de cibersegurança.</w:t>
            </w:r>
          </w:p>
        </w:tc>
        <w:tc>
          <w:tcPr>
            <w:tcW w:type="dxa" w:w="3389"/>
            <w:vAlign w:val="center"/>
          </w:tcPr>
          <w:p>
            <w:r>
              <w:t>P01 Incidentes e P05 Continuidade; verificar a edição e o controle exato citados.</w:t>
            </w:r>
          </w:p>
        </w:tc>
      </w:tr>
      <w:tr>
        <w:tc>
          <w:tcPr>
            <w:tcW w:type="dxa" w:w="3389"/>
            <w:vAlign w:val="center"/>
          </w:tcPr>
          <w:p>
            <w:r>
              <w:t>ISO/IEC 42001 e referências de IA</w:t>
            </w:r>
          </w:p>
        </w:tc>
        <w:tc>
          <w:tcPr>
            <w:tcW w:type="dxa" w:w="3389"/>
            <w:vAlign w:val="center"/>
          </w:tcPr>
          <w:p>
            <w:r>
              <w:t>Avaliação de impacto, governança e riscos de sistemas de IA.</w:t>
            </w:r>
          </w:p>
        </w:tc>
        <w:tc>
          <w:tcPr>
            <w:tcW w:type="dxa" w:w="3389"/>
            <w:vAlign w:val="center"/>
          </w:tcPr>
          <w:p>
            <w:r>
              <w:t>Aplicação transversal conforme uso real de IA; não presumir que todos os processos utilizem IA.</w:t>
            </w:r>
          </w:p>
        </w:tc>
      </w:tr>
    </w:tbl>
    <w:p/>
    <w:p>
      <w:r>
        <w:t>Esta matriz representa o mapeamento conceitual do documento original. Não é parecer jurídico nem declaração de conformidade. A versão final deverá conferir os textos oficiais, as edições e a aplicabilidade dos requisitos.</w:t>
      </w:r>
    </w:p>
    <w:p>
      <w:pPr>
        <w:pStyle w:val="Heading1"/>
      </w:pPr>
      <w:r>
        <w:t>4. Lacunas e dependências críticas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Artefato / tema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Lacuna ou risco identificado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Ação proposta</w:t>
            </w:r>
          </w:p>
        </w:tc>
      </w:tr>
      <w:tr>
        <w:tc>
          <w:tcPr>
            <w:tcW w:type="dxa" w:w="3389"/>
            <w:vAlign w:val="center"/>
          </w:tcPr>
          <w:p>
            <w:r>
              <w:t>Documento Mestre — Nível 1</w:t>
            </w:r>
          </w:p>
        </w:tc>
        <w:tc>
          <w:tcPr>
            <w:tcW w:type="dxa" w:w="3389"/>
            <w:vAlign w:val="center"/>
          </w:tcPr>
          <w:p>
            <w:r>
              <w:t>Necessidade de consistência com os processos, o roadmap e as premissas do case.</w:t>
            </w:r>
          </w:p>
        </w:tc>
        <w:tc>
          <w:tcPr>
            <w:tcW w:type="dxa" w:w="3389"/>
            <w:vAlign w:val="center"/>
          </w:tcPr>
          <w:p>
            <w:r>
              <w:t>Manter como referência integradora e alinhar versões e termos.</w:t>
            </w:r>
          </w:p>
        </w:tc>
      </w:tr>
      <w:tr>
        <w:tc>
          <w:tcPr>
            <w:tcW w:type="dxa" w:w="3389"/>
            <w:vAlign w:val="center"/>
          </w:tcPr>
          <w:p>
            <w:r>
              <w:t>Documentos dos dez processos — Nível 2</w:t>
            </w:r>
          </w:p>
        </w:tc>
        <w:tc>
          <w:tcPr>
            <w:tcW w:type="dxa" w:w="3389"/>
            <w:vAlign w:val="center"/>
          </w:tcPr>
          <w:p>
            <w:r>
              <w:t>Possíveis diferenças de profundidade, estrutura, prazos, metas e referências.</w:t>
            </w:r>
          </w:p>
        </w:tc>
        <w:tc>
          <w:tcPr>
            <w:tcW w:type="dxa" w:w="3389"/>
            <w:vAlign w:val="center"/>
          </w:tcPr>
          <w:p>
            <w:r>
              <w:t>Revisar um arquivo por vez; comparar com o Documento Mestre e o roadmap.</w:t>
            </w:r>
          </w:p>
        </w:tc>
      </w:tr>
      <w:tr>
        <w:tc>
          <w:tcPr>
            <w:tcW w:type="dxa" w:w="3389"/>
            <w:vAlign w:val="center"/>
          </w:tcPr>
          <w:p>
            <w:r>
              <w:t>POPs, políticas e anexos — Nível 3</w:t>
            </w:r>
          </w:p>
        </w:tc>
        <w:tc>
          <w:tcPr>
            <w:tcW w:type="dxa" w:w="3389"/>
            <w:vAlign w:val="center"/>
          </w:tcPr>
          <w:p>
            <w:r>
              <w:t>Alguns trechos podem soar como normas institucionais aprovadas ou procedimentos já em vigor.</w:t>
            </w:r>
          </w:p>
        </w:tc>
        <w:tc>
          <w:tcPr>
            <w:tcW w:type="dxa" w:w="3389"/>
            <w:vAlign w:val="center"/>
          </w:tcPr>
          <w:p>
            <w:r>
              <w:t>Identificar como modelos propostos e distinguir exemplos de registros reais.</w:t>
            </w:r>
          </w:p>
        </w:tc>
      </w:tr>
      <w:tr>
        <w:tc>
          <w:tcPr>
            <w:tcW w:type="dxa" w:w="3389"/>
            <w:vAlign w:val="center"/>
          </w:tcPr>
          <w:p>
            <w:r>
              <w:t>Matriz de rastreabilidade</w:t>
            </w:r>
          </w:p>
        </w:tc>
        <w:tc>
          <w:tcPr>
            <w:tcW w:type="dxa" w:w="3389"/>
            <w:vAlign w:val="center"/>
          </w:tcPr>
          <w:p>
            <w:r>
              <w:t>Não há comprovação de mapeamento integral entre todas as fontes, os dez processos e as evidências.</w:t>
            </w:r>
          </w:p>
        </w:tc>
        <w:tc>
          <w:tcPr>
            <w:tcW w:type="dxa" w:w="3389"/>
            <w:vAlign w:val="center"/>
          </w:tcPr>
          <w:p>
            <w:r>
              <w:t>Construir e verificar a matriz após revisão dos documentos de origem.</w:t>
            </w:r>
          </w:p>
        </w:tc>
      </w:tr>
      <w:tr>
        <w:tc>
          <w:tcPr>
            <w:tcW w:type="dxa" w:w="3389"/>
            <w:vAlign w:val="center"/>
          </w:tcPr>
          <w:p>
            <w:r>
              <w:t>Metas e business case</w:t>
            </w:r>
          </w:p>
        </w:tc>
        <w:tc>
          <w:tcPr>
            <w:tcW w:type="dxa" w:w="3389"/>
            <w:vAlign w:val="center"/>
          </w:tcPr>
          <w:p>
            <w:r>
              <w:t>Valores financeiros e metas aparecem sem memória de cálculo completa no material analisado.</w:t>
            </w:r>
          </w:p>
        </w:tc>
        <w:tc>
          <w:tcPr>
            <w:tcW w:type="dxa" w:w="3389"/>
            <w:vAlign w:val="center"/>
          </w:tcPr>
          <w:p>
            <w:r>
              <w:t>Preservar como simulados até que fórmulas e premissas sejam documentadas.</w:t>
            </w:r>
          </w:p>
        </w:tc>
      </w:tr>
      <w:tr>
        <w:tc>
          <w:tcPr>
            <w:tcW w:type="dxa" w:w="3389"/>
            <w:vAlign w:val="center"/>
          </w:tcPr>
          <w:p>
            <w:r>
              <w:t>Prazos</w:t>
            </w:r>
          </w:p>
        </w:tc>
        <w:tc>
          <w:tcPr>
            <w:tcW w:type="dxa" w:w="3389"/>
            <w:vAlign w:val="center"/>
          </w:tcPr>
          <w:p>
            <w:r>
              <w:t>Há janelas de 60 dias, 90 dias e 18 meses em documentos diferentes.</w:t>
            </w:r>
          </w:p>
        </w:tc>
        <w:tc>
          <w:tcPr>
            <w:tcW w:type="dxa" w:w="3389"/>
            <w:vAlign w:val="center"/>
          </w:tcPr>
          <w:p>
            <w:r>
              <w:t>Tratar como estimativas de escopos distintos e definir dependências antes de consolidar.</w:t>
            </w:r>
          </w:p>
        </w:tc>
      </w:tr>
    </w:tbl>
    <w:p/>
    <w:p>
      <w:r>
        <w:t>Os prazos de 60 dias em um processo específico, 90 dias para implantação inicial do programa e 18 meses para evolução/maturação não devem ser automaticamente tratados como contraditórios. É necessário confirmar escopo, início, entregáveis e dependências de cada cronograma.</w:t>
      </w:r>
    </w:p>
    <w:p>
      <w:pPr>
        <w:pStyle w:val="Heading1"/>
      </w:pPr>
      <w:r>
        <w:t>5. Arquitetura documental proposta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Conteúdo esperado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Nível 1</w:t>
            </w:r>
          </w:p>
        </w:tc>
        <w:tc>
          <w:tcPr>
            <w:tcW w:type="dxa" w:w="3389"/>
            <w:vAlign w:val="center"/>
          </w:tcPr>
          <w:p>
            <w:r>
              <w:t>Documento Mestre do Programa</w:t>
            </w:r>
          </w:p>
        </w:tc>
        <w:tc>
          <w:tcPr>
            <w:tcW w:type="dxa" w:w="3389"/>
            <w:vAlign w:val="center"/>
          </w:tcPr>
          <w:p>
            <w:r>
              <w:t>Arquitetura integrada, modelo de governança, escopo, dependências, cronograma de referência, indicadores e sustentação.</w:t>
            </w:r>
          </w:p>
        </w:tc>
      </w:tr>
      <w:tr>
        <w:tc>
          <w:tcPr>
            <w:tcW w:type="dxa" w:w="3389"/>
            <w:vAlign w:val="center"/>
          </w:tcPr>
          <w:p>
            <w:r>
              <w:t>Nível 2</w:t>
            </w:r>
          </w:p>
        </w:tc>
        <w:tc>
          <w:tcPr>
            <w:tcW w:type="dxa" w:w="3389"/>
            <w:vAlign w:val="center"/>
          </w:tcPr>
          <w:p>
            <w:r>
              <w:t>Dez projetos de processos</w:t>
            </w:r>
          </w:p>
        </w:tc>
        <w:tc>
          <w:tcPr>
            <w:tcW w:type="dxa" w:w="3389"/>
            <w:vAlign w:val="center"/>
          </w:tcPr>
          <w:p>
            <w:r>
              <w:t>Objetivos, escopo, papéis, fluxos, controles, metas, integrações, riscos e critérios de aceite de cada processo.</w:t>
            </w:r>
          </w:p>
        </w:tc>
      </w:tr>
      <w:tr>
        <w:tc>
          <w:tcPr>
            <w:tcW w:type="dxa" w:w="3389"/>
            <w:vAlign w:val="center"/>
          </w:tcPr>
          <w:p>
            <w:r>
              <w:t>Nível 3</w:t>
            </w:r>
          </w:p>
        </w:tc>
        <w:tc>
          <w:tcPr>
            <w:tcW w:type="dxa" w:w="3389"/>
            <w:vAlign w:val="center"/>
          </w:tcPr>
          <w:p>
            <w:r>
              <w:t>Manuais e instrumentos operacionais</w:t>
            </w:r>
          </w:p>
        </w:tc>
        <w:tc>
          <w:tcPr>
            <w:tcW w:type="dxa" w:w="3389"/>
            <w:vAlign w:val="center"/>
          </w:tcPr>
          <w:p>
            <w:r>
              <w:t>POPs, modelos de política, formulários, checklists, matrizes e exemplos operacionais.</w:t>
            </w:r>
          </w:p>
        </w:tc>
      </w:tr>
      <w:tr>
        <w:tc>
          <w:tcPr>
            <w:tcW w:type="dxa" w:w="3389"/>
            <w:vAlign w:val="center"/>
          </w:tcPr>
          <w:p>
            <w:r>
              <w:t>Nível 4</w:t>
            </w:r>
          </w:p>
        </w:tc>
        <w:tc>
          <w:tcPr>
            <w:tcW w:type="dxa" w:w="3389"/>
            <w:vAlign w:val="center"/>
          </w:tcPr>
          <w:p>
            <w:r>
              <w:t>Materiais executivos e visuais</w:t>
            </w:r>
          </w:p>
        </w:tc>
        <w:tc>
          <w:tcPr>
            <w:tcW w:type="dxa" w:w="3389"/>
            <w:vAlign w:val="center"/>
          </w:tcPr>
          <w:p>
            <w:r>
              <w:t>Apresentações, diagramas, dashboards e infográficos, quando disponíveis e revisados.</w:t>
            </w:r>
          </w:p>
        </w:tc>
      </w:tr>
    </w:tbl>
    <w:p/>
    <w:p>
      <w:r>
        <w:t>A arquitetura acima é um modelo de organização do portfólio. A quantidade e a maturidade dos materiais devem ser descritas conforme o inventário real, sem afirmar que um item existe ou foi validado quando isso não tiver sido confirmado.</w:t>
      </w:r>
    </w:p>
    <w:p>
      <w:pPr>
        <w:pStyle w:val="Heading1"/>
      </w:pPr>
      <w:r>
        <w:t>6. Plano de trabalho e roadmap de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Escopo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Critério de conclusão proposto</w:t>
            </w:r>
          </w:p>
        </w:tc>
      </w:tr>
      <w:tr>
        <w:tc>
          <w:tcPr>
            <w:tcW w:type="dxa" w:w="3389"/>
            <w:vAlign w:val="center"/>
          </w:tcPr>
          <w:p>
            <w:r>
              <w:t>A — Diagnóstico e plano</w:t>
            </w:r>
          </w:p>
        </w:tc>
        <w:tc>
          <w:tcPr>
            <w:tcW w:type="dxa" w:w="3389"/>
            <w:vAlign w:val="center"/>
          </w:tcPr>
          <w:p>
            <w:r>
              <w:t>Inventário do acervo, identificação de lacunas e definição da ordem de revisão.</w:t>
            </w:r>
          </w:p>
        </w:tc>
        <w:tc>
          <w:tcPr>
            <w:tcW w:type="dxa" w:w="3389"/>
            <w:vAlign w:val="center"/>
          </w:tcPr>
          <w:p>
            <w:r>
              <w:t>Inventário rastreável e plano de revisão aprovados pelo autor.</w:t>
            </w:r>
          </w:p>
        </w:tc>
      </w:tr>
      <w:tr>
        <w:tc>
          <w:tcPr>
            <w:tcW w:type="dxa" w:w="3389"/>
            <w:vAlign w:val="center"/>
          </w:tcPr>
          <w:p>
            <w:r>
              <w:t>B — Documento Mestre</w:t>
            </w:r>
          </w:p>
        </w:tc>
        <w:tc>
          <w:tcPr>
            <w:tcW w:type="dxa" w:w="3389"/>
            <w:vAlign w:val="center"/>
          </w:tcPr>
          <w:p>
            <w:r>
              <w:t>Revisão completa do documento guarda-chuva.</w:t>
            </w:r>
          </w:p>
        </w:tc>
        <w:tc>
          <w:tcPr>
            <w:tcW w:type="dxa" w:w="3389"/>
            <w:vAlign w:val="center"/>
          </w:tcPr>
          <w:p>
            <w:r>
              <w:t>Versão revisada conferida quanto a conteúdo, ressalvas, metas e cronogramas.</w:t>
            </w:r>
          </w:p>
        </w:tc>
      </w:tr>
      <w:tr>
        <w:tc>
          <w:tcPr>
            <w:tcW w:type="dxa" w:w="3389"/>
            <w:vAlign w:val="center"/>
          </w:tcPr>
          <w:p>
            <w:r>
              <w:t>C — Roadmap integrador</w:t>
            </w:r>
          </w:p>
        </w:tc>
        <w:tc>
          <w:tcPr>
            <w:tcW w:type="dxa" w:w="3389"/>
            <w:vAlign w:val="center"/>
          </w:tcPr>
          <w:p>
            <w:r>
              <w:t>Revisão do sequenciamento das ondas, dependências, gates, custos e RACI.</w:t>
            </w:r>
          </w:p>
        </w:tc>
        <w:tc>
          <w:tcPr>
            <w:tcW w:type="dxa" w:w="3389"/>
            <w:vAlign w:val="center"/>
          </w:tcPr>
          <w:p>
            <w:r>
              <w:t>Coerência com o Documento Mestre e identificação explícita de estimativas.</w:t>
            </w:r>
          </w:p>
        </w:tc>
      </w:tr>
      <w:tr>
        <w:tc>
          <w:tcPr>
            <w:tcW w:type="dxa" w:w="3389"/>
            <w:vAlign w:val="center"/>
          </w:tcPr>
          <w:p>
            <w:r>
              <w:t>D — Dez processos</w:t>
            </w:r>
          </w:p>
        </w:tc>
        <w:tc>
          <w:tcPr>
            <w:tcW w:type="dxa" w:w="3389"/>
            <w:vAlign w:val="center"/>
          </w:tcPr>
          <w:p>
            <w:r>
              <w:t>Revisão individual dos documentos de processo, um por vez.</w:t>
            </w:r>
          </w:p>
        </w:tc>
        <w:tc>
          <w:tcPr>
            <w:tcW w:type="dxa" w:w="3389"/>
            <w:vAlign w:val="center"/>
          </w:tcPr>
          <w:p>
            <w:r>
              <w:t>Cada arquivo revisado sem perda de conteúdo, com alterações rastreáveis.</w:t>
            </w:r>
          </w:p>
        </w:tc>
      </w:tr>
      <w:tr>
        <w:tc>
          <w:tcPr>
            <w:tcW w:type="dxa" w:w="3389"/>
            <w:vAlign w:val="center"/>
          </w:tcPr>
          <w:p>
            <w:r>
              <w:t>E — Instrumentos e rastreabilidade</w:t>
            </w:r>
          </w:p>
        </w:tc>
        <w:tc>
          <w:tcPr>
            <w:tcW w:type="dxa" w:w="3389"/>
            <w:vAlign w:val="center"/>
          </w:tcPr>
          <w:p>
            <w:r>
              <w:t>Revisão de POPs, políticas-modelo, anexos, indicadores e referências.</w:t>
            </w:r>
          </w:p>
        </w:tc>
        <w:tc>
          <w:tcPr>
            <w:tcW w:type="dxa" w:w="3389"/>
            <w:vAlign w:val="center"/>
          </w:tcPr>
          <w:p>
            <w:r>
              <w:t>Matriz de rastreabilidade e lista de pendências verificadas; sem alegação de conformidade não comprovada.</w:t>
            </w:r>
          </w:p>
        </w:tc>
      </w:tr>
      <w:tr>
        <w:tc>
          <w:tcPr>
            <w:tcW w:type="dxa" w:w="3389"/>
            <w:vAlign w:val="center"/>
          </w:tcPr>
          <w:p>
            <w:r>
              <w:t>F — Consolidação para portfólio</w:t>
            </w:r>
          </w:p>
        </w:tc>
        <w:tc>
          <w:tcPr>
            <w:tcW w:type="dxa" w:w="3389"/>
            <w:vAlign w:val="center"/>
          </w:tcPr>
          <w:p>
            <w:r>
              <w:t>Revisão terminológica, metadados, avisos de case conceitual e organização pública.</w:t>
            </w:r>
          </w:p>
        </w:tc>
        <w:tc>
          <w:tcPr>
            <w:tcW w:type="dxa" w:w="3389"/>
            <w:vAlign w:val="center"/>
          </w:tcPr>
          <w:p>
            <w:r>
              <w:t>Acervo organizado e aprovado pelo autor para publicação.</w:t>
            </w:r>
          </w:p>
        </w:tc>
      </w:tr>
    </w:tbl>
    <w:p/>
    <w:p>
      <w:r>
        <w:t>Os períodos de execução de cada fase não estão definidos neste diagnóstico e deverão ser estimados conforme volume, complexidade e disponibilidade. O roadmap de implantação do programa não é automaticamente o cronograma desta revisão documental.</w:t>
      </w:r>
    </w:p>
    <w:p>
      <w:pPr>
        <w:pStyle w:val="Heading1"/>
      </w:pPr>
      <w:r>
        <w:t>7. Rastreabilidade, nível de certeza e governança do método</w:t>
      </w:r>
    </w:p>
    <w:p>
      <w:pPr>
        <w:pStyle w:val="Heading2"/>
      </w:pPr>
      <w:r>
        <w:t>Fatos documentais observáveis</w:t>
      </w:r>
    </w:p>
    <w:p>
      <w:pPr>
        <w:pStyle w:val="ListBullet"/>
      </w:pPr>
      <w:r>
        <w:t>O documento original apresenta sete domínios de referência e declara um inventário de 59 fontes.</w:t>
      </w:r>
    </w:p>
    <w:p>
      <w:pPr>
        <w:pStyle w:val="ListBullet"/>
      </w:pPr>
      <w:r>
        <w:t>O acervo disponibilizado nesta conversa contém um Documento Mestre, um roadmap consolidado, um diagnóstico executivo e documentos correspondentes aos dez processos.</w:t>
      </w:r>
    </w:p>
    <w:p>
      <w:pPr>
        <w:pStyle w:val="ListBullet"/>
      </w:pPr>
      <w:r>
        <w:t>Os documentos incluem metas, cronogramas, modelos de responsabilidade, tabelas de risco, anexos e referências técnicas que ainda precisam de revisão individual.</w:t>
      </w:r>
    </w:p>
    <w:p>
      <w:pPr>
        <w:pStyle w:val="Heading2"/>
      </w:pPr>
      <w:r>
        <w:t>Premissas e inferências</w:t>
      </w:r>
    </w:p>
    <w:p>
      <w:pPr>
        <w:pStyle w:val="ListBullet"/>
      </w:pPr>
      <w:r>
        <w:t>Os valores de R$ 320.000,00, ROI de 240%, VPL de R$ 680.000,00 e economia anual de R$ 160.000,00 são premissas simuladas mencionadas nos documentos; não foram validados por memória de cálculo.</w:t>
      </w:r>
    </w:p>
    <w:p>
      <w:pPr>
        <w:pStyle w:val="ListBullet"/>
      </w:pPr>
      <w:r>
        <w:t>A maturidade descrita em matrizes é cenário hipotético quando não há organização identificada e evidências verificáveis.</w:t>
      </w:r>
    </w:p>
    <w:p>
      <w:pPr>
        <w:pStyle w:val="ListBullet"/>
      </w:pPr>
      <w:r>
        <w:t>A presença de documentos no acervo não demonstra sua aprovação, adoção, implementação ou conformidade.</w:t>
      </w:r>
    </w:p>
    <w:p>
      <w:pPr>
        <w:pStyle w:val="Heading2"/>
      </w:pPr>
      <w:r>
        <w:t>Pontos de validação</w:t>
      </w:r>
    </w:p>
    <w:p>
      <w:pPr>
        <w:pStyle w:val="ListBullet"/>
      </w:pPr>
      <w:r>
        <w:t>Inventário integral e exato das 59 fontes, incluindo edição, título oficial e aplicabilidade.</w:t>
      </w:r>
    </w:p>
    <w:p>
      <w:pPr>
        <w:pStyle w:val="ListBullet"/>
      </w:pPr>
      <w:r>
        <w:t>Consistência entre o Documento Mestre, o roadmap, os dez processos e os instrumentos operacionais.</w:t>
      </w:r>
    </w:p>
    <w:p>
      <w:pPr>
        <w:pStyle w:val="ListBullet"/>
      </w:pPr>
      <w:r>
        <w:t>Definições e fórmulas de metas e indicadores, premissas financeiras e critérios de aceite.</w:t>
      </w:r>
    </w:p>
    <w:p>
      <w:pPr>
        <w:pStyle w:val="ListBullet"/>
      </w:pPr>
      <w:r>
        <w:t>Identificação de exemplos, nomes de sistemas, IDs, datas e evidências que possam ser confundidos com registros reais.</w:t>
      </w:r>
    </w:p>
    <w:p>
      <w:pPr>
        <w:pStyle w:val="ListBullet"/>
      </w:pPr>
      <w:r>
        <w:t>Adequação da linguagem pública e remoção de alegações de aprovação, execução, auditoria ou certificação que não tenham ocorrido.</w:t>
      </w:r>
    </w:p>
    <w:p>
      <w:pPr>
        <w:pStyle w:val="Heading1"/>
      </w:pPr>
      <w:r>
        <w:t>Premissas transversais do case</w:t>
      </w:r>
    </w:p>
    <w:p>
      <w:pPr>
        <w:pStyle w:val="ListBullet"/>
      </w:pPr>
      <w:r>
        <w:t>O programa é autoral e conceitual, destinado a demonstrar uma abordagem de governança, serviços e segurança de TI.</w:t>
      </w:r>
    </w:p>
    <w:p>
      <w:pPr>
        <w:pStyle w:val="ListBullet"/>
      </w:pPr>
      <w:r>
        <w:t>Os cenários organizacionais, diagnósticos, valores financeiros, metas, resultados e prazos são simulados ou estimados.</w:t>
      </w:r>
    </w:p>
    <w:p>
      <w:pPr>
        <w:pStyle w:val="ListBullet"/>
      </w:pPr>
      <w:r>
        <w:t>Os 90 dias representam uma janela inicial ilustrativa; o horizonte de 18 meses representa evolução e maturação. Os prazos podem mudar conforme o cenário.</w:t>
      </w:r>
    </w:p>
    <w:p>
      <w:pPr>
        <w:pStyle w:val="ListBullet"/>
      </w:pPr>
      <w:r>
        <w:t>Referências normativas são pontos de partida para análise, não comprovação de conformidade ou certificação.</w:t>
      </w:r>
    </w:p>
    <w:p>
      <w:pPr>
        <w:pStyle w:val="ListBullet"/>
      </w:pPr>
      <w:r>
        <w:t>Os documentos originais devem ser preservados para permitir comparação e rastreabilidade das revisões.</w:t>
      </w:r>
    </w:p>
    <w:p>
      <w:pPr>
        <w:pStyle w:val="Heading1"/>
      </w:pPr>
      <w:r>
        <w:t>Registro das principais alterações desta versão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Tema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Tratamento aplicado</w:t>
            </w:r>
          </w:p>
        </w:tc>
      </w:tr>
      <w:tr>
        <w:tc>
          <w:tcPr>
            <w:tcW w:type="dxa" w:w="5083"/>
            <w:vAlign w:val="center"/>
          </w:tcPr>
          <w:p>
            <w:r>
              <w:t>Identidade</w:t>
            </w:r>
          </w:p>
        </w:tc>
        <w:tc>
          <w:tcPr>
            <w:tcW w:type="dxa" w:w="5083"/>
            <w:vAlign w:val="center"/>
          </w:tcPr>
          <w:p>
            <w:r>
              <w:t>Removida a apresentação como edição corporativa Enterprise e como documento confidencial oficial; identificado como case conceitual.</w:t>
            </w:r>
          </w:p>
        </w:tc>
      </w:tr>
      <w:tr>
        <w:tc>
          <w:tcPr>
            <w:tcW w:type="dxa" w:w="5083"/>
            <w:vAlign w:val="center"/>
          </w:tcPr>
          <w:p>
            <w:r>
              <w:t>Inventário normativo</w:t>
            </w:r>
          </w:p>
        </w:tc>
        <w:tc>
          <w:tcPr>
            <w:tcW w:type="dxa" w:w="5083"/>
            <w:vAlign w:val="center"/>
          </w:tcPr>
          <w:p>
            <w:r>
              <w:t>As 59 fontes são descritas como quantidade declarada no original, sem alegar verificação integral.</w:t>
            </w:r>
          </w:p>
        </w:tc>
      </w:tr>
      <w:tr>
        <w:tc>
          <w:tcPr>
            <w:tcW w:type="dxa" w:w="5083"/>
            <w:vAlign w:val="center"/>
          </w:tcPr>
          <w:p>
            <w:r>
              <w:t>Estado dos documentos</w:t>
            </w:r>
          </w:p>
        </w:tc>
        <w:tc>
          <w:tcPr>
            <w:tcW w:type="dxa" w:w="5083"/>
            <w:vAlign w:val="center"/>
          </w:tcPr>
          <w:p>
            <w:r>
              <w:t>Corrigida a afirmação desatualizada de que os Projetos 2 a 9 ainda não possuem documentos Word; a existência não equivale a validação.</w:t>
            </w:r>
          </w:p>
        </w:tc>
      </w:tr>
      <w:tr>
        <w:tc>
          <w:tcPr>
            <w:tcW w:type="dxa" w:w="5083"/>
            <w:vAlign w:val="center"/>
          </w:tcPr>
          <w:p>
            <w:r>
              <w:t>Conformidade</w:t>
            </w:r>
          </w:p>
        </w:tc>
        <w:tc>
          <w:tcPr>
            <w:tcW w:type="dxa" w:w="5083"/>
            <w:vAlign w:val="center"/>
          </w:tcPr>
          <w:p>
            <w:r>
              <w:t>Matrizes regulatórias são tratadas como mapeamento conceitual sujeito a validação.</w:t>
            </w:r>
          </w:p>
        </w:tc>
      </w:tr>
      <w:tr>
        <w:tc>
          <w:tcPr>
            <w:tcW w:type="dxa" w:w="5083"/>
            <w:vAlign w:val="center"/>
          </w:tcPr>
          <w:p>
            <w:r>
              <w:t>Prazos</w:t>
            </w:r>
          </w:p>
        </w:tc>
        <w:tc>
          <w:tcPr>
            <w:tcW w:type="dxa" w:w="5083"/>
            <w:vAlign w:val="center"/>
          </w:tcPr>
          <w:p>
            <w:r>
              <w:t>Diferenciados cronogramas de processos, implantação inicial e evolução do programa.</w:t>
            </w:r>
          </w:p>
        </w:tc>
      </w:tr>
      <w:tr>
        <w:tc>
          <w:tcPr>
            <w:tcW w:type="dxa" w:w="5083"/>
            <w:vAlign w:val="center"/>
          </w:tcPr>
          <w:p>
            <w:r>
              <w:t>Plano de trabalho</w:t>
            </w:r>
          </w:p>
        </w:tc>
        <w:tc>
          <w:tcPr>
            <w:tcW w:type="dxa" w:w="5083"/>
            <w:vAlign w:val="center"/>
          </w:tcPr>
          <w:p>
            <w:r>
              <w:t>Reorganizado para corresponder ao acervo atual e à revisão documental sequencial.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SGS / SGSI — Projeto autoral e conceitual | Material demonstrativo para portfólio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Executivo do Acervo e Plano de Trabalho SGS / SGSI</dc:title>
  <dc:subject>Case conceitual de governança, serviços e segurança de TI</dc:subject>
  <dc:creator>José Eduardo Moura Cardozo</dc:creator>
  <cp:keywords/>
  <dc:description>Versão revisada para portfólio; inventário, prazos e resultados sujeitos a validação.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