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PROGRAMA INTEGRADO DE GOVERNANÇA,</w:t>
        <w:br/>
        <w:t>SERVIÇOS E SEGURANÇA DE TI (SGS / SGSI)</w:t>
      </w:r>
    </w:p>
    <w:p>
      <w:pPr>
        <w:jc w:val="center"/>
      </w:pPr>
      <w:r>
        <w:rPr>
          <w:b/>
          <w:sz w:val="28"/>
        </w:rPr>
        <w:t>DOCUMENTO MESTRE — ARQUITETURA, OPERAÇÃO E CONTROLES (NÍVEL 1)</w:t>
      </w:r>
    </w:p>
    <w:p>
      <w:pPr>
        <w:jc w:val="center"/>
      </w:pPr>
      <w:r>
        <w:rPr>
          <w:i/>
        </w:rPr>
        <w:t>Versão 1.1 — Case conceitual para portfólio profissional</w:t>
      </w:r>
    </w:p>
    <w:p/>
    <w:p>
      <w:pPr>
        <w:jc w:val="center"/>
      </w:pPr>
      <w:r>
        <w:rPr>
          <w:b/>
        </w:rPr>
        <w:t>Projeto autoral e conceitual. Não representa implantação, aprovação ou certificação empresarial real.</w:t>
      </w:r>
    </w:p>
    <w:p>
      <w:r>
        <w:br w:type="page"/>
      </w:r>
    </w:p>
    <w:p>
      <w:pPr>
        <w:pStyle w:val="Heading1"/>
      </w:pPr>
      <w:r>
        <w:t>Natureza e finalidade do documento</w:t>
      </w:r>
    </w:p>
    <w:p>
      <w:r>
        <w:t>Este documento integra um projeto autoral e conceitual desenvolvido para demonstrar uma abordagem integrada de Governança de TI, Gestão de Serviços, Gestão de Riscos, Controles e Segurança da Informação. O cenário, as estruturas organizacionais, os diagnósticos, as metas, os indicadores, os investimentos e os resultados financeiros são simulados para fins demonstrativos.</w:t>
      </w:r>
    </w:p>
    <w:p>
      <w:r>
        <w:t>As estimativas de prazo são referenciais de planejamento, não compromissos de execução. O plano considera uma implantação inicial ilustrativa de 90 dias e um horizonte de até 18 meses para evolução e maturação do programa. Os períodos podem mudar conforme diagnóstico, escopo, riscos, dependências, recursos, prioridades e condições de uma organização real.</w:t>
      </w:r>
    </w:p>
    <w:p>
      <w:r>
        <w:t>Os referenciais normativos e metodológicos citados são pontos de referência para desenho do modelo. Sua menção não comprova conformidade, certificação, implementação ou validação formal. Qualquer aplicação real requer avaliação de aplicabilidade e validação por profissionais e instâncias competentes.</w:t>
      </w:r>
    </w:p>
    <w:p>
      <w:pPr>
        <w:pStyle w:val="Heading1"/>
      </w:pPr>
      <w:r>
        <w:t>Capítulo 1 — Identificação, controle documental e histórico de revisões</w:t>
      </w:r>
    </w:p>
    <w:p>
      <w:r>
        <w:t>O Documento Mestre apresenta a arquitetura de referência do programa SGS / SGSI e organiza as propostas de governança, gestão de serviços, riscos, controles e segurança da informação. Em uma organização real, sua adoção como documento normativo dependeria de análise, adaptação e aprovação pelas instâncias competentes.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Informação</w:t>
            </w:r>
          </w:p>
        </w:tc>
      </w:tr>
      <w:tr>
        <w:tc>
          <w:tcPr>
            <w:tcW w:type="dxa" w:w="4968"/>
            <w:vAlign w:val="center"/>
          </w:tcPr>
          <w:p>
            <w:r>
              <w:t>Título</w:t>
            </w:r>
          </w:p>
        </w:tc>
        <w:tc>
          <w:tcPr>
            <w:tcW w:type="dxa" w:w="4968"/>
            <w:vAlign w:val="center"/>
          </w:tcPr>
          <w:p>
            <w:r>
              <w:t>Programa Integrado de Governança, Serviços e Segurança de TI (SGS / SGSI)</w:t>
            </w:r>
          </w:p>
        </w:tc>
      </w:tr>
      <w:tr>
        <w:tc>
          <w:tcPr>
            <w:tcW w:type="dxa" w:w="4968"/>
            <w:vAlign w:val="center"/>
          </w:tcPr>
          <w:p>
            <w:r>
              <w:t>Documento</w:t>
            </w:r>
          </w:p>
        </w:tc>
        <w:tc>
          <w:tcPr>
            <w:tcW w:type="dxa" w:w="4968"/>
            <w:vAlign w:val="center"/>
          </w:tcPr>
          <w:p>
            <w:r>
              <w:t>Documento Mestre — Arquitetura, Operação e Controles (Nível 1)</w:t>
            </w:r>
          </w:p>
        </w:tc>
      </w:tr>
      <w:tr>
        <w:tc>
          <w:tcPr>
            <w:tcW w:type="dxa" w:w="4968"/>
            <w:vAlign w:val="center"/>
          </w:tcPr>
          <w:p>
            <w:r>
              <w:t>Versão</w:t>
            </w:r>
          </w:p>
        </w:tc>
        <w:tc>
          <w:tcPr>
            <w:tcW w:type="dxa" w:w="4968"/>
            <w:vAlign w:val="center"/>
          </w:tcPr>
          <w:p>
            <w:r>
              <w:t>1.1 — revisão conceitual para portfólio</w:t>
            </w:r>
          </w:p>
        </w:tc>
      </w:tr>
      <w:tr>
        <w:tc>
          <w:tcPr>
            <w:tcW w:type="dxa" w:w="4968"/>
            <w:vAlign w:val="center"/>
          </w:tcPr>
          <w:p>
            <w:r>
              <w:t>Autor</w:t>
            </w:r>
          </w:p>
        </w:tc>
        <w:tc>
          <w:tcPr>
            <w:tcW w:type="dxa" w:w="4968"/>
            <w:vAlign w:val="center"/>
          </w:tcPr>
          <w:p>
            <w:r>
              <w:t>José Eduardo Moura Cardozo</w:t>
            </w:r>
          </w:p>
        </w:tc>
      </w:tr>
      <w:tr>
        <w:tc>
          <w:tcPr>
            <w:tcW w:type="dxa" w:w="4968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Documento conceitual em desenvolvimento; não aprovado como norma corporativa</w:t>
            </w:r>
          </w:p>
        </w:tc>
      </w:tr>
      <w:tr>
        <w:tc>
          <w:tcPr>
            <w:tcW w:type="dxa" w:w="4968"/>
            <w:vAlign w:val="center"/>
          </w:tcPr>
          <w:p>
            <w:r>
              <w:t>Uso previsto</w:t>
            </w:r>
          </w:p>
        </w:tc>
        <w:tc>
          <w:tcPr>
            <w:tcW w:type="dxa" w:w="4968"/>
            <w:vAlign w:val="center"/>
          </w:tcPr>
          <w:p>
            <w:r>
              <w:t>Demonstração de arquitetura e modelo de referência; adaptação necessária antes de uso real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12"/>
            <w:vAlign w:val="center"/>
          </w:tcPr>
          <w:p>
            <w:r>
              <w:t>1.0</w:t>
            </w:r>
          </w:p>
        </w:tc>
        <w:tc>
          <w:tcPr>
            <w:tcW w:type="dxa" w:w="3312"/>
            <w:vAlign w:val="center"/>
          </w:tcPr>
          <w:p>
            <w:r>
              <w:t>Estrutura conceitual inicial do programa, com vinte capítulos e premissas demonstrativas.</w:t>
            </w:r>
          </w:p>
        </w:tc>
        <w:tc>
          <w:tcPr>
            <w:tcW w:type="dxa" w:w="3312"/>
            <w:vAlign w:val="center"/>
          </w:tcPr>
          <w:p>
            <w:r>
              <w:t>Versão original do case</w:t>
            </w:r>
          </w:p>
        </w:tc>
      </w:tr>
      <w:tr>
        <w:tc>
          <w:tcPr>
            <w:tcW w:type="dxa" w:w="3312"/>
            <w:vAlign w:val="center"/>
          </w:tcPr>
          <w:p>
            <w:r>
              <w:t>1.1</w:t>
            </w:r>
          </w:p>
        </w:tc>
        <w:tc>
          <w:tcPr>
            <w:tcW w:type="dxa" w:w="3312"/>
            <w:vAlign w:val="center"/>
          </w:tcPr>
          <w:p>
            <w:r>
              <w:t>Revisão de transparência sobre natureza simulada, estimativas, status documental e cronogramas.</w:t>
            </w:r>
          </w:p>
        </w:tc>
        <w:tc>
          <w:tcPr>
            <w:tcW w:type="dxa" w:w="3312"/>
            <w:vAlign w:val="center"/>
          </w:tcPr>
          <w:p>
            <w:r>
              <w:t>Versão revisada para portfólio</w:t>
            </w:r>
          </w:p>
        </w:tc>
      </w:tr>
    </w:tbl>
    <w:p/>
    <w:p>
      <w:r>
        <w:t>O histórico registra revisões do próprio case. Não representa aprovação por CIO, CISO, conselho, comitê, auditoria ou organização externa. Em uma implantação real, o controle de versões, a distribuição e as aprovações devem seguir os procedimentos documentais da organização.</w:t>
      </w:r>
    </w:p>
    <w:p>
      <w:pPr>
        <w:pStyle w:val="Heading1"/>
      </w:pPr>
      <w:r>
        <w:t>Capítulo 2 — Sumário executivo do programa</w:t>
      </w:r>
    </w:p>
    <w:p>
      <w:r>
        <w:t>O Programa Integrado de Governança, Serviços e Segurança de TI responde, em caráter conceitual, a desafios frequentes em organizações dependentes de tecnologia: alinhamento entre TI e negócio, qualidade dos serviços, ameaças cibernéticas, requisitos regulatórios, continuidade operacional e eficiência financeira.</w:t>
      </w:r>
    </w:p>
    <w:p>
      <w:pPr>
        <w:pStyle w:val="Heading2"/>
      </w:pPr>
      <w:r>
        <w:t>Cenário financeiro simulado</w:t>
      </w:r>
    </w:p>
    <w:p>
      <w:pPr>
        <w:pStyle w:val="ListBullet"/>
      </w:pPr>
      <w:r>
        <w:t>Investimento total estimado: R$ 320.000,00, composto por R$ 180.000,00 de CAPEX para ferramentas e licenças e R$ 140.000,00 de OPEX para consultoria, treinamento e auditoria.</w:t>
      </w:r>
    </w:p>
    <w:p>
      <w:pPr>
        <w:pStyle w:val="ListBullet"/>
      </w:pPr>
      <w:r>
        <w:t>Retorno financeiro projetado no cenário original: ROI de 240% em três anos, payback de 14 meses e VPL de R$ 680.000,00.</w:t>
      </w:r>
    </w:p>
    <w:p>
      <w:pPr>
        <w:pStyle w:val="ListBullet"/>
      </w:pPr>
      <w:r>
        <w:t>Otimização de custos em nuvem: economia recorrente estimada de R$ 160.000,00 por ano, associada a iniciativas de FinOps.</w:t>
      </w:r>
    </w:p>
    <w:p>
      <w:r>
        <w:t>Todos os valores acima são premissas simuladas do case, mantidas a partir do documento original e ainda não validadas por memória de cálculo. A validação exigiria premissas explícitas, fluxo de caixa, custos de implantação e operação, horizonte de análise e método de cálculo reproduzível.</w:t>
      </w:r>
    </w:p>
    <w:p>
      <w:r>
        <w:t>O programa busca reduzir a exposição a riscos regulatórios, cibernéticos e operacionais, fortalecer a continuidade dos serviços e apoiar o atendimento de requisitos aplicáveis. A existência do programa, isoladamente, não garante eliminação de riscos, multas, interrupções ou apontamentos de auditoria.</w:t>
      </w:r>
    </w:p>
    <w:p>
      <w:pPr>
        <w:pStyle w:val="Heading1"/>
      </w:pPr>
      <w:r>
        <w:t>Capítulo 3 — Contexto organizacional, justificativa e objetivos estratégicos</w:t>
      </w:r>
    </w:p>
    <w:p>
      <w:r>
        <w:t>O cenário hipotético considera uma organização em que a ausência ou a baixa maturidade de práticas integradas de governança e gestão de serviços pode contribuir para indicadores desconectados da experiência do negócio, aquisições não coordenadas de software (Shadow IT) e vulnerabilidades de segurança. Essas condições são premissas do case, não achados de diagnóstico de uma organização real.</w:t>
      </w:r>
    </w:p>
    <w:p>
      <w:pPr>
        <w:pStyle w:val="Heading2"/>
      </w:pPr>
      <w:r>
        <w:t>Objetivos estratégicos propostos</w:t>
      </w:r>
    </w:p>
    <w:p>
      <w:pPr>
        <w:pStyle w:val="ListBullet"/>
      </w:pPr>
      <w:r>
        <w:t>Alinhamento estratégico bidirecional: vincular investimentos e iniciativas tecnológicas a objetivos de negócio mensuráveis.</w:t>
      </w:r>
    </w:p>
    <w:p>
      <w:pPr>
        <w:pStyle w:val="ListBullet"/>
      </w:pPr>
      <w:r>
        <w:t>Qualidade e disponibilidade: propor como referências iniciais o cumprimento de SLAs de pelo menos 95% e FCR de pelo menos 70%, sujeitos a definição de escopo e linha de base.</w:t>
      </w:r>
    </w:p>
    <w:p>
      <w:pPr>
        <w:pStyle w:val="ListBullet"/>
      </w:pPr>
      <w:r>
        <w:t>Segurança e resiliência: estruturar um SGSI inspirado na ISO/IEC 27001 e estabelecer processos de avaliação e resposta a incidentes e de atendimento aos requisitos legais aplicáveis, sem presumir certificação.</w:t>
      </w:r>
    </w:p>
    <w:p>
      <w:r>
        <w:t>As metas são propostas ilustrativas. Sua adoção depende de baseline, capacidade operacional, criticidade dos serviços, expectativas das partes interessadas e validação das áreas responsáveis.</w:t>
      </w:r>
    </w:p>
    <w:p>
      <w:pPr>
        <w:pStyle w:val="Heading1"/>
      </w:pPr>
      <w:r>
        <w:t>Capítulo 4 — Escopo, premissas, restrições e exclusões do programa</w:t>
      </w:r>
    </w:p>
    <w:p>
      <w:r>
        <w:t>O escopo conceitual abrange ativos, processos, pessoas e fornecedores associados à operação tecnológica.</w:t>
      </w:r>
    </w:p>
    <w:p>
      <w:pPr>
        <w:pStyle w:val="ListBullet"/>
      </w:pPr>
      <w:r>
        <w:t>Inclusões propostas: infraestrutura on-premises e multicloud; sistemas ERP/CRM; APIs; esteiras de desenvolvimento CI/CD; processos de atendimento N1, N2 e N3; contratos de terceiros; dispositivos de usuário final.</w:t>
      </w:r>
    </w:p>
    <w:p>
      <w:pPr>
        <w:pStyle w:val="ListBullet"/>
      </w:pPr>
      <w:r>
        <w:t>Premissas: patrocínio executivo, envolvimento das partes interessadas e disponibilidade de recursos a confirmar no cenário de aplicação.</w:t>
      </w:r>
    </w:p>
    <w:p>
      <w:pPr>
        <w:pStyle w:val="ListBullet"/>
      </w:pPr>
      <w:r>
        <w:t>Restrição ilustrativa: implantação inicial dos controles prioritários em 90 dias, sem paralisação indevida das operações correntes. Esse prazo é uma estimativa do case e pode ser revisto.</w:t>
      </w:r>
    </w:p>
    <w:p>
      <w:pPr>
        <w:pStyle w:val="ListBullet"/>
      </w:pPr>
      <w:r>
        <w:t>Exclusões: manutenção física de instalações prediais não conectadas à TI e desenvolvimento de código customizado para negócios de terceiros, salvo redefinição formal do escopo.</w:t>
      </w:r>
    </w:p>
    <w:p>
      <w:r>
        <w:t>Os limites deverão ser validados e documentados antes de qualquer implantação real.</w:t>
      </w:r>
    </w:p>
    <w:p>
      <w:pPr>
        <w:pStyle w:val="Heading1"/>
      </w:pPr>
      <w:r>
        <w:t>Capítulo 5 — Princípios metodológicos e referencial normativo</w:t>
      </w:r>
    </w:p>
    <w:p>
      <w:r>
        <w:t>O modelo combina referenciais de governança, serviços, segurança, riscos, compliance, inteligência artificial, agilidade e continuidade. A versão original menciona um acervo de 59 fontes, mas não apresenta neste capítulo a lista integral das 59 fontes; por isso, esse total não é tratado aqui como inventário verificado.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Domínio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Referenciais mencionados no original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Aplicação proposta</w:t>
            </w:r>
          </w:p>
        </w:tc>
      </w:tr>
      <w:tr>
        <w:tc>
          <w:tcPr>
            <w:tcW w:type="dxa" w:w="3312"/>
            <w:vAlign w:val="center"/>
          </w:tcPr>
          <w:p>
            <w:r>
              <w:t>Governança executiva</w:t>
            </w:r>
          </w:p>
        </w:tc>
        <w:tc>
          <w:tcPr>
            <w:tcW w:type="dxa" w:w="3312"/>
            <w:vAlign w:val="center"/>
          </w:tcPr>
          <w:p>
            <w:r>
              <w:t>ISO/IEC 38500; COBIT 5</w:t>
            </w:r>
          </w:p>
        </w:tc>
        <w:tc>
          <w:tcPr>
            <w:tcW w:type="dxa" w:w="3312"/>
            <w:vAlign w:val="center"/>
          </w:tcPr>
          <w:p>
            <w:r>
              <w:t>Avaliação, direcionamento, monitoramento e alçadas de decisão.</w:t>
            </w:r>
          </w:p>
        </w:tc>
      </w:tr>
      <w:tr>
        <w:tc>
          <w:tcPr>
            <w:tcW w:type="dxa" w:w="3312"/>
            <w:vAlign w:val="center"/>
          </w:tcPr>
          <w:p>
            <w:r>
              <w:t>Gestão de serviços</w:t>
            </w:r>
          </w:p>
        </w:tc>
        <w:tc>
          <w:tcPr>
            <w:tcW w:type="dxa" w:w="3312"/>
            <w:vAlign w:val="center"/>
          </w:tcPr>
          <w:p>
            <w:r>
              <w:t>ISO/IEC 20000-1; ITIL v4 / v3</w:t>
            </w:r>
          </w:p>
        </w:tc>
        <w:tc>
          <w:tcPr>
            <w:tcW w:type="dxa" w:w="3312"/>
            <w:vAlign w:val="center"/>
          </w:tcPr>
          <w:p>
            <w:r>
              <w:t>Incidentes, mudanças, níveis de serviço e catálogo.</w:t>
            </w:r>
          </w:p>
        </w:tc>
      </w:tr>
      <w:tr>
        <w:tc>
          <w:tcPr>
            <w:tcW w:type="dxa" w:w="3312"/>
            <w:vAlign w:val="center"/>
          </w:tcPr>
          <w:p>
            <w:r>
              <w:t>Segurança e privacidade</w:t>
            </w:r>
          </w:p>
        </w:tc>
        <w:tc>
          <w:tcPr>
            <w:tcW w:type="dxa" w:w="3312"/>
            <w:vAlign w:val="center"/>
          </w:tcPr>
          <w:p>
            <w:r>
              <w:t>ISO/IEC 27001:2022; ISO/IEC 27002; LGPD</w:t>
            </w:r>
          </w:p>
        </w:tc>
        <w:tc>
          <w:tcPr>
            <w:tcW w:type="dxa" w:w="3312"/>
            <w:vAlign w:val="center"/>
          </w:tcPr>
          <w:p>
            <w:r>
              <w:t>SGSI, controles de segurança, declaração de aplicabilidade e privacidade.</w:t>
            </w:r>
          </w:p>
        </w:tc>
      </w:tr>
      <w:tr>
        <w:tc>
          <w:tcPr>
            <w:tcW w:type="dxa" w:w="3312"/>
            <w:vAlign w:val="center"/>
          </w:tcPr>
          <w:p>
            <w:r>
              <w:t>Riscos e controles</w:t>
            </w:r>
          </w:p>
        </w:tc>
        <w:tc>
          <w:tcPr>
            <w:tcW w:type="dxa" w:w="3312"/>
            <w:vAlign w:val="center"/>
          </w:tcPr>
          <w:p>
            <w:r>
              <w:t>ISO 31000; ISO/IEC 27005; COSO 2013; SOX</w:t>
            </w:r>
          </w:p>
        </w:tc>
        <w:tc>
          <w:tcPr>
            <w:tcW w:type="dxa" w:w="3312"/>
            <w:vAlign w:val="center"/>
          </w:tcPr>
          <w:p>
            <w:r>
              <w:t>Avaliação de riscos, controles internos e auditoria, conforme aplicabilidade.</w:t>
            </w:r>
          </w:p>
        </w:tc>
      </w:tr>
      <w:tr>
        <w:tc>
          <w:tcPr>
            <w:tcW w:type="dxa" w:w="3312"/>
            <w:vAlign w:val="center"/>
          </w:tcPr>
          <w:p>
            <w:r>
              <w:t>Compliance e antissuborno</w:t>
            </w:r>
          </w:p>
        </w:tc>
        <w:tc>
          <w:tcPr>
            <w:tcW w:type="dxa" w:w="3312"/>
            <w:vAlign w:val="center"/>
          </w:tcPr>
          <w:p>
            <w:r>
              <w:t>ISO 37001; ISO 37301</w:t>
            </w:r>
          </w:p>
        </w:tc>
        <w:tc>
          <w:tcPr>
            <w:tcW w:type="dxa" w:w="3312"/>
            <w:vAlign w:val="center"/>
          </w:tcPr>
          <w:p>
            <w:r>
              <w:t>Due diligence de fornecedores e práticas de compliance.</w:t>
            </w:r>
          </w:p>
        </w:tc>
      </w:tr>
      <w:tr>
        <w:tc>
          <w:tcPr>
            <w:tcW w:type="dxa" w:w="3312"/>
            <w:vAlign w:val="center"/>
          </w:tcPr>
          <w:p>
            <w:r>
              <w:t>Governança de IA</w:t>
            </w:r>
          </w:p>
        </w:tc>
        <w:tc>
          <w:tcPr>
            <w:tcW w:type="dxa" w:w="3312"/>
            <w:vAlign w:val="center"/>
          </w:tcPr>
          <w:p>
            <w:r>
              <w:t>ISO/IEC 42001; ISO 22989; NIST AI 100-1 (referência citada no original)</w:t>
            </w:r>
          </w:p>
        </w:tc>
        <w:tc>
          <w:tcPr>
            <w:tcW w:type="dxa" w:w="3312"/>
            <w:vAlign w:val="center"/>
          </w:tcPr>
          <w:p>
            <w:r>
              <w:t>Avaliação de riscos, governança e uso responsável de sistemas de IA.</w:t>
            </w:r>
          </w:p>
        </w:tc>
      </w:tr>
      <w:tr>
        <w:tc>
          <w:tcPr>
            <w:tcW w:type="dxa" w:w="3312"/>
            <w:vAlign w:val="center"/>
          </w:tcPr>
          <w:p>
            <w:r>
              <w:t>Agilidade e continuidade</w:t>
            </w:r>
          </w:p>
        </w:tc>
        <w:tc>
          <w:tcPr>
            <w:tcW w:type="dxa" w:w="3312"/>
            <w:vAlign w:val="center"/>
          </w:tcPr>
          <w:p>
            <w:r>
              <w:t>The DevOps Handbook; ISO 22301</w:t>
            </w:r>
          </w:p>
        </w:tc>
        <w:tc>
          <w:tcPr>
            <w:tcW w:type="dxa" w:w="3312"/>
            <w:vAlign w:val="center"/>
          </w:tcPr>
          <w:p>
            <w:r>
              <w:t>Integração de mudanças, entrega de serviços e continuidade.</w:t>
            </w:r>
          </w:p>
        </w:tc>
      </w:tr>
    </w:tbl>
    <w:p/>
    <w:p>
      <w:r>
        <w:t>As referências foram mantidas como citadas no original, com normalização editorial pontual. Edição, título oficial, vigência, cláusulas e aplicabilidade precisam de verificação específica antes de uso normativo. A citação de um referencial não equivale a conformidade ou certificação.</w:t>
      </w:r>
    </w:p>
    <w:p>
      <w:pPr>
        <w:pStyle w:val="Heading1"/>
      </w:pPr>
      <w:r>
        <w:t>Capítulo 6 — Modelo de diagnóstico organizacional e avaliação de maturidade</w:t>
      </w:r>
    </w:p>
    <w:p>
      <w:r>
        <w:t>O case utiliza uma escala de capacidade de processos de 0 a 5, atribuída no original ao COBIT 5 / ISO/IEC 15504 (PAM). A correspondência exata entre escala, modelo de avaliação e referencial deve ser confirmada na etapa de validação metodológica.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Descrição conceitual preservada</w:t>
            </w:r>
          </w:p>
        </w:tc>
      </w:tr>
      <w:tr>
        <w:tc>
          <w:tcPr>
            <w:tcW w:type="dxa" w:w="4968"/>
            <w:vAlign w:val="center"/>
          </w:tcPr>
          <w:p>
            <w:r>
              <w:t>0 — Incompleto</w:t>
            </w:r>
          </w:p>
        </w:tc>
        <w:tc>
          <w:tcPr>
            <w:tcW w:type="dxa" w:w="4968"/>
            <w:vAlign w:val="center"/>
          </w:tcPr>
          <w:p>
            <w:r>
              <w:t>O processo não é realizado ou falha em atingir seu objetivo básico.</w:t>
            </w:r>
          </w:p>
        </w:tc>
      </w:tr>
      <w:tr>
        <w:tc>
          <w:tcPr>
            <w:tcW w:type="dxa" w:w="4968"/>
            <w:vAlign w:val="center"/>
          </w:tcPr>
          <w:p>
            <w:r>
              <w:t>1 — Executado</w:t>
            </w:r>
          </w:p>
        </w:tc>
        <w:tc>
          <w:tcPr>
            <w:tcW w:type="dxa" w:w="4968"/>
            <w:vAlign w:val="center"/>
          </w:tcPr>
          <w:p>
            <w:r>
              <w:t>O processo atinge seu propósito por meio de atividades ad hoc e informais.</w:t>
            </w:r>
          </w:p>
        </w:tc>
      </w:tr>
      <w:tr>
        <w:tc>
          <w:tcPr>
            <w:tcW w:type="dxa" w:w="4968"/>
            <w:vAlign w:val="center"/>
          </w:tcPr>
          <w:p>
            <w:r>
              <w:t>2 — Gerenciado</w:t>
            </w:r>
          </w:p>
        </w:tc>
        <w:tc>
          <w:tcPr>
            <w:tcW w:type="dxa" w:w="4968"/>
            <w:vAlign w:val="center"/>
          </w:tcPr>
          <w:p>
            <w:r>
              <w:t>O processo é planejado, monitorado e ajustado, produzindo produtos de trabalho definidos.</w:t>
            </w:r>
          </w:p>
        </w:tc>
      </w:tr>
      <w:tr>
        <w:tc>
          <w:tcPr>
            <w:tcW w:type="dxa" w:w="4968"/>
            <w:vAlign w:val="center"/>
          </w:tcPr>
          <w:p>
            <w:r>
              <w:t>3 — Estabelecido</w:t>
            </w:r>
          </w:p>
        </w:tc>
        <w:tc>
          <w:tcPr>
            <w:tcW w:type="dxa" w:w="4968"/>
            <w:vAlign w:val="center"/>
          </w:tcPr>
          <w:p>
            <w:r>
              <w:t>O processo é padronizado e documentado com base em diretrizes formais.</w:t>
            </w:r>
          </w:p>
        </w:tc>
      </w:tr>
      <w:tr>
        <w:tc>
          <w:tcPr>
            <w:tcW w:type="dxa" w:w="4968"/>
            <w:vAlign w:val="center"/>
          </w:tcPr>
          <w:p>
            <w:r>
              <w:t>4 — Previsível</w:t>
            </w:r>
          </w:p>
        </w:tc>
        <w:tc>
          <w:tcPr>
            <w:tcW w:type="dxa" w:w="4968"/>
            <w:vAlign w:val="center"/>
          </w:tcPr>
          <w:p>
            <w:r>
              <w:t>O processo opera dentro de limites definidos, com medição quantitativa e controle.</w:t>
            </w:r>
          </w:p>
        </w:tc>
      </w:tr>
      <w:tr>
        <w:tc>
          <w:tcPr>
            <w:tcW w:type="dxa" w:w="4968"/>
            <w:vAlign w:val="center"/>
          </w:tcPr>
          <w:p>
            <w:r>
              <w:t>5 — Otimizado</w:t>
            </w:r>
          </w:p>
        </w:tc>
        <w:tc>
          <w:tcPr>
            <w:tcW w:type="dxa" w:w="4968"/>
            <w:vAlign w:val="center"/>
          </w:tcPr>
          <w:p>
            <w:r>
              <w:t>O processo é continuamente melhorado para atender aos objetivos estratégicos futuros.</w:t>
            </w:r>
          </w:p>
        </w:tc>
      </w:tr>
    </w:tbl>
    <w:p/>
    <w:p>
      <w:r>
        <w:t>A escala é uma referência de trabalho do case. Uma avaliação real requer método definido, critérios, evidências, entrevistas e validação dos resultados.</w:t>
      </w:r>
    </w:p>
    <w:p>
      <w:pPr>
        <w:pStyle w:val="Heading1"/>
      </w:pPr>
      <w:r>
        <w:t>Capítulo 7 — Roteiro de entrevistas, levantamento de processos e evidências</w:t>
      </w:r>
    </w:p>
    <w:p>
      <w:r>
        <w:t>O modelo propõe coleta de informações por triangulação de fontes:</w:t>
      </w:r>
    </w:p>
    <w:p>
      <w:pPr>
        <w:pStyle w:val="ListBullet"/>
      </w:pPr>
      <w:r>
        <w:t>Entrevistas qualitativas com liderança executiva, gestores de negócio, analistas N1/N2/N3, segurança e auditoria.</w:t>
      </w:r>
    </w:p>
    <w:p>
      <w:pPr>
        <w:pStyle w:val="ListBullet"/>
      </w:pPr>
      <w:r>
        <w:t>Análise documental de políticas vigentes, contratos e SLAs, registros de Service Desk e atas de fóruns de mudanças.</w:t>
      </w:r>
    </w:p>
    <w:p>
      <w:pPr>
        <w:pStyle w:val="ListBullet"/>
      </w:pPr>
      <w:r>
        <w:t>Inspeção e observação da operação, simulação de incidentes críticos e verificação de itens de configuração na CMDB, quando autorizadas.</w:t>
      </w:r>
    </w:p>
    <w:p>
      <w:r>
        <w:t>Em aplicação real, a coleta deve observar autorização, confidencialidade, minimização de dados, rastreabilidade e proteção de informações pessoais e corporativas.</w:t>
      </w:r>
    </w:p>
    <w:p>
      <w:pPr>
        <w:pStyle w:val="Heading1"/>
      </w:pPr>
      <w:r>
        <w:t>Capítulo 8 — Avaliação de riscos corporativos e matriz de lacunas</w:t>
      </w:r>
    </w:p>
    <w:p>
      <w:r>
        <w:t>A proposta prevê identificar e avaliar riscos por probabilidade e impacto, utilizando referências de gestão de riscos e segurança da informação. A tabela abaixo reproduz o cenário de maturidade hipotético apresentado no original; não é diagnóstico de empresa real nem resultado de auditoria.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Área de processo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Maturidade atual simulada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Maturidade-alvo proposta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Lacuna ilustrativa</w:t>
            </w:r>
          </w:p>
        </w:tc>
      </w:tr>
      <w:tr>
        <w:tc>
          <w:tcPr>
            <w:tcW w:type="dxa" w:w="2484"/>
            <w:vAlign w:val="center"/>
          </w:tcPr>
          <w:p>
            <w:r>
              <w:t>Gestão de Incidentes</w:t>
            </w:r>
          </w:p>
        </w:tc>
        <w:tc>
          <w:tcPr>
            <w:tcW w:type="dxa" w:w="2484"/>
            <w:vAlign w:val="center"/>
          </w:tcPr>
          <w:p>
            <w:r>
              <w:t>Nível 1 — Informal</w:t>
            </w:r>
          </w:p>
        </w:tc>
        <w:tc>
          <w:tcPr>
            <w:tcW w:type="dxa" w:w="2484"/>
            <w:vAlign w:val="center"/>
          </w:tcPr>
          <w:p>
            <w:r>
              <w:t>Nível 3 — Estabelecido</w:t>
            </w:r>
          </w:p>
        </w:tc>
        <w:tc>
          <w:tcPr>
            <w:tcW w:type="dxa" w:w="2484"/>
            <w:vAlign w:val="center"/>
          </w:tcPr>
          <w:p>
            <w:r>
              <w:t>Ausência hipotética de classificação P1 e sala de crise.</w:t>
            </w:r>
          </w:p>
        </w:tc>
      </w:tr>
      <w:tr>
        <w:tc>
          <w:tcPr>
            <w:tcW w:type="dxa" w:w="2484"/>
            <w:vAlign w:val="center"/>
          </w:tcPr>
          <w:p>
            <w:r>
              <w:t>Gestão de Mudanças</w:t>
            </w:r>
          </w:p>
        </w:tc>
        <w:tc>
          <w:tcPr>
            <w:tcW w:type="dxa" w:w="2484"/>
            <w:vAlign w:val="center"/>
          </w:tcPr>
          <w:p>
            <w:r>
              <w:t>Nível 0 — Inexistente</w:t>
            </w:r>
          </w:p>
        </w:tc>
        <w:tc>
          <w:tcPr>
            <w:tcW w:type="dxa" w:w="2484"/>
            <w:vAlign w:val="center"/>
          </w:tcPr>
          <w:p>
            <w:r>
              <w:t>Nível 3 — Estabelecido</w:t>
            </w:r>
          </w:p>
        </w:tc>
        <w:tc>
          <w:tcPr>
            <w:tcW w:type="dxa" w:w="2484"/>
            <w:vAlign w:val="center"/>
          </w:tcPr>
          <w:p>
            <w:r>
              <w:t>Alterações em produção sem fórum formal de avaliação, no cenário simulado.</w:t>
            </w:r>
          </w:p>
        </w:tc>
      </w:tr>
      <w:tr>
        <w:tc>
          <w:tcPr>
            <w:tcW w:type="dxa" w:w="2484"/>
            <w:vAlign w:val="center"/>
          </w:tcPr>
          <w:p>
            <w:r>
              <w:t>Segurança (SGSI)</w:t>
            </w:r>
          </w:p>
        </w:tc>
        <w:tc>
          <w:tcPr>
            <w:tcW w:type="dxa" w:w="2484"/>
            <w:vAlign w:val="center"/>
          </w:tcPr>
          <w:p>
            <w:r>
              <w:t>Nível 1 — Parcial</w:t>
            </w:r>
          </w:p>
        </w:tc>
        <w:tc>
          <w:tcPr>
            <w:tcW w:type="dxa" w:w="2484"/>
            <w:vAlign w:val="center"/>
          </w:tcPr>
          <w:p>
            <w:r>
              <w:t>Nível 4 — Previsível</w:t>
            </w:r>
          </w:p>
        </w:tc>
        <w:tc>
          <w:tcPr>
            <w:tcW w:type="dxa" w:w="2484"/>
            <w:vAlign w:val="center"/>
          </w:tcPr>
          <w:p>
            <w:r>
              <w:t>Ausência hipotética de SoA, SIEM e formalização de papéis.</w:t>
            </w:r>
          </w:p>
        </w:tc>
      </w:tr>
      <w:tr>
        <w:tc>
          <w:tcPr>
            <w:tcW w:type="dxa" w:w="2484"/>
            <w:vAlign w:val="center"/>
          </w:tcPr>
          <w:p>
            <w:r>
              <w:t>Ativos e CMDB</w:t>
            </w:r>
          </w:p>
        </w:tc>
        <w:tc>
          <w:tcPr>
            <w:tcW w:type="dxa" w:w="2484"/>
            <w:vAlign w:val="center"/>
          </w:tcPr>
          <w:p>
            <w:r>
              <w:t>Nível 1 — Planilhas</w:t>
            </w:r>
          </w:p>
        </w:tc>
        <w:tc>
          <w:tcPr>
            <w:tcW w:type="dxa" w:w="2484"/>
            <w:vAlign w:val="center"/>
          </w:tcPr>
          <w:p>
            <w:r>
              <w:t>Nível 3 — Estabelecido</w:t>
            </w:r>
          </w:p>
        </w:tc>
        <w:tc>
          <w:tcPr>
            <w:tcW w:type="dxa" w:w="2484"/>
            <w:vAlign w:val="center"/>
          </w:tcPr>
          <w:p>
            <w:r>
              <w:t>Licenças e itens de configuração potencialmente não mapeados.</w:t>
            </w:r>
          </w:p>
        </w:tc>
      </w:tr>
      <w:tr>
        <w:tc>
          <w:tcPr>
            <w:tcW w:type="dxa" w:w="2484"/>
            <w:vAlign w:val="center"/>
          </w:tcPr>
          <w:p>
            <w:r>
              <w:t>Continuidade (ITSCM)</w:t>
            </w:r>
          </w:p>
        </w:tc>
        <w:tc>
          <w:tcPr>
            <w:tcW w:type="dxa" w:w="2484"/>
            <w:vAlign w:val="center"/>
          </w:tcPr>
          <w:p>
            <w:r>
              <w:t>Nível 0 — Sem BIA</w:t>
            </w:r>
          </w:p>
        </w:tc>
        <w:tc>
          <w:tcPr>
            <w:tcW w:type="dxa" w:w="2484"/>
            <w:vAlign w:val="center"/>
          </w:tcPr>
          <w:p>
            <w:r>
              <w:t>Nível 3 — Estabelecido</w:t>
            </w:r>
          </w:p>
        </w:tc>
        <w:tc>
          <w:tcPr>
            <w:tcW w:type="dxa" w:w="2484"/>
            <w:vAlign w:val="center"/>
          </w:tcPr>
          <w:p>
            <w:r>
              <w:t>Ausência hipotética de testes de RTO/RPO e DRP.</w:t>
            </w:r>
          </w:p>
        </w:tc>
      </w:tr>
    </w:tbl>
    <w:p/>
    <w:p>
      <w:r>
        <w:t>As classificações e lacunas são exemplos para demonstrar o método. Não devem ser divulgadas ou reutilizadas como constatações sobre uma organização sem levantamento e evidências.</w:t>
      </w:r>
    </w:p>
    <w:p>
      <w:pPr>
        <w:pStyle w:val="Heading1"/>
      </w:pPr>
      <w:r>
        <w:t>Capítulo 9 — Modelo operacional e arquitetura de governança de TI</w:t>
      </w:r>
    </w:p>
    <w:p>
      <w:r>
        <w:t>O modelo propõe distinguir governança e gestão, tomando como referência a separação entre avaliar, direcionar e monitorar e as atividades de planejar, construir, executar e monitorar serviços.</w:t>
      </w:r>
    </w:p>
    <w:p>
      <w:pPr>
        <w:pStyle w:val="ListBullet"/>
      </w:pPr>
      <w:r>
        <w:t>Governança (EDM — Evaluate, Direct, Monitor): avaliação do contexto, direcionamento de estratégias e investimentos e monitoramento do desempenho e da conformidade.</w:t>
      </w:r>
    </w:p>
    <w:p>
      <w:pPr>
        <w:pStyle w:val="ListBullet"/>
      </w:pPr>
      <w:r>
        <w:t>Gestão (PBRM, conforme nomenclatura do original): planejamento, construção, execução e monitoramento dos serviços de TI.</w:t>
      </w:r>
    </w:p>
    <w:p>
      <w:r>
        <w:t>A nomenclatura e o mapeamento dos modelos devem ser validados contra a edição aplicável do referencial escolhido antes de uso formal. Papéis e alçadas dependem da estrutura de cada organização.</w:t>
      </w:r>
    </w:p>
    <w:p>
      <w:pPr>
        <w:pStyle w:val="Heading1"/>
      </w:pPr>
      <w:r>
        <w:t>Capítulo 10 — Arquitetura integrada dos dez processos-base</w:t>
      </w:r>
    </w:p>
    <w:p>
      <w:pPr>
        <w:pStyle w:val="ListNumber"/>
      </w:pPr>
      <w:r>
        <w:rPr>
          <w:b/>
        </w:rPr>
        <w:t xml:space="preserve">01. Gestão de Incidentes: </w:t>
      </w:r>
      <w:r>
        <w:t>Restaurar serviços rapidamente e conter impactos. A referência original inclui SLA P1 ≤ 2 horas; o relógio e o objetivo exato precisam ser definidos.</w:t>
      </w:r>
    </w:p>
    <w:p>
      <w:pPr>
        <w:pStyle w:val="ListNumber"/>
      </w:pPr>
      <w:r>
        <w:rPr>
          <w:b/>
        </w:rPr>
        <w:t xml:space="preserve">02. Gestão de Problemas e KEDB: </w:t>
      </w:r>
      <w:r>
        <w:t>Investigar causas-raiz (RCA), registrar erros conhecidos e reduzir reincidências.</w:t>
      </w:r>
    </w:p>
    <w:p>
      <w:pPr>
        <w:pStyle w:val="ListNumber"/>
      </w:pPr>
      <w:r>
        <w:rPr>
          <w:b/>
        </w:rPr>
        <w:t xml:space="preserve">03. Gestão de Mudanças e Liberações: </w:t>
      </w:r>
      <w:r>
        <w:t>Avaliar riscos de alterações e estabelecer fluxo de autorização e controle de mudanças.</w:t>
      </w:r>
    </w:p>
    <w:p>
      <w:pPr>
        <w:pStyle w:val="ListNumber"/>
      </w:pPr>
      <w:r>
        <w:rPr>
          <w:b/>
        </w:rPr>
        <w:t xml:space="preserve">04. Gestão de SLM e Catálogo: </w:t>
      </w:r>
      <w:r>
        <w:t>Definir acordos de nível de serviço e disponibilizar catálogo de serviços.</w:t>
      </w:r>
    </w:p>
    <w:p>
      <w:pPr>
        <w:pStyle w:val="ListNumber"/>
      </w:pPr>
      <w:r>
        <w:rPr>
          <w:b/>
        </w:rPr>
        <w:t xml:space="preserve">05. Gestão de Continuidade (ITSCM): </w:t>
      </w:r>
      <w:r>
        <w:t>Planejar recuperação de desastres; o original propõe RTO &lt; 2 horas e RPO &lt; 15 minutos como metas simuladas.</w:t>
      </w:r>
    </w:p>
    <w:p>
      <w:pPr>
        <w:pStyle w:val="ListNumber"/>
      </w:pPr>
      <w:r>
        <w:rPr>
          <w:b/>
        </w:rPr>
        <w:t xml:space="preserve">06. Segurança da Informação (SGSI): </w:t>
      </w:r>
      <w:r>
        <w:t>Gerir acessos, criptografia, PAM, SIEM e requisitos de segurança e privacidade aplicáveis.</w:t>
      </w:r>
    </w:p>
    <w:p>
      <w:pPr>
        <w:pStyle w:val="ListNumber"/>
      </w:pPr>
      <w:r>
        <w:rPr>
          <w:b/>
        </w:rPr>
        <w:t xml:space="preserve">07. Gestão de Ativos (ITAM) e CMDB: </w:t>
      </w:r>
      <w:r>
        <w:t>Mapear ativos, licenças e itens de configuração.</w:t>
      </w:r>
    </w:p>
    <w:p>
      <w:pPr>
        <w:pStyle w:val="ListNumber"/>
      </w:pPr>
      <w:r>
        <w:rPr>
          <w:b/>
        </w:rPr>
        <w:t xml:space="preserve">08. Gestão de Fornecedores e BRM: </w:t>
      </w:r>
      <w:r>
        <w:t>Gerir relacionamento, due diligence e desempenho contratual.</w:t>
      </w:r>
    </w:p>
    <w:p>
      <w:pPr>
        <w:pStyle w:val="ListNumber"/>
      </w:pPr>
      <w:r>
        <w:rPr>
          <w:b/>
        </w:rPr>
        <w:t xml:space="preserve">09. Demanda, Capacidade e FinOps: </w:t>
      </w:r>
      <w:r>
        <w:t>Gerir demanda, capacidade, custos e otimização de recursos em nuvem.</w:t>
      </w:r>
    </w:p>
    <w:p>
      <w:pPr>
        <w:pStyle w:val="ListNumber"/>
      </w:pPr>
      <w:r>
        <w:rPr>
          <w:b/>
        </w:rPr>
        <w:t xml:space="preserve">10. Desempenho, Auditoria e CSI: </w:t>
      </w:r>
      <w:r>
        <w:t>Acompanhar indicadores, auditorias e melhoria contínua por PDCA.</w:t>
      </w:r>
    </w:p>
    <w:p>
      <w:r>
        <w:t>Os dez processos formam uma arquitetura proposta. Metas específicas, controles, ferramentas e referências devem ser detalhados nos documentos de cada processo e validados quanto à consistência.</w:t>
      </w:r>
    </w:p>
    <w:p>
      <w:pPr>
        <w:pStyle w:val="Heading1"/>
      </w:pPr>
      <w:r>
        <w:t>Capítulo 11 — Papéis, responsabilidades, fóruns e alçadas de decisão</w:t>
      </w:r>
    </w:p>
    <w:p>
      <w:r>
        <w:t>O documento propõe distribuir responsabilidades de controle por três linhas de atuação:</w:t>
      </w:r>
    </w:p>
    <w:p>
      <w:pPr>
        <w:pStyle w:val="ListBullet"/>
      </w:pPr>
      <w:r>
        <w:t>1ª linha — operação e equipes N1/N2/N3: execução das atividades e controles operacionais diários.</w:t>
      </w:r>
    </w:p>
    <w:p>
      <w:pPr>
        <w:pStyle w:val="ListBullet"/>
      </w:pPr>
      <w:r>
        <w:t>2ª linha — risco, compliance e segurança: orientação, supervisão e acompanhamento de riscos e conformidade.</w:t>
      </w:r>
    </w:p>
    <w:p>
      <w:pPr>
        <w:pStyle w:val="ListBullet"/>
      </w:pPr>
      <w:r>
        <w:t>3ª linha — auditoria interna: avaliação independente e objetiva da governança e dos controles.</w:t>
      </w:r>
    </w:p>
    <w:p>
      <w:r>
        <w:t>A terminologia e a distribuição de responsabilidades devem ser ajustadas ao modelo de Três Linhas adotado pela organização e não implicam que esses papéis estejam constituídos no case.</w:t>
      </w:r>
    </w:p>
    <w:p>
      <w:pPr>
        <w:pStyle w:val="Heading1"/>
      </w:pPr>
      <w:r>
        <w:t>Capítulo 12 — Método de implantação e fases do programa</w:t>
      </w:r>
    </w:p>
    <w:p>
      <w:r>
        <w:t>O case propõe uma implantação inicial ilustrativa de 90 dias, dividida em cinco fases. Esse prazo é uma estimativa de planejamento, não uma garantia de execução. Pode ser alterado conforme diagnóstico, criticidade, dependências, recursos, contratação de ferramentas e prioridades.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Fase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Período indicativo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Atividades propostas</w:t>
            </w:r>
          </w:p>
        </w:tc>
      </w:tr>
      <w:tr>
        <w:tc>
          <w:tcPr>
            <w:tcW w:type="dxa" w:w="3312"/>
            <w:vAlign w:val="center"/>
          </w:tcPr>
          <w:p>
            <w:r>
              <w:t>1 — Diagnóstico e alinhamento</w:t>
            </w:r>
          </w:p>
        </w:tc>
        <w:tc>
          <w:tcPr>
            <w:tcW w:type="dxa" w:w="3312"/>
            <w:vAlign w:val="center"/>
          </w:tcPr>
          <w:p>
            <w:r>
              <w:t>Dias 1–15</w:t>
            </w:r>
          </w:p>
        </w:tc>
        <w:tc>
          <w:tcPr>
            <w:tcW w:type="dxa" w:w="3312"/>
            <w:vAlign w:val="center"/>
          </w:tcPr>
          <w:p>
            <w:r>
              <w:t>Entrevistas, levantamento documental, validação de escopo e elaboração do business case e termo de abertura.</w:t>
            </w:r>
          </w:p>
        </w:tc>
      </w:tr>
      <w:tr>
        <w:tc>
          <w:tcPr>
            <w:tcW w:type="dxa" w:w="3312"/>
            <w:vAlign w:val="center"/>
          </w:tcPr>
          <w:p>
            <w:r>
              <w:t>2 — Fundação de governança</w:t>
            </w:r>
          </w:p>
        </w:tc>
        <w:tc>
          <w:tcPr>
            <w:tcW w:type="dxa" w:w="3312"/>
            <w:vAlign w:val="center"/>
          </w:tcPr>
          <w:p>
            <w:r>
              <w:t>Dias 16–30</w:t>
            </w:r>
          </w:p>
        </w:tc>
        <w:tc>
          <w:tcPr>
            <w:tcW w:type="dxa" w:w="3312"/>
            <w:vAlign w:val="center"/>
          </w:tcPr>
          <w:p>
            <w:r>
              <w:t>Desenho de políticas, fóruns de mudança e estrutura inicial do catálogo de serviços.</w:t>
            </w:r>
          </w:p>
        </w:tc>
      </w:tr>
      <w:tr>
        <w:tc>
          <w:tcPr>
            <w:tcW w:type="dxa" w:w="3312"/>
            <w:vAlign w:val="center"/>
          </w:tcPr>
          <w:p>
            <w:r>
              <w:t>3 — Controles ITSM e SGSI</w:t>
            </w:r>
          </w:p>
        </w:tc>
        <w:tc>
          <w:tcPr>
            <w:tcW w:type="dxa" w:w="3312"/>
            <w:vAlign w:val="center"/>
          </w:tcPr>
          <w:p>
            <w:r>
              <w:t>Dias 31–60</w:t>
            </w:r>
          </w:p>
        </w:tc>
        <w:tc>
          <w:tcPr>
            <w:tcW w:type="dxa" w:w="3312"/>
            <w:vAlign w:val="center"/>
          </w:tcPr>
          <w:p>
            <w:r>
              <w:t>Configuração inicial de ITSM, controles de acesso privilegiado, SIEM e CMDB, conforme viabilidade.</w:t>
            </w:r>
          </w:p>
        </w:tc>
      </w:tr>
      <w:tr>
        <w:tc>
          <w:tcPr>
            <w:tcW w:type="dxa" w:w="3312"/>
            <w:vAlign w:val="center"/>
          </w:tcPr>
          <w:p>
            <w:r>
              <w:t>4 — Capacitação e FinOps</w:t>
            </w:r>
          </w:p>
        </w:tc>
        <w:tc>
          <w:tcPr>
            <w:tcW w:type="dxa" w:w="3312"/>
            <w:vAlign w:val="center"/>
          </w:tcPr>
          <w:p>
            <w:r>
              <w:t>Dias 61–75</w:t>
            </w:r>
          </w:p>
        </w:tc>
        <w:tc>
          <w:tcPr>
            <w:tcW w:type="dxa" w:w="3312"/>
            <w:vAlign w:val="center"/>
          </w:tcPr>
          <w:p>
            <w:r>
              <w:t>Treinamento, simulação de incidente crítico, testes de continuidade e avaliação de custos de nuvem.</w:t>
            </w:r>
          </w:p>
        </w:tc>
      </w:tr>
      <w:tr>
        <w:tc>
          <w:tcPr>
            <w:tcW w:type="dxa" w:w="3312"/>
            <w:vAlign w:val="center"/>
          </w:tcPr>
          <w:p>
            <w:r>
              <w:t>5 — Go-live e transição para PDCA</w:t>
            </w:r>
          </w:p>
        </w:tc>
        <w:tc>
          <w:tcPr>
            <w:tcW w:type="dxa" w:w="3312"/>
            <w:vAlign w:val="center"/>
          </w:tcPr>
          <w:p>
            <w:r>
              <w:t>Dias 76–90</w:t>
            </w:r>
          </w:p>
        </w:tc>
        <w:tc>
          <w:tcPr>
            <w:tcW w:type="dxa" w:w="3312"/>
            <w:vAlign w:val="center"/>
          </w:tcPr>
          <w:p>
            <w:r>
              <w:t>Operação assistida, verificação inicial dos controles e transferência de responsabilidades, se os critérios forem atendidos.</w:t>
            </w:r>
          </w:p>
        </w:tc>
      </w:tr>
    </w:tbl>
    <w:p/>
    <w:p>
      <w:r>
        <w:t>A execução em 90 dias pode exigir priorização e entrega por etapas. A entrada em operação de ferramentas, testes de continuidade, controles de segurança e auditoria depende de escopo, recursos, maturidade e critérios de aceite definidos. Não se presume que todas as capacidades estejam plenamente implementadas ao fim do período.</w:t>
      </w:r>
    </w:p>
    <w:p>
      <w:pPr>
        <w:pStyle w:val="Heading1"/>
      </w:pPr>
      <w:r>
        <w:t>Capítulo 13 — Roadmap, priorização e gestão de dependências</w:t>
      </w:r>
    </w:p>
    <w:p>
      <w:r>
        <w:t>A priorização proposta considera valor de negócio, risco, urgência, complexidade e esforço. O documento original destaca dependências entre CMDB, mudanças e incidentes graves; essa relação deve ser detalhada conforme a arquitetura e as prioridades do cenário.</w:t>
      </w:r>
    </w:p>
    <w:p>
      <w:r>
        <w:t>O horizonte de até 18 meses representa a evolução e a maturação progressiva do programa após e em paralelo à implantação inicial. As ondas, dependências, marcos e critérios de aceite são estimativas e devem ser consolidados com o roadmap integrador. Os 90 dias não substituem o horizonte de 18 meses: representam uma janela inicial proposta.</w:t>
      </w:r>
    </w:p>
    <w:p>
      <w:pPr>
        <w:pStyle w:val="Heading1"/>
      </w:pPr>
      <w:r>
        <w:t>Capítulo 14 — Planejamento de recursos, competências, custos e cronograma</w:t>
      </w:r>
    </w:p>
    <w:p>
      <w:r>
        <w:t>O cenário financeiro original apresenta a seguinte distribuição simulada: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Investimento estimado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Destinação proposta</w:t>
            </w:r>
          </w:p>
        </w:tc>
      </w:tr>
      <w:tr>
        <w:tc>
          <w:tcPr>
            <w:tcW w:type="dxa" w:w="2484"/>
            <w:vAlign w:val="center"/>
          </w:tcPr>
          <w:p>
            <w:r>
              <w:t>Ferramentas e licenças</w:t>
            </w:r>
          </w:p>
        </w:tc>
        <w:tc>
          <w:tcPr>
            <w:tcW w:type="dxa" w:w="2484"/>
            <w:vAlign w:val="center"/>
          </w:tcPr>
          <w:p>
            <w:r>
              <w:t>CAPEX</w:t>
            </w:r>
          </w:p>
        </w:tc>
        <w:tc>
          <w:tcPr>
            <w:tcW w:type="dxa" w:w="2484"/>
            <w:vAlign w:val="center"/>
          </w:tcPr>
          <w:p>
            <w:r>
              <w:t>R$ 180.000,00</w:t>
            </w:r>
          </w:p>
        </w:tc>
        <w:tc>
          <w:tcPr>
            <w:tcW w:type="dxa" w:w="2484"/>
            <w:vAlign w:val="center"/>
          </w:tcPr>
          <w:p>
            <w:r>
              <w:t>ITSM, PAM, SIEM e scanners de segurança.</w:t>
            </w:r>
          </w:p>
        </w:tc>
      </w:tr>
      <w:tr>
        <w:tc>
          <w:tcPr>
            <w:tcW w:type="dxa" w:w="2484"/>
            <w:vAlign w:val="center"/>
          </w:tcPr>
          <w:p>
            <w:r>
              <w:t>Consultoria especializada</w:t>
            </w:r>
          </w:p>
        </w:tc>
        <w:tc>
          <w:tcPr>
            <w:tcW w:type="dxa" w:w="2484"/>
            <w:vAlign w:val="center"/>
          </w:tcPr>
          <w:p>
            <w:r>
              <w:t>OPEX</w:t>
            </w:r>
          </w:p>
        </w:tc>
        <w:tc>
          <w:tcPr>
            <w:tcW w:type="dxa" w:w="2484"/>
            <w:vAlign w:val="center"/>
          </w:tcPr>
          <w:p>
            <w:r>
              <w:t>R$ 100.000,00</w:t>
            </w:r>
          </w:p>
        </w:tc>
        <w:tc>
          <w:tcPr>
            <w:tcW w:type="dxa" w:w="2484"/>
            <w:vAlign w:val="center"/>
          </w:tcPr>
          <w:p>
            <w:r>
              <w:t>Desenho de processos, parametrização e auditoria inicial.</w:t>
            </w:r>
          </w:p>
        </w:tc>
      </w:tr>
      <w:tr>
        <w:tc>
          <w:tcPr>
            <w:tcW w:type="dxa" w:w="2484"/>
            <w:vAlign w:val="center"/>
          </w:tcPr>
          <w:p>
            <w:r>
              <w:t>Treinamento e certificação</w:t>
            </w:r>
          </w:p>
        </w:tc>
        <w:tc>
          <w:tcPr>
            <w:tcW w:type="dxa" w:w="2484"/>
            <w:vAlign w:val="center"/>
          </w:tcPr>
          <w:p>
            <w:r>
              <w:t>OPEX</w:t>
            </w:r>
          </w:p>
        </w:tc>
        <w:tc>
          <w:tcPr>
            <w:tcW w:type="dxa" w:w="2484"/>
            <w:vAlign w:val="center"/>
          </w:tcPr>
          <w:p>
            <w:r>
              <w:t>R$ 40.000,00</w:t>
            </w:r>
          </w:p>
        </w:tc>
        <w:tc>
          <w:tcPr>
            <w:tcW w:type="dxa" w:w="2484"/>
            <w:vAlign w:val="center"/>
          </w:tcPr>
          <w:p>
            <w:r>
              <w:t>Capacitação em ITIL, ISO/IEC 27001 e ISO/IEC 20000.</w:t>
            </w:r>
          </w:p>
        </w:tc>
      </w:tr>
      <w:tr>
        <w:tc>
          <w:tcPr>
            <w:tcW w:type="dxa" w:w="2484"/>
            <w:vAlign w:val="center"/>
          </w:tcPr>
          <w:p>
            <w:r>
              <w:t>Total</w:t>
            </w:r>
          </w:p>
        </w:tc>
        <w:tc>
          <w:tcPr>
            <w:tcW w:type="dxa" w:w="2484"/>
            <w:vAlign w:val="center"/>
          </w:tcPr>
          <w:p>
            <w:r>
              <w:t>Investimento</w:t>
            </w:r>
          </w:p>
        </w:tc>
        <w:tc>
          <w:tcPr>
            <w:tcW w:type="dxa" w:w="2484"/>
            <w:vAlign w:val="center"/>
          </w:tcPr>
          <w:p>
            <w:r>
              <w:t>R$ 320.000,00</w:t>
            </w:r>
          </w:p>
        </w:tc>
        <w:tc>
          <w:tcPr>
            <w:tcW w:type="dxa" w:w="2484"/>
            <w:vAlign w:val="center"/>
          </w:tcPr>
          <w:p>
            <w:r>
              <w:t>Cenário original; ROI e payback permanecem não validados.</w:t>
            </w:r>
          </w:p>
        </w:tc>
      </w:tr>
    </w:tbl>
    <w:p/>
    <w:p>
      <w:r>
        <w:t>Os valores foram preservados do original. A soma das categorias é consistente com o total de R$ 320.000,00. As projeções de ROI, payback e VPL não foram recalculadas e precisam de memória de cálculo para validação. A classificação contábil de cada item como CAPEX ou OPEX deve ser confirmada conforme política financeira aplicável.</w:t>
      </w:r>
    </w:p>
    <w:p>
      <w:pPr>
        <w:pStyle w:val="Heading1"/>
      </w:pPr>
      <w:r>
        <w:t>Capítulo 15 — Gestão de riscos do programa, mudança organizacional e comunicação</w:t>
      </w:r>
    </w:p>
    <w:p>
      <w:r>
        <w:t>O case propõe tratar riscos de implantação e resistência à formalização de processos por meio de gestão da mudança organizacional, comunicação transparente e envolvimento das áreas afetadas. O modelo de Kotter em oito passos é citado como referência possível, não como método já aplicado ou validado.</w:t>
      </w:r>
    </w:p>
    <w:p>
      <w:r>
        <w:t>O plano de comunicação real deve definir públicos, mensagens, canais, frequência, responsáveis, mecanismos de feedback e tratamento de impactos.</w:t>
      </w:r>
    </w:p>
    <w:p>
      <w:pPr>
        <w:pStyle w:val="Heading1"/>
      </w:pPr>
      <w:r>
        <w:t>Capítulo 16 — Implantação, testes, transição e estabilização</w:t>
      </w:r>
    </w:p>
    <w:p>
      <w:r>
        <w:t>O modelo prevê testes antes da transição, incluindo testes de carga ou estresse quando apropriados, exercícios de resposta a incidentes, testes de failover e recuperação de desastres e validação de fluxos na ferramenta ITSM.</w:t>
      </w:r>
    </w:p>
    <w:p>
      <w:r>
        <w:t>Exercícios como Red Team devem ser autorizados, delimitados e conduzidos por profissionais competentes. A homologação deve depender de critérios de aceite, resultados documentados, riscos residuais e aprovação das partes responsáveis.</w:t>
      </w:r>
    </w:p>
    <w:p>
      <w:pPr>
        <w:pStyle w:val="Heading1"/>
      </w:pPr>
      <w:r>
        <w:t>Capítulo 17 — Indicadores, monitoramento, auditoria e critérios de aceite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Indicador proposto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Meta original do case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Observações para validação</w:t>
            </w:r>
          </w:p>
        </w:tc>
      </w:tr>
      <w:tr>
        <w:tc>
          <w:tcPr>
            <w:tcW w:type="dxa" w:w="3312"/>
            <w:vAlign w:val="center"/>
          </w:tcPr>
          <w:p>
            <w:r>
              <w:t>Cumprimento de SLA de incidentes</w:t>
            </w:r>
          </w:p>
        </w:tc>
        <w:tc>
          <w:tcPr>
            <w:tcW w:type="dxa" w:w="3312"/>
            <w:vAlign w:val="center"/>
          </w:tcPr>
          <w:p>
            <w:r>
              <w:t>≥ 95%</w:t>
            </w:r>
          </w:p>
        </w:tc>
        <w:tc>
          <w:tcPr>
            <w:tcW w:type="dxa" w:w="3312"/>
            <w:vAlign w:val="center"/>
          </w:tcPr>
          <w:p>
            <w:r>
              <w:t>Definir serviços, prioridades, relógio, exclusões e janela de medição.</w:t>
            </w:r>
          </w:p>
        </w:tc>
      </w:tr>
      <w:tr>
        <w:tc>
          <w:tcPr>
            <w:tcW w:type="dxa" w:w="3312"/>
            <w:vAlign w:val="center"/>
          </w:tcPr>
          <w:p>
            <w:r>
              <w:t>Sucesso de mudanças</w:t>
            </w:r>
          </w:p>
        </w:tc>
        <w:tc>
          <w:tcPr>
            <w:tcW w:type="dxa" w:w="3312"/>
            <w:vAlign w:val="center"/>
          </w:tcPr>
          <w:p>
            <w:r>
              <w:t>≥ 95%</w:t>
            </w:r>
          </w:p>
        </w:tc>
        <w:tc>
          <w:tcPr>
            <w:tcW w:type="dxa" w:w="3312"/>
            <w:vAlign w:val="center"/>
          </w:tcPr>
          <w:p>
            <w:r>
              <w:t>Definir mudança bem-sucedida, incidente associado e rollback dentro de período de observação.</w:t>
            </w:r>
          </w:p>
        </w:tc>
      </w:tr>
      <w:tr>
        <w:tc>
          <w:tcPr>
            <w:tcW w:type="dxa" w:w="3312"/>
            <w:vAlign w:val="center"/>
          </w:tcPr>
          <w:p>
            <w:r>
              <w:t>First Contact Resolution (FCR)</w:t>
            </w:r>
          </w:p>
        </w:tc>
        <w:tc>
          <w:tcPr>
            <w:tcW w:type="dxa" w:w="3312"/>
            <w:vAlign w:val="center"/>
          </w:tcPr>
          <w:p>
            <w:r>
              <w:t>≥ 70%</w:t>
            </w:r>
          </w:p>
        </w:tc>
        <w:tc>
          <w:tcPr>
            <w:tcW w:type="dxa" w:w="3312"/>
            <w:vAlign w:val="center"/>
          </w:tcPr>
          <w:p>
            <w:r>
              <w:t>Definir denominador, elegibilidade, reaberturas e critérios de resolução no primeiro contato.</w:t>
            </w:r>
          </w:p>
        </w:tc>
      </w:tr>
      <w:tr>
        <w:tc>
          <w:tcPr>
            <w:tcW w:type="dxa" w:w="3312"/>
            <w:vAlign w:val="center"/>
          </w:tcPr>
          <w:p>
            <w:r>
              <w:t>Eficácia de segurança</w:t>
            </w:r>
          </w:p>
        </w:tc>
        <w:tc>
          <w:tcPr>
            <w:tcW w:type="dxa" w:w="3312"/>
            <w:vAlign w:val="center"/>
          </w:tcPr>
          <w:p>
            <w:r>
              <w:t>Zero incidentes graves não contidos dentro da janela de 72h</w:t>
            </w:r>
          </w:p>
        </w:tc>
        <w:tc>
          <w:tcPr>
            <w:tcW w:type="dxa" w:w="3312"/>
            <w:vAlign w:val="center"/>
          </w:tcPr>
          <w:p>
            <w:r>
              <w:t>A formulação original é ambígua; diferenciar contenção operacional de prazos legais de comunicação ou notificação.</w:t>
            </w:r>
          </w:p>
        </w:tc>
      </w:tr>
    </w:tbl>
    <w:p/>
    <w:p>
      <w:r>
        <w:t>As metas são valores propostos, não resultados medidos. Cada indicador deverá ter fórmula, fonte, periodicidade, responsável, linha de base, critérios de exceção e plano de tratamento de desvios. Prazos legais devem ser verificados conforme o requisito e o contexto aplicáveis.</w:t>
      </w:r>
    </w:p>
    <w:p>
      <w:pPr>
        <w:pStyle w:val="Heading1"/>
      </w:pPr>
      <w:r>
        <w:t>Capítulo 18 — Sustentação, governança do método e melhoria contínua</w:t>
      </w:r>
    </w:p>
    <w:p>
      <w:r>
        <w:t>A melhoria contínua é proposta por meio de um Registro de Melhoria Contínua (CIR — Continual Improvement Register), no qual oportunidades identificadas em auditorias, análises pós-incidente e avaliações de desempenho são registradas, priorizadas e acompanhadas por ciclos PDCA.</w:t>
      </w:r>
    </w:p>
    <w:p>
      <w:r>
        <w:t>A efetividade depende de responsáveis, critérios de prioridade, prazos, evidências de conclusão e verificação dos benefícios obtidos.</w:t>
      </w:r>
    </w:p>
    <w:p>
      <w:pPr>
        <w:pStyle w:val="Heading1"/>
      </w:pPr>
      <w:r>
        <w:t>Capítulo 19 — Gestão documental e governança do próprio método</w:t>
      </w:r>
    </w:p>
    <w:p>
      <w:r>
        <w:t>O programa propõe controle de documentos, revisão de versões, identificação de responsáveis e manutenção de registros. Referenciais de gestão da qualidade e segurança da informação podem apoiar o desenho, conforme sua aplicabilidade.</w:t>
      </w:r>
    </w:p>
    <w:p>
      <w:r>
        <w:t>A revisão anual citada no original é uma proposta de periodicidade, não uma obrigação universal. A frequência deve considerar criticidade, mudanças relevantes, requisitos aplicáveis e políticas da organização.</w:t>
      </w:r>
    </w:p>
    <w:p>
      <w:pPr>
        <w:pStyle w:val="Heading1"/>
      </w:pPr>
      <w:r>
        <w:t>Capítulo 20 — Anexos, matrizes de rastreabilidade e referências técnicas</w:t>
      </w:r>
    </w:p>
    <w:p>
      <w:r>
        <w:t>A matriz de rastreabilidade proposta relaciona requisitos, controles e evidências esperadas. Os exemplos abaixo foram preservados conceitualmente do original; a referência normativa exata e a correspondência de cada requisito devem ser verificadas antes de utilização formal.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Referência citada no original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Controle proposto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Evidência esperada</w:t>
            </w:r>
          </w:p>
        </w:tc>
      </w:tr>
      <w:tr>
        <w:tc>
          <w:tcPr>
            <w:tcW w:type="dxa" w:w="3312"/>
            <w:vAlign w:val="center"/>
          </w:tcPr>
          <w:p>
            <w:r>
              <w:t>ISO/IEC 20000-1, item 8.6.1</w:t>
            </w:r>
          </w:p>
        </w:tc>
        <w:tc>
          <w:tcPr>
            <w:tcW w:type="dxa" w:w="3312"/>
            <w:vAlign w:val="center"/>
          </w:tcPr>
          <w:p>
            <w:r>
              <w:t>Fluxo de incidentes P1</w:t>
            </w:r>
          </w:p>
        </w:tc>
        <w:tc>
          <w:tcPr>
            <w:tcW w:type="dxa" w:w="3312"/>
            <w:vAlign w:val="center"/>
          </w:tcPr>
          <w:p>
            <w:r>
              <w:t>Registro de crise e log de ITSM.</w:t>
            </w:r>
          </w:p>
        </w:tc>
      </w:tr>
      <w:tr>
        <w:tc>
          <w:tcPr>
            <w:tcW w:type="dxa" w:w="3312"/>
            <w:vAlign w:val="center"/>
          </w:tcPr>
          <w:p>
            <w:r>
              <w:t>ISO/IEC 27001, item 6.1.2</w:t>
            </w:r>
          </w:p>
        </w:tc>
        <w:tc>
          <w:tcPr>
            <w:tcW w:type="dxa" w:w="3312"/>
            <w:vAlign w:val="center"/>
          </w:tcPr>
          <w:p>
            <w:r>
              <w:t>Matriz de avaliação de riscos (RCSA)</w:t>
            </w:r>
          </w:p>
        </w:tc>
        <w:tc>
          <w:tcPr>
            <w:tcW w:type="dxa" w:w="3312"/>
            <w:vAlign w:val="center"/>
          </w:tcPr>
          <w:p>
            <w:r>
              <w:t>Relatório de avaliação de riscos.</w:t>
            </w:r>
          </w:p>
        </w:tc>
      </w:tr>
      <w:tr>
        <w:tc>
          <w:tcPr>
            <w:tcW w:type="dxa" w:w="3312"/>
            <w:vAlign w:val="center"/>
          </w:tcPr>
          <w:p>
            <w:r>
              <w:t>ISO/IEC 27002, controle 8.32</w:t>
            </w:r>
          </w:p>
        </w:tc>
        <w:tc>
          <w:tcPr>
            <w:tcW w:type="dxa" w:w="3312"/>
            <w:vAlign w:val="center"/>
          </w:tcPr>
          <w:p>
            <w:r>
              <w:t>Avaliação e autorização de mudanças</w:t>
            </w:r>
          </w:p>
        </w:tc>
        <w:tc>
          <w:tcPr>
            <w:tcW w:type="dxa" w:w="3312"/>
            <w:vAlign w:val="center"/>
          </w:tcPr>
          <w:p>
            <w:r>
              <w:t>Registro de requisição de mudança e decisão.</w:t>
            </w:r>
          </w:p>
        </w:tc>
      </w:tr>
      <w:tr>
        <w:tc>
          <w:tcPr>
            <w:tcW w:type="dxa" w:w="3312"/>
            <w:vAlign w:val="center"/>
          </w:tcPr>
          <w:p>
            <w:r>
              <w:t>COBIT 5, domínio MEA02</w:t>
            </w:r>
          </w:p>
        </w:tc>
        <w:tc>
          <w:tcPr>
            <w:tcW w:type="dxa" w:w="3312"/>
            <w:vAlign w:val="center"/>
          </w:tcPr>
          <w:p>
            <w:r>
              <w:t>Monitoramento e avaliação de controles</w:t>
            </w:r>
          </w:p>
        </w:tc>
        <w:tc>
          <w:tcPr>
            <w:tcW w:type="dxa" w:w="3312"/>
            <w:vAlign w:val="center"/>
          </w:tcPr>
          <w:p>
            <w:r>
              <w:t>Relatório de avaliação ou auditoria.</w:t>
            </w:r>
          </w:p>
        </w:tc>
      </w:tr>
    </w:tbl>
    <w:p/>
    <w:p>
      <w:r>
        <w:t>A matriz é ilustrativa e não constitui evidência de conformidade. A verificação deverá confirmar a edição do referencial, a redação do requisito, a aplicabilidade, o controle correspondente e a suficiência da evidência.</w:t>
      </w:r>
    </w:p>
    <w:p>
      <w:pPr>
        <w:pStyle w:val="Heading1"/>
      </w:pPr>
      <w:r>
        <w:t>Premissas transversais e limitações do case</w:t>
      </w:r>
    </w:p>
    <w:p>
      <w:pPr>
        <w:pStyle w:val="ListBullet"/>
      </w:pPr>
      <w:r>
        <w:t>O documento é um projeto autoral e conceitual, elaborado para demonstrar um modelo de referência.</w:t>
      </w:r>
    </w:p>
    <w:p>
      <w:pPr>
        <w:pStyle w:val="ListBullet"/>
      </w:pPr>
      <w:r>
        <w:t>Os diagnósticos, níveis de maturidade, custos, retornos, economias, metas, prazos e resultados são simulados ou estimados.</w:t>
      </w:r>
    </w:p>
    <w:p>
      <w:pPr>
        <w:pStyle w:val="ListBullet"/>
      </w:pPr>
      <w:r>
        <w:t>O prazo inicial de 90 dias e o horizonte de evolução de 18 meses são estimativas e podem mudar conforme o cenário.</w:t>
      </w:r>
    </w:p>
    <w:p>
      <w:pPr>
        <w:pStyle w:val="ListBullet"/>
      </w:pPr>
      <w:r>
        <w:t>Não há afirmação de implantação, aprovação corporativa, auditoria concluída, conformidade integral ou certificação.</w:t>
      </w:r>
    </w:p>
    <w:p>
      <w:pPr>
        <w:pStyle w:val="ListBullet"/>
      </w:pPr>
      <w:r>
        <w:t>Referências normativas devem ser conferidas quanto a edição, aplicabilidade e correspondência antes de uso formal.</w:t>
      </w:r>
    </w:p>
    <w:p>
      <w:pPr>
        <w:pStyle w:val="ListBullet"/>
      </w:pPr>
      <w:r>
        <w:t>Os originais devem ser mantidos separados desta versão revisada para permitir rastreabilidade das alterações.</w:t>
      </w:r>
    </w:p>
    <w:p>
      <w:pPr>
        <w:pStyle w:val="Heading1"/>
      </w:pPr>
      <w:r>
        <w:t>Registro de decisões editoriais desta versão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Tema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Tratamento aplicado nesta versão</w:t>
            </w:r>
          </w:p>
        </w:tc>
      </w:tr>
      <w:tr>
        <w:tc>
          <w:tcPr>
            <w:tcW w:type="dxa" w:w="4968"/>
            <w:vAlign w:val="center"/>
          </w:tcPr>
          <w:p>
            <w:r>
              <w:t>Natureza do documento</w:t>
            </w:r>
          </w:p>
        </w:tc>
        <w:tc>
          <w:tcPr>
            <w:tcW w:type="dxa" w:w="4968"/>
            <w:vAlign w:val="center"/>
          </w:tcPr>
          <w:p>
            <w:r>
              <w:t>Identificado como case autoral e conceitual para portfólio.</w:t>
            </w:r>
          </w:p>
        </w:tc>
      </w:tr>
      <w:tr>
        <w:tc>
          <w:tcPr>
            <w:tcW w:type="dxa" w:w="4968"/>
            <w:vAlign w:val="center"/>
          </w:tcPr>
          <w:p>
            <w:r>
              <w:t>Aprovações e histórico</w:t>
            </w:r>
          </w:p>
        </w:tc>
        <w:tc>
          <w:tcPr>
            <w:tcW w:type="dxa" w:w="4968"/>
            <w:vAlign w:val="center"/>
          </w:tcPr>
          <w:p>
            <w:r>
              <w:t>Removidas afirmações de aprovação corporativa efetiva; mantido controle de versão do próprio case.</w:t>
            </w:r>
          </w:p>
        </w:tc>
      </w:tr>
      <w:tr>
        <w:tc>
          <w:tcPr>
            <w:tcW w:type="dxa" w:w="4968"/>
            <w:vAlign w:val="center"/>
          </w:tcPr>
          <w:p>
            <w:r>
              <w:t>Valores e metas</w:t>
            </w:r>
          </w:p>
        </w:tc>
        <w:tc>
          <w:tcPr>
            <w:tcW w:type="dxa" w:w="4968"/>
            <w:vAlign w:val="center"/>
          </w:tcPr>
          <w:p>
            <w:r>
              <w:t>Valores originais preservados como premissas simuladas; não foram recalculados.</w:t>
            </w:r>
          </w:p>
        </w:tc>
      </w:tr>
      <w:tr>
        <w:tc>
          <w:tcPr>
            <w:tcW w:type="dxa" w:w="4968"/>
            <w:vAlign w:val="center"/>
          </w:tcPr>
          <w:p>
            <w:r>
              <w:t>Cronogramas</w:t>
            </w:r>
          </w:p>
        </w:tc>
        <w:tc>
          <w:tcPr>
            <w:tcW w:type="dxa" w:w="4968"/>
            <w:vAlign w:val="center"/>
          </w:tcPr>
          <w:p>
            <w:r>
              <w:t>90 dias descritos como implantação inicial estimada; até 18 meses como horizonte de evolução e maturação.</w:t>
            </w:r>
          </w:p>
        </w:tc>
      </w:tr>
      <w:tr>
        <w:tc>
          <w:tcPr>
            <w:tcW w:type="dxa" w:w="4968"/>
            <w:vAlign w:val="center"/>
          </w:tcPr>
          <w:p>
            <w:r>
              <w:t>Normas e frameworks</w:t>
            </w:r>
          </w:p>
        </w:tc>
        <w:tc>
          <w:tcPr>
            <w:tcW w:type="dxa" w:w="4968"/>
            <w:vAlign w:val="center"/>
          </w:tcPr>
          <w:p>
            <w:r>
              <w:t>Referências preservadas como citadas; indicada necessidade de validação específica.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Conteúdo técnico</w:t>
            </w:r>
          </w:p>
        </w:tc>
        <w:tc>
          <w:tcPr>
            <w:tcW w:type="dxa" w:w="4968"/>
            <w:vAlign w:val="center"/>
          </w:tcPr>
          <w:p>
            <w:r>
              <w:t>Estrutura de vinte capítulos e arquitetura dos dez processos preservadas, com reformulação editorial e contextualização.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SGS / SGSI — Projeto autoral e conceitual | Material demonstrativo para portfólio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Mestre SGS / SGSI — Arquitetura, Operação e Controles</dc:title>
  <dc:subject>Case conceitual de governança, serviços e segurança de TI</dc:subject>
  <dc:creator>José Eduardo Moura Cardozo</dc:creator>
  <cp:keywords>SGS, SGSI, Governança de TI, ITSM, GRC, Segurança da Informação, Case conceitual</cp:keywords>
  <dc:description>Versão revisada para portfólio; valores e resultados são simulados.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