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2"/>
        </w:rPr>
        <w:t>ÍNDICE MESTRE E CONTROLE DOCUMENTAL</w:t>
      </w:r>
    </w:p>
    <w:p>
      <w:pPr>
        <w:jc w:val="center"/>
      </w:pPr>
      <w:r>
        <w:rPr>
          <w:b/>
          <w:sz w:val="22"/>
        </w:rPr>
        <w:t>Programa Integrado de Governança, Serviços e Segurança de TI — SGS/SGSI</w:t>
      </w:r>
    </w:p>
    <w:p>
      <w:pPr>
        <w:jc w:val="center"/>
      </w:pPr>
      <w:r>
        <w:rPr>
          <w:i/>
        </w:rPr>
        <w:t>Versão 1.0 | 26/10/2026 | Artefato conceitual para portfólio profissional</w:t>
      </w:r>
    </w:p>
    <w:p>
      <w:pPr>
        <w:pStyle w:val="Heading1"/>
      </w:pPr>
      <w:r>
        <w:t>1. Finalidade e regra de uso</w:t>
      </w:r>
    </w:p>
    <w:p>
      <w:r>
        <w:t>Este índice organiza os principais artefatos do programa, identifica a versão de referência disponível e descreve a função de cada documento. É um instrumento de controle editorial do case, não um registro de aprovação corporativa nem evidência de implantação.</w:t>
      </w:r>
    </w:p>
    <w:p>
      <w:r>
        <w:t>Natureza do material: case conceitual/simulado. Cenários, papéis organizacionais, metas, valores, estimativas, diagnósticos e resultados apresentados nos documentos devem ser tratados como hipóteses ou exemplos, salvo quando houver fonte documental real explicitamente identificada. A existência de um arquivo neste índice não significa que tenha sido aprovado, publicado, executado, auditado ou certificado.</w:t>
      </w:r>
    </w:p>
    <w:p>
      <w:pPr>
        <w:pStyle w:val="Heading1"/>
      </w:pPr>
      <w:r>
        <w:t>2. Convenções de controle</w:t>
      </w:r>
    </w:p>
    <w:p>
      <w:pPr>
        <w:pStyle w:val="ListBullet"/>
      </w:pPr>
      <w:r>
        <w:t>Versão: número editorial presente no nome/identificação da cópia revisada.</w:t>
      </w:r>
    </w:p>
    <w:p>
      <w:pPr>
        <w:pStyle w:val="ListBullet"/>
      </w:pPr>
      <w:r>
        <w:t>Status neste índice: indica a função editorial do artefato no portfólio; não equivale a aprovação organizacional.</w:t>
      </w:r>
    </w:p>
    <w:p>
      <w:pPr>
        <w:pStyle w:val="ListBullet"/>
      </w:pPr>
      <w:r>
        <w:t>Responsável pelo conteúdo, aprovador, data de aprovação e vigência: preencher somente quando definidos e comprovados; não inferir nomes ou aprovações.</w:t>
      </w:r>
    </w:p>
    <w:p>
      <w:pPr>
        <w:pStyle w:val="ListBullet"/>
      </w:pPr>
      <w:r>
        <w:t>Revisões futuras devem preservar a cópia anterior, registrar a alteração e atualizar este índice.</w:t>
      </w:r>
    </w:p>
    <w:p>
      <w:pPr>
        <w:pStyle w:val="ListBullet"/>
      </w:pPr>
      <w:r>
        <w:t>Referências normativas são referências de trabalho; edição, cláusulas, aplicabilidade e interpretação devem ser verificadas em fontes oficiais antes de uso operacional.</w:t>
      </w:r>
    </w:p>
    <w:p>
      <w:pPr>
        <w:pStyle w:val="Heading1"/>
      </w:pPr>
      <w:r>
        <w:t>3. Inventário mestre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893"/>
            <w:vAlign w:val="center"/>
            <w:shd w:fill="D9EAF7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2232"/>
            <w:vAlign w:val="center"/>
            <w:shd w:fill="D9EAF7"/>
          </w:tcPr>
          <w:p>
            <w:r>
              <w:rPr>
                <w:b/>
                <w:sz w:val="16"/>
              </w:rPr>
              <w:t>Documento</w:t>
            </w:r>
          </w:p>
        </w:tc>
        <w:tc>
          <w:tcPr>
            <w:tcW w:type="dxa" w:w="691"/>
            <w:vAlign w:val="center"/>
            <w:shd w:fill="D9EAF7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512"/>
            <w:vAlign w:val="center"/>
            <w:shd w:fill="D9EAF7"/>
          </w:tcPr>
          <w:p>
            <w:r>
              <w:rPr>
                <w:b/>
                <w:sz w:val="16"/>
              </w:rPr>
              <w:t>Classificação</w:t>
            </w:r>
          </w:p>
        </w:tc>
        <w:tc>
          <w:tcPr>
            <w:tcW w:type="dxa" w:w="2376"/>
            <w:vAlign w:val="center"/>
            <w:shd w:fill="D9EAF7"/>
          </w:tcPr>
          <w:p>
            <w:r>
              <w:rPr>
                <w:b/>
                <w:sz w:val="16"/>
              </w:rPr>
              <w:t>Arquivo de referência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rPr>
                <w:b/>
                <w:sz w:val="16"/>
              </w:rPr>
              <w:t>Finalidade</w:t>
            </w:r>
          </w:p>
        </w:tc>
      </w:tr>
      <w:tr>
        <w:tc>
          <w:tcPr>
            <w:tcW w:type="dxa" w:w="893"/>
            <w:vAlign w:val="top"/>
          </w:tcPr>
          <w:p>
            <w:pPr>
              <w:spacing w:after="20"/>
            </w:pPr>
            <w:r>
              <w:rPr>
                <w:sz w:val="15"/>
              </w:rPr>
              <w:t>SGS-00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sz w:val="15"/>
              </w:rPr>
              <w:t>Documento Mestre SGS/SGSI</w:t>
            </w:r>
          </w:p>
        </w:tc>
        <w:tc>
          <w:tcPr>
            <w:tcW w:type="dxa" w:w="691"/>
            <w:vAlign w:val="top"/>
          </w:tcPr>
          <w:p>
            <w:pPr>
              <w:spacing w:after="20"/>
            </w:pPr>
            <w:r>
              <w:rPr>
                <w:sz w:val="15"/>
              </w:rPr>
              <w:t>v1.1</w:t>
            </w:r>
          </w:p>
        </w:tc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sz w:val="15"/>
              </w:rPr>
              <w:t>Documento estruturante</w:t>
            </w:r>
          </w:p>
        </w:tc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5"/>
              </w:rPr>
              <w:t>Documento_Mestre_SGS_SGSI_v1_1_revisado.docx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5"/>
              </w:rPr>
              <w:t>Define visão, objetivos, escopo e arquitetura conceitual do programa.</w:t>
            </w:r>
          </w:p>
        </w:tc>
      </w:tr>
      <w:tr>
        <w:tc>
          <w:tcPr>
            <w:tcW w:type="dxa" w:w="893"/>
            <w:vAlign w:val="top"/>
          </w:tcPr>
          <w:p>
            <w:pPr>
              <w:spacing w:after="20"/>
            </w:pPr>
            <w:r>
              <w:rPr>
                <w:sz w:val="15"/>
              </w:rPr>
              <w:t>SGS-01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sz w:val="15"/>
              </w:rPr>
              <w:t>Roadmap Consolidado SGS/SGSI</w:t>
            </w:r>
          </w:p>
        </w:tc>
        <w:tc>
          <w:tcPr>
            <w:tcW w:type="dxa" w:w="691"/>
            <w:vAlign w:val="top"/>
          </w:tcPr>
          <w:p>
            <w:pPr>
              <w:spacing w:after="20"/>
            </w:pPr>
            <w:r>
              <w:rPr>
                <w:sz w:val="15"/>
              </w:rPr>
              <w:t>v1.1</w:t>
            </w:r>
          </w:p>
        </w:tc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sz w:val="15"/>
              </w:rPr>
              <w:t>Planejamento integrado</w:t>
            </w:r>
          </w:p>
        </w:tc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5"/>
              </w:rPr>
              <w:t>Roadmap_Consolidado_SGS_SGSI_v1_1_revisado.docx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5"/>
              </w:rPr>
              <w:t>Consolida fases, marcos, dependências e horizontes de implantação e maturação.</w:t>
            </w:r>
          </w:p>
        </w:tc>
      </w:tr>
      <w:tr>
        <w:tc>
          <w:tcPr>
            <w:tcW w:type="dxa" w:w="893"/>
            <w:vAlign w:val="top"/>
          </w:tcPr>
          <w:p>
            <w:pPr>
              <w:spacing w:after="20"/>
            </w:pPr>
            <w:r>
              <w:rPr>
                <w:sz w:val="15"/>
              </w:rPr>
              <w:t>SGS-02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sz w:val="15"/>
              </w:rPr>
              <w:t>Diagnóstico Executivo</w:t>
            </w:r>
          </w:p>
        </w:tc>
        <w:tc>
          <w:tcPr>
            <w:tcW w:type="dxa" w:w="691"/>
            <w:vAlign w:val="top"/>
          </w:tcPr>
          <w:p>
            <w:pPr>
              <w:spacing w:after="20"/>
            </w:pPr>
            <w:r>
              <w:rPr>
                <w:sz w:val="15"/>
              </w:rPr>
              <w:t>v1.2</w:t>
            </w:r>
          </w:p>
        </w:tc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sz w:val="15"/>
              </w:rPr>
              <w:t>Diagnóstico conceitual</w:t>
            </w:r>
          </w:p>
        </w:tc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5"/>
              </w:rPr>
              <w:t>Diagnostico_Executivo_SGS_SGSI_v1_2_revisado.docx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5"/>
              </w:rPr>
              <w:t>Apresenta cenário de referência, lacunas e oportunidades consideradas no case.</w:t>
            </w:r>
          </w:p>
        </w:tc>
      </w:tr>
      <w:tr>
        <w:tc>
          <w:tcPr>
            <w:tcW w:type="dxa" w:w="893"/>
            <w:vAlign w:val="top"/>
          </w:tcPr>
          <w:p>
            <w:pPr>
              <w:spacing w:after="20"/>
            </w:pPr>
            <w:r>
              <w:rPr>
                <w:sz w:val="15"/>
              </w:rPr>
              <w:t>SGS-03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 01 — Gestão de Incidentes de TI</w:t>
            </w:r>
          </w:p>
        </w:tc>
        <w:tc>
          <w:tcPr>
            <w:tcW w:type="dxa" w:w="691"/>
            <w:vAlign w:val="top"/>
          </w:tcPr>
          <w:p>
            <w:pPr>
              <w:spacing w:after="20"/>
            </w:pPr>
            <w:r>
              <w:rPr>
                <w:sz w:val="15"/>
              </w:rPr>
              <w:t>v1.1</w:t>
            </w:r>
          </w:p>
        </w:tc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 de processo</w:t>
            </w:r>
          </w:p>
        </w:tc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Projeto_01_Gestao_Incidentes_v1_1_revisado.docx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5"/>
              </w:rPr>
              <w:t>Propõe fluxo, papéis, controles e indicadores para incidentes.</w:t>
            </w:r>
          </w:p>
        </w:tc>
      </w:tr>
      <w:tr>
        <w:tc>
          <w:tcPr>
            <w:tcW w:type="dxa" w:w="893"/>
            <w:vAlign w:val="top"/>
          </w:tcPr>
          <w:p>
            <w:pPr>
              <w:spacing w:after="20"/>
            </w:pPr>
            <w:r>
              <w:rPr>
                <w:sz w:val="15"/>
              </w:rPr>
              <w:t>SGS-04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 02 — Gestão de Problemas e KEDB</w:t>
            </w:r>
          </w:p>
        </w:tc>
        <w:tc>
          <w:tcPr>
            <w:tcW w:type="dxa" w:w="691"/>
            <w:vAlign w:val="top"/>
          </w:tcPr>
          <w:p>
            <w:pPr>
              <w:spacing w:after="20"/>
            </w:pPr>
            <w:r>
              <w:rPr>
                <w:sz w:val="15"/>
              </w:rPr>
              <w:t>v1.1</w:t>
            </w:r>
          </w:p>
        </w:tc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 de processo</w:t>
            </w:r>
          </w:p>
        </w:tc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Projeto_02_Gestao_Problemas_KEDB_v1_1_revisado.docx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5"/>
              </w:rPr>
              <w:t>Propõe análise de causa, gestão de problemas e base de erros conhecidos.</w:t>
            </w:r>
          </w:p>
        </w:tc>
      </w:tr>
      <w:tr>
        <w:tc>
          <w:tcPr>
            <w:tcW w:type="dxa" w:w="893"/>
            <w:vAlign w:val="top"/>
          </w:tcPr>
          <w:p>
            <w:pPr>
              <w:spacing w:after="20"/>
            </w:pPr>
            <w:r>
              <w:rPr>
                <w:sz w:val="15"/>
              </w:rPr>
              <w:t>SGS-05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 03 — Gestão de Mudanças e Liberações</w:t>
            </w:r>
          </w:p>
        </w:tc>
        <w:tc>
          <w:tcPr>
            <w:tcW w:type="dxa" w:w="691"/>
            <w:vAlign w:val="top"/>
          </w:tcPr>
          <w:p>
            <w:pPr>
              <w:spacing w:after="20"/>
            </w:pPr>
            <w:r>
              <w:rPr>
                <w:sz w:val="15"/>
              </w:rPr>
              <w:t>v1.1</w:t>
            </w:r>
          </w:p>
        </w:tc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 de processo</w:t>
            </w:r>
          </w:p>
        </w:tc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Projeto_03_Gestao_Mudancas_Liberacoes_v1_1_revisado.docx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5"/>
              </w:rPr>
              <w:t>Propõe classificação, avaliação, autorização, execução e revisão de mudanças.</w:t>
            </w:r>
          </w:p>
        </w:tc>
      </w:tr>
      <w:tr>
        <w:tc>
          <w:tcPr>
            <w:tcW w:type="dxa" w:w="893"/>
            <w:vAlign w:val="top"/>
          </w:tcPr>
          <w:p>
            <w:pPr>
              <w:spacing w:after="20"/>
            </w:pPr>
            <w:r>
              <w:rPr>
                <w:sz w:val="15"/>
              </w:rPr>
              <w:t>SGS-06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 04 — Gestão de Nível de Serviço (SLM) e Catálogo</w:t>
            </w:r>
          </w:p>
        </w:tc>
        <w:tc>
          <w:tcPr>
            <w:tcW w:type="dxa" w:w="691"/>
            <w:vAlign w:val="top"/>
          </w:tcPr>
          <w:p>
            <w:pPr>
              <w:spacing w:after="20"/>
            </w:pPr>
            <w:r>
              <w:rPr>
                <w:sz w:val="15"/>
              </w:rPr>
              <w:t>v1.1</w:t>
            </w:r>
          </w:p>
        </w:tc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 de processo</w:t>
            </w:r>
          </w:p>
        </w:tc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Projeto_04_Gestao_SLM_Catalogo_v1_1_revisado.docx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5"/>
              </w:rPr>
              <w:t>Propõe catálogo de serviços, acordos de nível de serviço e monitoramento.</w:t>
            </w:r>
          </w:p>
        </w:tc>
      </w:tr>
      <w:tr>
        <w:tc>
          <w:tcPr>
            <w:tcW w:type="dxa" w:w="893"/>
            <w:vAlign w:val="top"/>
          </w:tcPr>
          <w:p>
            <w:pPr>
              <w:spacing w:after="20"/>
            </w:pPr>
            <w:r>
              <w:rPr>
                <w:sz w:val="15"/>
              </w:rPr>
              <w:t>SGS-07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 05 — Continuidade de TI (ITSCM/DRP/BCP)</w:t>
            </w:r>
          </w:p>
        </w:tc>
        <w:tc>
          <w:tcPr>
            <w:tcW w:type="dxa" w:w="691"/>
            <w:vAlign w:val="top"/>
          </w:tcPr>
          <w:p>
            <w:pPr>
              <w:spacing w:after="20"/>
            </w:pPr>
            <w:r>
              <w:rPr>
                <w:sz w:val="15"/>
              </w:rPr>
              <w:t>v1.1</w:t>
            </w:r>
          </w:p>
        </w:tc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 de processo</w:t>
            </w:r>
          </w:p>
        </w:tc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Projeto_05_Continuidade_ITSCM_DRP_BCP_v1_1_revisado.docx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5"/>
              </w:rPr>
              <w:t>Propõe análise de impacto, estratégias de continuidade e testes de recuperação.</w:t>
            </w:r>
          </w:p>
        </w:tc>
      </w:tr>
      <w:tr>
        <w:tc>
          <w:tcPr>
            <w:tcW w:type="dxa" w:w="893"/>
            <w:vAlign w:val="top"/>
          </w:tcPr>
          <w:p>
            <w:pPr>
              <w:spacing w:after="20"/>
            </w:pPr>
            <w:r>
              <w:rPr>
                <w:sz w:val="15"/>
              </w:rPr>
              <w:t>SGS-08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 06 — Gestão da Segurança da Informação (SGSI/ISO 27001)</w:t>
            </w:r>
          </w:p>
        </w:tc>
        <w:tc>
          <w:tcPr>
            <w:tcW w:type="dxa" w:w="691"/>
            <w:vAlign w:val="top"/>
          </w:tcPr>
          <w:p>
            <w:pPr>
              <w:spacing w:after="20"/>
            </w:pPr>
            <w:r>
              <w:rPr>
                <w:sz w:val="15"/>
              </w:rPr>
              <w:t>v1.1</w:t>
            </w:r>
          </w:p>
        </w:tc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 de processo</w:t>
            </w:r>
          </w:p>
        </w:tc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Projeto_06_SGSI_ISO27001_v1_1_revisado.docx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5"/>
              </w:rPr>
              <w:t>Propõe estrutura de gestão de segurança da informação e controles de referência.</w:t>
            </w:r>
          </w:p>
        </w:tc>
      </w:tr>
      <w:tr>
        <w:tc>
          <w:tcPr>
            <w:tcW w:type="dxa" w:w="893"/>
            <w:vAlign w:val="top"/>
          </w:tcPr>
          <w:p>
            <w:pPr>
              <w:spacing w:after="20"/>
            </w:pPr>
            <w:r>
              <w:rPr>
                <w:sz w:val="15"/>
              </w:rPr>
              <w:t>SGS-09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 07 — Gestão de Ativos ITAM/CMDB</w:t>
            </w:r>
          </w:p>
        </w:tc>
        <w:tc>
          <w:tcPr>
            <w:tcW w:type="dxa" w:w="691"/>
            <w:vAlign w:val="top"/>
          </w:tcPr>
          <w:p>
            <w:pPr>
              <w:spacing w:after="20"/>
            </w:pPr>
            <w:r>
              <w:rPr>
                <w:sz w:val="15"/>
              </w:rPr>
              <w:t>v1.1</w:t>
            </w:r>
          </w:p>
        </w:tc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 de processo</w:t>
            </w:r>
          </w:p>
        </w:tc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Projeto_07_Gestao_Ativos_CMDB_v1_1_revisado.docx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5"/>
              </w:rPr>
              <w:t>Propõe controle do ciclo de vida de ativos e relacionamento com configuração.</w:t>
            </w:r>
          </w:p>
        </w:tc>
      </w:tr>
      <w:tr>
        <w:tc>
          <w:tcPr>
            <w:tcW w:type="dxa" w:w="893"/>
            <w:vAlign w:val="top"/>
          </w:tcPr>
          <w:p>
            <w:pPr>
              <w:spacing w:after="20"/>
            </w:pPr>
            <w:r>
              <w:rPr>
                <w:sz w:val="15"/>
              </w:rPr>
              <w:t>SGS-10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 08 — Gestão de Fornecedores e BRM</w:t>
            </w:r>
          </w:p>
        </w:tc>
        <w:tc>
          <w:tcPr>
            <w:tcW w:type="dxa" w:w="691"/>
            <w:vAlign w:val="top"/>
          </w:tcPr>
          <w:p>
            <w:pPr>
              <w:spacing w:after="20"/>
            </w:pPr>
            <w:r>
              <w:rPr>
                <w:sz w:val="15"/>
              </w:rPr>
              <w:t>v1.1</w:t>
            </w:r>
          </w:p>
        </w:tc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 de processo</w:t>
            </w:r>
          </w:p>
        </w:tc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Projeto_08_Gestao_Fornecedores_BRM_v1_1_revisado.docx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5"/>
              </w:rPr>
              <w:t>Propõe gestão de fornecedores, relacionamento e acompanhamento de desempenho.</w:t>
            </w:r>
          </w:p>
        </w:tc>
      </w:tr>
      <w:tr>
        <w:tc>
          <w:tcPr>
            <w:tcW w:type="dxa" w:w="893"/>
            <w:vAlign w:val="top"/>
          </w:tcPr>
          <w:p>
            <w:pPr>
              <w:spacing w:after="20"/>
            </w:pPr>
            <w:r>
              <w:rPr>
                <w:sz w:val="15"/>
              </w:rPr>
              <w:t>SGS-11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 09 — Demanda, Capacidade e FinOps</w:t>
            </w:r>
          </w:p>
        </w:tc>
        <w:tc>
          <w:tcPr>
            <w:tcW w:type="dxa" w:w="691"/>
            <w:vAlign w:val="top"/>
          </w:tcPr>
          <w:p>
            <w:pPr>
              <w:spacing w:after="20"/>
            </w:pPr>
            <w:r>
              <w:rPr>
                <w:sz w:val="15"/>
              </w:rPr>
              <w:t>v1.1</w:t>
            </w:r>
          </w:p>
        </w:tc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 de processo</w:t>
            </w:r>
          </w:p>
        </w:tc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Projeto_09_Demanda_Capacidade_FinOps_v1_1_revisado.docx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5"/>
              </w:rPr>
              <w:t>Propõe gestão de demanda, capacidade e custos de serviços/recursos tecnológicos.</w:t>
            </w:r>
          </w:p>
        </w:tc>
      </w:tr>
      <w:tr>
        <w:tc>
          <w:tcPr>
            <w:tcW w:type="dxa" w:w="893"/>
            <w:vAlign w:val="top"/>
          </w:tcPr>
          <w:p>
            <w:pPr>
              <w:spacing w:after="20"/>
            </w:pPr>
            <w:r>
              <w:rPr>
                <w:sz w:val="15"/>
              </w:rPr>
              <w:t>SGS-12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 10 — Desempenho, Auditoria e Melhoria Contínua CSI/PDCA</w:t>
            </w:r>
          </w:p>
        </w:tc>
        <w:tc>
          <w:tcPr>
            <w:tcW w:type="dxa" w:w="691"/>
            <w:vAlign w:val="top"/>
          </w:tcPr>
          <w:p>
            <w:pPr>
              <w:spacing w:after="20"/>
            </w:pPr>
            <w:r>
              <w:rPr>
                <w:sz w:val="15"/>
              </w:rPr>
              <w:t>v1.1</w:t>
            </w:r>
          </w:p>
        </w:tc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 de processo</w:t>
            </w:r>
          </w:p>
        </w:tc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5"/>
              </w:rPr>
              <w:t>Projeto_10_Desempenho_Auditoria_CSI_PDCA_v1_1_revisado.docx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5"/>
              </w:rPr>
              <w:t>Propõe medição de desempenho, avaliação de controles e ciclo de melhoria.</w:t>
            </w:r>
          </w:p>
        </w:tc>
      </w:tr>
      <w:tr>
        <w:tc>
          <w:tcPr>
            <w:tcW w:type="dxa" w:w="893"/>
            <w:vAlign w:val="top"/>
          </w:tcPr>
          <w:p>
            <w:pPr>
              <w:spacing w:after="20"/>
            </w:pPr>
            <w:r>
              <w:rPr>
                <w:sz w:val="15"/>
              </w:rPr>
              <w:t>SGS-13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sz w:val="15"/>
              </w:rPr>
              <w:t>Relatório de Revisão Transversal SGS/SGSI</w:t>
            </w:r>
          </w:p>
        </w:tc>
        <w:tc>
          <w:tcPr>
            <w:tcW w:type="dxa" w:w="691"/>
            <w:vAlign w:val="top"/>
          </w:tcPr>
          <w:p>
            <w:pPr>
              <w:spacing w:after="20"/>
            </w:pPr>
            <w:r>
              <w:rPr>
                <w:sz w:val="15"/>
              </w:rPr>
              <w:t>v1.0</w:t>
            </w:r>
          </w:p>
        </w:tc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sz w:val="15"/>
              </w:rPr>
              <w:t>Relatório de revisão</w:t>
            </w:r>
          </w:p>
        </w:tc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5"/>
              </w:rPr>
              <w:t>Revisao_Transversal_SGS_SGSI_v1_0.docx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5"/>
              </w:rPr>
              <w:t>Registra inconsistências transversais e recomendações de harmonização.</w:t>
            </w:r>
          </w:p>
        </w:tc>
      </w:tr>
    </w:tbl>
    <w:p>
      <w:pPr>
        <w:pStyle w:val="Heading1"/>
      </w:pPr>
      <w:r>
        <w:t>4. Horizonte temporal de referência</w:t>
      </w:r>
    </w:p>
    <w:p>
      <w:r>
        <w:t>Convenção transversal do programa: até 90 dias para a implantação inicial do programa; até 18 meses para evolução e maturação. Planos específicos de 60 dias, quando presentes em projetos, são estimativas de trabalho sujeitas à validação do cenário, capacidade, dependências, criticidade e disponibilidade de recursos. Não devem ser interpretados como compromisso aprovado ou prazo universal.</w:t>
      </w:r>
    </w:p>
    <w:p>
      <w:pPr>
        <w:pStyle w:val="Heading1"/>
      </w:pPr>
      <w:r>
        <w:t>5. Pontos de controle antes de uma versão de publicação</w:t>
      </w:r>
    </w:p>
    <w:p>
      <w:pPr>
        <w:pStyle w:val="ListBullet"/>
      </w:pPr>
      <w:r>
        <w:t>Harmonizar cronogramas de projeto com o horizonte do programa (90 dias iniciais; maturação até 18 meses).</w:t>
      </w:r>
    </w:p>
    <w:p>
      <w:pPr>
        <w:pStyle w:val="ListBullet"/>
      </w:pPr>
      <w:r>
        <w:t>Revisar ocorrências de “aprovado”, “vigente”, “publicado” e “executado” no contexto, evitando que exemplos simulados pareçam fatos reais.</w:t>
      </w:r>
    </w:p>
    <w:p>
      <w:pPr>
        <w:pStyle w:val="ListBullet"/>
      </w:pPr>
      <w:r>
        <w:t>Padronizar histórico de versões, status editorial, responsáveis e campos de aprovação; deixar campos não confirmados como “a definir” ou “não aplicável”.</w:t>
      </w:r>
    </w:p>
    <w:p>
      <w:pPr>
        <w:pStyle w:val="ListBullet"/>
      </w:pPr>
      <w:r>
        <w:t>Consolidar glossário, papéis, RACI e critérios de escalonamento entre os projetos.</w:t>
      </w:r>
    </w:p>
    <w:p>
      <w:pPr>
        <w:pStyle w:val="ListBullet"/>
      </w:pPr>
      <w:r>
        <w:t>Consolidar o dicionário de KPIs: definição, fórmula, fonte, frequência, responsável, baseline, meta, tolerância e evidência.</w:t>
      </w:r>
    </w:p>
    <w:p>
      <w:pPr>
        <w:pStyle w:val="ListBullet"/>
      </w:pPr>
      <w:r>
        <w:t>Verificar referências normativas em fontes oficiais e não alegar conformidade, auditoria ou certificação sem evidências.</w:t>
      </w:r>
    </w:p>
    <w:p>
      <w:pPr>
        <w:pStyle w:val="ListBullet"/>
      </w:pPr>
      <w:r>
        <w:t>Identificar dados, registros, assinaturas, datas, resultados de testes e evidências ilustrativas como fictícios/simulados.</w:t>
      </w:r>
    </w:p>
    <w:p>
      <w:pPr>
        <w:pStyle w:val="ListBullet"/>
      </w:pPr>
      <w:r>
        <w:t>Centralizar premissas financeiras e de ROI, separando estimativa, orçamento aprovado e benefício realizado.</w:t>
      </w:r>
    </w:p>
    <w:p>
      <w:pPr>
        <w:pStyle w:val="ListBullet"/>
      </w:pPr>
      <w:r>
        <w:t>Documentar controles de segurança para automações destrutivas, incluindo validação, autorização, janela de cura, rollback e trilha de auditoria.</w:t>
      </w:r>
    </w:p>
    <w:p>
      <w:pPr>
        <w:pStyle w:val="Heading1"/>
      </w:pPr>
      <w:r>
        <w:t>6. Campos de governança documental para próximas revisões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Valor atual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Valor atual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Observação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Dono do documento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 definir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Revisor técnico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 definir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Não atribuir nomes sem confirmação.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Aprovador organizacional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Não aplicável ao case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Data de aprovação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Não aplicável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Não há aprovação real declarada.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Status editorial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Revisado para portfólio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Próxima revisão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 definir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Definir após aplicação das correções transversais.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Classificação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Conceitual/simulado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Fonte de evidência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Não aplicável salvo indicação explícita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Separar modelos de evidências reais.</w:t>
            </w:r>
          </w:p>
        </w:tc>
      </w:tr>
    </w:tbl>
    <w:p>
      <w:pPr>
        <w:pStyle w:val="Heading1"/>
      </w:pPr>
      <w:r>
        <w:t>7. Próximas ações sugeridas</w:t>
      </w:r>
    </w:p>
    <w:p>
      <w:pPr>
        <w:pStyle w:val="ListNumber"/>
      </w:pPr>
      <w:r>
        <w:t>Criar e validar o glossário e a Matriz RACI integrados.</w:t>
      </w:r>
    </w:p>
    <w:p>
      <w:pPr>
        <w:pStyle w:val="ListNumber"/>
      </w:pPr>
      <w:r>
        <w:t>Criar o dicionário corporativo de KPIs com definições consistentes entre os projetos.</w:t>
      </w:r>
    </w:p>
    <w:p>
      <w:pPr>
        <w:pStyle w:val="ListNumber"/>
      </w:pPr>
      <w:r>
        <w:t>Aplicar as correções transversais aos documentos existentes e emitir novas versões sem sobrescrever as cópias anteriores.</w:t>
      </w:r>
    </w:p>
    <w:p>
      <w:pPr>
        <w:pStyle w:val="ListNumber"/>
      </w:pPr>
      <w:r>
        <w:t>Gerar um pacote final de portfólio com índice, documentos revisados e nota explícita sobre a natureza simulada do case.</w:t>
      </w:r>
    </w:p>
    <w:sectPr w:rsidR="00FC693F" w:rsidRPr="0006063C" w:rsidSect="00034616">
      <w:footerReference w:type="default" r:id="rId9"/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SGS/SGSI | Índice Mestre e Controle Documental | v1.0 | Case conceitual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