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55A11"/>
          <w:sz w:val="20"/>
        </w:rPr>
        <w:t>PROGRAMA INTEGRADO DE GOVERNANÇA, SERVIÇOS E SEGURANÇA DE TI (SGS / SGSI)</w:t>
        <w:br/>
      </w:r>
      <w:r>
        <w:rPr>
          <w:b/>
          <w:color w:val="002060"/>
          <w:sz w:val="44"/>
        </w:rPr>
        <w:t>MANUAL OPERACIONAL DE IMPLEMENTAÇÃO:</w:t>
        <w:br/>
        <w:t>GESTÃO DE PROBLEMAS E BASE DE ERROS CONHECIDOS (KEDB)</w:t>
      </w:r>
    </w:p>
    <w:p>
      <w:pPr/>
      <w:r>
        <w:rPr>
          <w:b/>
          <w:color w:val="804000"/>
          <w:sz w:val="18"/>
        </w:rPr>
        <w:t>NOTA DE CONTEXTO — CASE SIMULADO: percentuais de benefício, metas, prazos, papéis, registros, IDs de problema/KEDB, status de homologação, controles e evidências são ilustrativos ou propostas. Não representam resultados medidos, aprovações, homologações, auditorias ou implantação reais. Validar o desenho e os riscos antes de uso operacional.</w:t>
      </w:r>
    </w:p>
    <w:p>
      <w:r>
        <w:rPr>
          <w:i/>
          <w:color w:val="4A607A"/>
          <w:sz w:val="22"/>
        </w:rPr>
        <w:t>Projeto de Implementação Nível 2 — Guia 'Turn-Key' de Engenharia de Causa Raiz, Eliminação de Débito Técnico e Prevenção de Incidentes Recorrentes</w:t>
        <w:br/>
        <w:t>Conforme ABNT NBR ISO/IEC 20000-1:2020 (Item 8.6.2), ITIL v4, COBIT 5 (DSS03) e ISO/IEC 27001:2022 (A.8.16 / A.8.8)</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rPr>
        <w:tc>
          <w:tcPr>
            <w:tcW w:type="dxa" w:w="2160"/>
            <w:tcMar>
              <w:top w:w="80" w:type="dxa"/>
              <w:bottom w:w="80" w:type="dxa"/>
              <w:left w:w="100" w:type="dxa"/>
              <w:right w:w="100" w:type="dxa"/>
            </w:tcMar>
            <w:shd w:val="clear" w:color="auto" w:fill="F2F4F7"/>
          </w:tcPr>
          <w:p>
            <w:pPr>
              <w:spacing w:after="40"/>
            </w:pPr>
            <w:r/>
            <w:r>
              <w:rPr>
                <w:rFonts w:ascii="Calibri" w:hAnsi="Calibri"/>
                <w:b/>
                <w:sz w:val="18"/>
              </w:rPr>
              <w:t>Documento:</w:t>
            </w:r>
          </w:p>
        </w:tc>
        <w:tc>
          <w:tcPr>
            <w:tcW w:type="dxa" w:w="2880"/>
            <w:tcMar>
              <w:top w:w="80" w:type="dxa"/>
              <w:bottom w:w="80" w:type="dxa"/>
              <w:left w:w="100" w:type="dxa"/>
              <w:right w:w="100" w:type="dxa"/>
            </w:tcMar>
          </w:tcPr>
          <w:p>
            <w:pPr>
              <w:spacing w:after="40"/>
            </w:pPr>
            <w:r/>
            <w:r>
              <w:rPr>
                <w:rFonts w:ascii="Calibri" w:hAnsi="Calibri"/>
                <w:color w:val="262626"/>
                <w:sz w:val="18"/>
              </w:rPr>
              <w:t>PROJ-PRB-002-DOC</w:t>
            </w:r>
          </w:p>
        </w:tc>
        <w:tc>
          <w:tcPr>
            <w:tcW w:type="dxa" w:w="2160"/>
            <w:tcMar>
              <w:top w:w="80" w:type="dxa"/>
              <w:bottom w:w="80" w:type="dxa"/>
              <w:left w:w="100" w:type="dxa"/>
              <w:right w:w="100" w:type="dxa"/>
            </w:tcMar>
            <w:shd w:val="clear" w:color="auto" w:fill="F2F4F7"/>
          </w:tcPr>
          <w:p>
            <w:pPr>
              <w:spacing w:after="40"/>
            </w:pPr>
            <w:r/>
            <w:r>
              <w:rPr>
                <w:rFonts w:ascii="Calibri" w:hAnsi="Calibri"/>
                <w:b/>
                <w:sz w:val="18"/>
              </w:rPr>
              <w:t>Versão Oficial:</w:t>
            </w:r>
          </w:p>
        </w:tc>
        <w:tc>
          <w:tcPr>
            <w:tcW w:type="dxa" w:w="2160"/>
            <w:tcMar>
              <w:top w:w="80" w:type="dxa"/>
              <w:bottom w:w="80" w:type="dxa"/>
              <w:left w:w="100" w:type="dxa"/>
              <w:right w:w="100" w:type="dxa"/>
            </w:tcMar>
          </w:tcPr>
          <w:p>
            <w:r>
              <w:t>v2.1 — revisão editorial do case simulado</w:t>
            </w:r>
          </w:p>
        </w:tc>
      </w:tr>
      <w:tr>
        <w:trPr>
          <w:cantSplit/>
        </w:trPr>
        <w:tc>
          <w:tcPr>
            <w:tcW w:type="dxa" w:w="2160"/>
            <w:tcMar>
              <w:top w:w="80" w:type="dxa"/>
              <w:bottom w:w="80" w:type="dxa"/>
              <w:left w:w="100" w:type="dxa"/>
              <w:right w:w="100" w:type="dxa"/>
            </w:tcMar>
            <w:shd w:val="clear" w:color="auto" w:fill="F2F4F7"/>
          </w:tcPr>
          <w:p>
            <w:pPr>
              <w:spacing w:after="40"/>
            </w:pPr>
            <w:r/>
            <w:r>
              <w:rPr>
                <w:rFonts w:ascii="Calibri" w:hAnsi="Calibri"/>
                <w:b/>
                <w:sz w:val="18"/>
              </w:rPr>
              <w:t>Código do Processo:</w:t>
            </w:r>
          </w:p>
        </w:tc>
        <w:tc>
          <w:tcPr>
            <w:tcW w:type="dxa" w:w="2880"/>
            <w:tcMar>
              <w:top w:w="80" w:type="dxa"/>
              <w:bottom w:w="80" w:type="dxa"/>
              <w:left w:w="100" w:type="dxa"/>
              <w:right w:w="100" w:type="dxa"/>
            </w:tcMar>
          </w:tcPr>
          <w:p>
            <w:pPr>
              <w:spacing w:after="40"/>
            </w:pPr>
            <w:r/>
            <w:r>
              <w:rPr>
                <w:rFonts w:ascii="Calibri" w:hAnsi="Calibri"/>
                <w:color w:val="262626"/>
                <w:sz w:val="18"/>
              </w:rPr>
              <w:t>PRB-KEDB-ITSM</w:t>
            </w:r>
          </w:p>
        </w:tc>
        <w:tc>
          <w:tcPr>
            <w:tcW w:type="dxa" w:w="2160"/>
            <w:tcMar>
              <w:top w:w="80" w:type="dxa"/>
              <w:bottom w:w="80" w:type="dxa"/>
              <w:left w:w="100" w:type="dxa"/>
              <w:right w:w="100" w:type="dxa"/>
            </w:tcMar>
            <w:shd w:val="clear" w:color="auto" w:fill="F2F4F7"/>
          </w:tcPr>
          <w:p>
            <w:pPr>
              <w:spacing w:after="40"/>
            </w:pPr>
            <w:r/>
            <w:r>
              <w:rPr>
                <w:rFonts w:ascii="Calibri" w:hAnsi="Calibri"/>
                <w:b/>
                <w:sz w:val="18"/>
              </w:rPr>
              <w:t>Status de Aprovação:</w:t>
            </w:r>
          </w:p>
        </w:tc>
        <w:tc>
          <w:tcPr>
            <w:tcW w:type="dxa" w:w="2160"/>
            <w:tcMar>
              <w:top w:w="80" w:type="dxa"/>
              <w:bottom w:w="80" w:type="dxa"/>
              <w:left w:w="100" w:type="dxa"/>
              <w:right w:w="100" w:type="dxa"/>
            </w:tcMar>
          </w:tcPr>
          <w:p>
            <w:r>
              <w:t>Proposta conceitual — pendente de validação</w:t>
            </w:r>
          </w:p>
        </w:tc>
      </w:tr>
      <w:tr>
        <w:trPr>
          <w:cantSplit/>
        </w:trPr>
        <w:tc>
          <w:tcPr>
            <w:tcW w:type="dxa" w:w="2160"/>
            <w:tcMar>
              <w:top w:w="80" w:type="dxa"/>
              <w:bottom w:w="80" w:type="dxa"/>
              <w:left w:w="100" w:type="dxa"/>
              <w:right w:w="100" w:type="dxa"/>
            </w:tcMar>
            <w:shd w:val="clear" w:color="auto" w:fill="F2F4F7"/>
          </w:tcPr>
          <w:p>
            <w:pPr>
              <w:spacing w:after="40"/>
            </w:pPr>
            <w:r/>
            <w:r>
              <w:rPr>
                <w:rFonts w:ascii="Calibri" w:hAnsi="Calibri"/>
                <w:b/>
                <w:sz w:val="18"/>
              </w:rPr>
              <w:t>Elaborador:</w:t>
            </w:r>
          </w:p>
        </w:tc>
        <w:tc>
          <w:tcPr>
            <w:tcW w:type="dxa" w:w="2880"/>
            <w:tcMar>
              <w:top w:w="80" w:type="dxa"/>
              <w:bottom w:w="80" w:type="dxa"/>
              <w:left w:w="100" w:type="dxa"/>
              <w:right w:w="100" w:type="dxa"/>
            </w:tcMar>
          </w:tcPr>
          <w:p>
            <w:r>
              <w:t>Autoria editorial do modelo conceitual</w:t>
            </w:r>
          </w:p>
        </w:tc>
        <w:tc>
          <w:tcPr>
            <w:tcW w:type="dxa" w:w="2160"/>
            <w:tcMar>
              <w:top w:w="80" w:type="dxa"/>
              <w:bottom w:w="80" w:type="dxa"/>
              <w:left w:w="100" w:type="dxa"/>
              <w:right w:w="100" w:type="dxa"/>
            </w:tcMar>
            <w:shd w:val="clear" w:color="auto" w:fill="F2F4F7"/>
          </w:tcPr>
          <w:p>
            <w:pPr>
              <w:spacing w:after="40"/>
            </w:pPr>
            <w:r/>
            <w:r>
              <w:rPr>
                <w:rFonts w:ascii="Calibri" w:hAnsi="Calibri"/>
                <w:b/>
                <w:sz w:val="18"/>
              </w:rPr>
              <w:t>Aprovador:</w:t>
            </w:r>
          </w:p>
        </w:tc>
        <w:tc>
          <w:tcPr>
            <w:tcW w:type="dxa" w:w="2160"/>
            <w:tcMar>
              <w:top w:w="80" w:type="dxa"/>
              <w:bottom w:w="80" w:type="dxa"/>
              <w:left w:w="100" w:type="dxa"/>
              <w:right w:w="100" w:type="dxa"/>
            </w:tcMar>
          </w:tcPr>
          <w:p>
            <w:r>
              <w:t>A definir pela organização</w:t>
            </w:r>
          </w:p>
        </w:tc>
      </w:tr>
      <w:tr>
        <w:trPr>
          <w:cantSplit/>
        </w:trPr>
        <w:tc>
          <w:tcPr>
            <w:tcW w:type="dxa" w:w="2160"/>
            <w:tcMar>
              <w:top w:w="80" w:type="dxa"/>
              <w:bottom w:w="80" w:type="dxa"/>
              <w:left w:w="100" w:type="dxa"/>
              <w:right w:w="100" w:type="dxa"/>
            </w:tcMar>
            <w:shd w:val="clear" w:color="auto" w:fill="F2F4F7"/>
          </w:tcPr>
          <w:p>
            <w:pPr>
              <w:spacing w:after="40"/>
            </w:pPr>
            <w:r/>
            <w:r>
              <w:rPr>
                <w:rFonts w:ascii="Calibri" w:hAnsi="Calibri"/>
                <w:b/>
                <w:sz w:val="18"/>
              </w:rPr>
              <w:t>Data de Emissão:</w:t>
            </w:r>
          </w:p>
        </w:tc>
        <w:tc>
          <w:tcPr>
            <w:tcW w:type="dxa" w:w="2880"/>
            <w:tcMar>
              <w:top w:w="80" w:type="dxa"/>
              <w:bottom w:w="80" w:type="dxa"/>
              <w:left w:w="100" w:type="dxa"/>
              <w:right w:w="100" w:type="dxa"/>
            </w:tcMar>
          </w:tcPr>
          <w:p>
            <w:r>
              <w:t>Data de revisão do arquivo: 26/10/2026</w:t>
            </w:r>
          </w:p>
        </w:tc>
        <w:tc>
          <w:tcPr>
            <w:tcW w:type="dxa" w:w="2160"/>
            <w:tcMar>
              <w:top w:w="80" w:type="dxa"/>
              <w:bottom w:w="80" w:type="dxa"/>
              <w:left w:w="100" w:type="dxa"/>
              <w:right w:w="100" w:type="dxa"/>
            </w:tcMar>
            <w:shd w:val="clear" w:color="auto" w:fill="F2F4F7"/>
          </w:tcPr>
          <w:p>
            <w:pPr>
              <w:spacing w:after="40"/>
            </w:pPr>
            <w:r/>
            <w:r>
              <w:rPr>
                <w:rFonts w:ascii="Calibri" w:hAnsi="Calibri"/>
                <w:b/>
                <w:sz w:val="18"/>
              </w:rPr>
              <w:t>Classificação:</w:t>
            </w:r>
          </w:p>
        </w:tc>
        <w:tc>
          <w:tcPr>
            <w:tcW w:type="dxa" w:w="2160"/>
            <w:tcMar>
              <w:top w:w="80" w:type="dxa"/>
              <w:bottom w:w="80" w:type="dxa"/>
              <w:left w:w="100" w:type="dxa"/>
              <w:right w:w="100" w:type="dxa"/>
            </w:tcMar>
          </w:tcPr>
          <w:p>
            <w:pPr>
              <w:spacing w:after="40"/>
            </w:pPr>
            <w:r/>
            <w:r>
              <w:rPr>
                <w:rFonts w:ascii="Calibri" w:hAnsi="Calibri"/>
                <w:color w:val="262626"/>
                <w:sz w:val="18"/>
              </w:rPr>
              <w:t>Confidencial / Uso Interno</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val="clear" w:color="auto" w:fill="EDF2F8"/>
            <w:tcMar>
              <w:top w:w="140" w:type="dxa"/>
              <w:bottom w:w="140" w:type="dxa"/>
              <w:left w:w="200" w:type="dxa"/>
              <w:right w:w="200" w:type="dxa"/>
            </w:tcMar>
          </w:tcPr>
          <w:p>
            <w:pPr>
              <w:spacing w:after="80"/>
            </w:pPr>
            <w:r>
              <w:rPr>
                <w:b/>
                <w:color w:val="002060"/>
                <w:sz w:val="22"/>
              </w:rPr>
              <w:t>📌 DIRETRUZ EXECUTIVA DE IMPLEMENTAÇÃO (PLUG &amp; PLAY)</w:t>
            </w:r>
          </w:p>
          <w:p>
            <w:pPr>
              <w:spacing w:after="0"/>
            </w:pPr>
            <w:r>
              <w:rPr>
                <w:color w:val="262626"/>
                <w:sz w:val="19"/>
              </w:rPr>
              <w:t>Este manual estabelece a metodologia técnica e operacional completa para a implantação do processo de Gestão de Problemas e Base de Erros Conhecidos (KEDB). Desenvolvido de forma autossuficiente, este documento fornece todos os procedimentos operacionais padrão (POPs), políticas normativas, formulários de Análise de Causa Raiz (RCA), modelos de artigos para a KEDB, parâmetros de integração com ITSM/CMDB e roteiros de capacitação. Um analista ou especialista de TI possui neste guia o instrumental completo para executar a transição da gestão reativa para a engenharia proativa de estabilidade de serviços.</w:t>
            </w:r>
          </w:p>
        </w:tc>
      </w:tr>
    </w:tbl>
    <w:p>
      <w:pPr>
        <w:spacing w:after="360"/>
      </w:pPr>
    </w:p>
    <w:p>
      <w:pPr>
        <w:keepNext/>
        <w:spacing w:before="360" w:after="120"/>
      </w:pPr>
      <w:r>
        <w:rPr>
          <w:b/>
          <w:color w:val="002060"/>
          <w:sz w:val="30"/>
        </w:rPr>
        <w:t>1. IDENTIFICAÇÃO E CONTROLE DOCUMENTAL</w:t>
      </w:r>
    </w:p>
    <w:p>
      <w:pPr>
        <w:spacing w:after="120" w:line="276" w:lineRule="auto"/>
      </w:pPr>
      <w:r>
        <w:t>A Gestão de Problemas e a manutenção da Base de Erros Conhecidos (KEDB — Known Error Database) apoiam a estabilidade técnica e a redução de recorrência. Este documento propõe um modelo conceitual para o Nível 2 da arquitetura documental do SGS; sua adoção depende de diagnóstico, adaptação e aprovação pela organização.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152"/>
            <w:shd w:val="clear" w:color="auto" w:fill="002060"/>
            <w:tcMar>
              <w:top w:w="100" w:type="dxa"/>
              <w:bottom w:w="100" w:type="dxa"/>
              <w:left w:w="100" w:type="dxa"/>
              <w:right w:w="100" w:type="dxa"/>
            </w:tcMar>
          </w:tcPr>
          <w:p>
            <w:r>
              <w:rPr>
                <w:b/>
                <w:color w:val="FFFFFF"/>
                <w:sz w:val="18"/>
              </w:rPr>
              <w:t>Versão</w:t>
            </w:r>
          </w:p>
        </w:tc>
        <w:tc>
          <w:tcPr>
            <w:tcW w:type="dxa" w:w="1440"/>
            <w:shd w:val="clear" w:color="auto" w:fill="002060"/>
            <w:tcMar>
              <w:top w:w="100" w:type="dxa"/>
              <w:bottom w:w="100" w:type="dxa"/>
              <w:left w:w="100" w:type="dxa"/>
              <w:right w:w="100" w:type="dxa"/>
            </w:tcMar>
          </w:tcPr>
          <w:p>
            <w:r>
              <w:rPr>
                <w:b/>
                <w:color w:val="FFFFFF"/>
                <w:sz w:val="18"/>
              </w:rPr>
              <w:t>Data</w:t>
            </w:r>
          </w:p>
        </w:tc>
        <w:tc>
          <w:tcPr>
            <w:tcW w:type="dxa" w:w="3888"/>
            <w:shd w:val="clear" w:color="auto" w:fill="002060"/>
            <w:tcMar>
              <w:top w:w="100" w:type="dxa"/>
              <w:bottom w:w="100" w:type="dxa"/>
              <w:left w:w="100" w:type="dxa"/>
              <w:right w:w="100" w:type="dxa"/>
            </w:tcMar>
          </w:tcPr>
          <w:p>
            <w:r>
              <w:rPr>
                <w:b/>
                <w:color w:val="FFFFFF"/>
                <w:sz w:val="18"/>
              </w:rPr>
              <w:t>Descrição da Alteração</w:t>
            </w:r>
          </w:p>
        </w:tc>
        <w:tc>
          <w:tcPr>
            <w:tcW w:type="dxa" w:w="1440"/>
            <w:shd w:val="clear" w:color="auto" w:fill="002060"/>
            <w:tcMar>
              <w:top w:w="100" w:type="dxa"/>
              <w:bottom w:w="100" w:type="dxa"/>
              <w:left w:w="100" w:type="dxa"/>
              <w:right w:w="100" w:type="dxa"/>
            </w:tcMar>
          </w:tcPr>
          <w:p>
            <w:r>
              <w:rPr>
                <w:b/>
                <w:color w:val="FFFFFF"/>
                <w:sz w:val="18"/>
              </w:rPr>
              <w:t>Autor</w:t>
            </w:r>
          </w:p>
        </w:tc>
        <w:tc>
          <w:tcPr>
            <w:tcW w:type="dxa" w:w="1440"/>
            <w:shd w:val="clear" w:color="auto" w:fill="002060"/>
            <w:tcMar>
              <w:top w:w="100" w:type="dxa"/>
              <w:bottom w:w="100" w:type="dxa"/>
              <w:left w:w="100" w:type="dxa"/>
              <w:right w:w="100" w:type="dxa"/>
            </w:tcMar>
          </w:tcPr>
          <w:p>
            <w:r>
              <w:t>Validação organizacional</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rPr>
          <w:cantSplit/>
        </w:trPr>
        <w:tc>
          <w:tcPr>
            <w:tcW w:type="dxa" w:w="1152"/>
            <w:tcMar>
              <w:top w:w="80" w:type="dxa"/>
              <w:bottom w:w="80" w:type="dxa"/>
              <w:left w:w="100" w:type="dxa"/>
              <w:right w:w="100" w:type="dxa"/>
            </w:tcMar>
          </w:tcPr>
          <w:p>
            <w:r>
              <w:rPr>
                <w:color w:val="262626"/>
                <w:sz w:val="17"/>
              </w:rPr>
              <w:t>v1.0</w:t>
            </w:r>
          </w:p>
        </w:tc>
        <w:tc>
          <w:tcPr>
            <w:tcW w:type="dxa" w:w="1440"/>
            <w:tcMar>
              <w:top w:w="80" w:type="dxa"/>
              <w:bottom w:w="80" w:type="dxa"/>
              <w:left w:w="100" w:type="dxa"/>
              <w:right w:w="100" w:type="dxa"/>
            </w:tcMar>
          </w:tcPr>
          <w:p>
            <w:r>
              <w:rPr>
                <w:color w:val="262626"/>
                <w:sz w:val="17"/>
              </w:rPr>
              <w:t>15/01/2026</w:t>
            </w:r>
          </w:p>
        </w:tc>
        <w:tc>
          <w:tcPr>
            <w:tcW w:type="dxa" w:w="3888"/>
            <w:tcMar>
              <w:top w:w="80" w:type="dxa"/>
              <w:bottom w:w="80" w:type="dxa"/>
              <w:left w:w="100" w:type="dxa"/>
              <w:right w:w="100" w:type="dxa"/>
            </w:tcMar>
          </w:tcPr>
          <w:p>
            <w:r>
              <w:rPr>
                <w:color w:val="262626"/>
                <w:sz w:val="17"/>
              </w:rPr>
              <w:t>Estrutura conceitual inicial e modelo de RCA.</w:t>
            </w:r>
          </w:p>
        </w:tc>
        <w:tc>
          <w:tcPr>
            <w:tcW w:type="dxa" w:w="1440"/>
            <w:tcMar>
              <w:top w:w="80" w:type="dxa"/>
              <w:bottom w:w="80" w:type="dxa"/>
              <w:left w:w="100" w:type="dxa"/>
              <w:right w:w="100" w:type="dxa"/>
            </w:tcMar>
          </w:tcPr>
          <w:p>
            <w:r>
              <w:t>Papel editorial ilustrativo</w:t>
            </w:r>
          </w:p>
        </w:tc>
        <w:tc>
          <w:tcPr>
            <w:tcW w:type="dxa" w:w="1440"/>
            <w:tcMar>
              <w:top w:w="80" w:type="dxa"/>
              <w:bottom w:w="80" w:type="dxa"/>
              <w:left w:w="100" w:type="dxa"/>
              <w:right w:w="100" w:type="dxa"/>
            </w:tcMar>
          </w:tcPr>
          <w:p>
            <w:r>
              <w:t>Pendente de validação</w:t>
            </w:r>
          </w:p>
        </w:tc>
      </w:tr>
      <w:tr>
        <w:trPr>
          <w:cantSplit/>
        </w:trPr>
        <w:tc>
          <w:tcPr>
            <w:tcW w:type="dxa" w:w="1152"/>
            <w:tcMar>
              <w:top w:w="80" w:type="dxa"/>
              <w:bottom w:w="80" w:type="dxa"/>
              <w:left w:w="100" w:type="dxa"/>
              <w:right w:w="100" w:type="dxa"/>
            </w:tcMar>
          </w:tcPr>
          <w:p>
            <w:r>
              <w:rPr>
                <w:color w:val="262626"/>
                <w:sz w:val="17"/>
              </w:rPr>
              <w:t>v2.0</w:t>
            </w:r>
          </w:p>
        </w:tc>
        <w:tc>
          <w:tcPr>
            <w:tcW w:type="dxa" w:w="1440"/>
            <w:tcMar>
              <w:top w:w="80" w:type="dxa"/>
              <w:bottom w:w="80" w:type="dxa"/>
              <w:left w:w="100" w:type="dxa"/>
              <w:right w:w="100" w:type="dxa"/>
            </w:tcMar>
          </w:tcPr>
          <w:p>
            <w:r>
              <w:rPr>
                <w:color w:val="262626"/>
                <w:sz w:val="17"/>
              </w:rPr>
              <w:t>14/10/2026</w:t>
            </w:r>
          </w:p>
        </w:tc>
        <w:tc>
          <w:tcPr>
            <w:tcW w:type="dxa" w:w="3888"/>
            <w:tcMar>
              <w:top w:w="80" w:type="dxa"/>
              <w:bottom w:w="80" w:type="dxa"/>
              <w:left w:w="100" w:type="dxa"/>
              <w:right w:w="100" w:type="dxa"/>
            </w:tcMar>
          </w:tcPr>
          <w:p>
            <w:r>
              <w:rPr>
                <w:color w:val="262626"/>
                <w:sz w:val="17"/>
              </w:rPr>
              <w:t>Consolidação em Manual Turn-Key estendido, com inclusão de 5 POPs completos de 20 itens, Anexo A (Política Corporativa), Anexo B (Template RCA 5 Porquês/Ishikawa), Anexo C (Padronização KEDB), Anexo D (Dicionário de Categorização) e Anexo E (Roteiro de Treinamento).</w:t>
            </w:r>
          </w:p>
        </w:tc>
        <w:tc>
          <w:tcPr>
            <w:tcW w:type="dxa" w:w="1440"/>
            <w:tcMar>
              <w:top w:w="80" w:type="dxa"/>
              <w:bottom w:w="80" w:type="dxa"/>
              <w:left w:w="100" w:type="dxa"/>
              <w:right w:w="100" w:type="dxa"/>
            </w:tcMar>
          </w:tcPr>
          <w:p>
            <w:r>
              <w:t>Papel editorial ilustrativo</w:t>
            </w:r>
          </w:p>
        </w:tc>
        <w:tc>
          <w:tcPr>
            <w:tcW w:type="dxa" w:w="1440"/>
            <w:tcMar>
              <w:top w:w="80" w:type="dxa"/>
              <w:bottom w:w="80" w:type="dxa"/>
              <w:left w:w="100" w:type="dxa"/>
              <w:right w:w="100" w:type="dxa"/>
            </w:tcMar>
          </w:tcPr>
          <w:p>
            <w:r>
              <w:t>Pendente de validação</w:t>
            </w:r>
          </w:p>
        </w:tc>
      </w:tr>
    </w:tbl>
    <w:p>
      <w:pPr>
        <w:keepNext/>
        <w:spacing w:before="360" w:after="120"/>
      </w:pPr>
      <w:r>
        <w:rPr>
          <w:b/>
          <w:color w:val="002060"/>
          <w:sz w:val="30"/>
        </w:rPr>
        <w:t>2. SUMÁRIO EXECUTIVO</w:t>
      </w:r>
    </w:p>
    <w:p>
      <w:pPr>
        <w:spacing w:after="120" w:line="276" w:lineRule="auto"/>
      </w:pPr>
      <w:r>
        <w:rPr>
          <w:color w:val="262626"/>
          <w:sz w:val="20"/>
        </w:rPr>
        <w:t>A Gestão de Problemas atua diretamente na investigação da causa-raiz subjacente a um ou mais incidentes, prevenindo a sua recorrência e mitigando os impactos operacionais e financeiros no negócio. Enquanto a Gestão de Incidentes foca na restauração rápida da operação (muitas vezes aplicando soluções temporárias), a Gestão de Problemas foca na eliminação definitiva do defeito ou no registro estruturado de uma Solução de Contorno (Workaround) auditável na KEDB.</w:t>
      </w:r>
    </w:p>
    <w:p>
      <w:pPr>
        <w:spacing w:after="120" w:line="276" w:lineRule="auto"/>
      </w:pPr>
      <w:r>
        <w:t>Benefícios estratégicos esperados — hipóteses a validar por meio de baseline e acompanhamento:</w:t>
      </w:r>
    </w:p>
    <w:p>
      <w:pPr>
        <w:pStyle w:val="ListBullet"/>
        <w:spacing w:after="60" w:line="276" w:lineRule="auto"/>
      </w:pPr>
      <w:r>
        <w:t>Redução hipotética de 45% nos incidentes recorrentes: estimativa ilustrativa, não resultado medido; depende de baseline, criticidade, qualidade da análise e execução das ações corretivas.</w:t>
      </w:r>
    </w:p>
    <w:p>
      <w:pPr>
        <w:pStyle w:val="ListBullet"/>
        <w:spacing w:after="60" w:line="276" w:lineRule="auto"/>
      </w:pPr>
      <w:r>
        <w:t>Diminuição hipotética de 60% no MTTR: estimativa ilustrativa a validar com dados históricos; a KEDB pode contribuir, mas não garante isoladamente esse resultado.</w:t>
      </w:r>
    </w:p>
    <w:p>
      <w:pPr>
        <w:pStyle w:val="ListBullet"/>
        <w:spacing w:after="60" w:line="276" w:lineRule="auto"/>
      </w:pPr>
      <w:r>
        <w:rPr>
          <w:b/>
          <w:color w:val="002060"/>
          <w:sz w:val="19"/>
        </w:rPr>
        <w:t xml:space="preserve">Otimização Financeira e Redução de Débito Técnico: </w:t>
      </w:r>
      <w:r>
        <w:rPr>
          <w:color w:val="262626"/>
          <w:sz w:val="19"/>
        </w:rPr>
        <w:t>Justificativa precisa de investimentos em infraestrutura e refatoração de código com base na Análise de Causa Raiz (RCA) e dados quantitativos de impacto.</w:t>
      </w:r>
    </w:p>
    <w:p>
      <w:pPr>
        <w:keepNext/>
        <w:spacing w:before="360" w:after="120"/>
      </w:pPr>
      <w:r>
        <w:rPr>
          <w:b/>
          <w:color w:val="002060"/>
          <w:sz w:val="30"/>
        </w:rPr>
        <w:t>3. OBJETIVOS E RESULTADOS ESPERADOS</w:t>
      </w:r>
    </w:p>
    <w:p>
      <w:pPr>
        <w:spacing w:after="120" w:line="276" w:lineRule="auto"/>
      </w:pPr>
      <w:r>
        <w:t>Este projeto conceitual propõe estruturar o processo de Gestão de Problemas e a KEDB, considerando as metas abaixo como objetivos de referência a validar após diagnóstico e definição de baseline:</w:t>
      </w:r>
    </w:p>
    <w:p>
      <w:pPr>
        <w:pStyle w:val="ListBullet"/>
        <w:spacing w:after="60" w:line="276" w:lineRule="auto"/>
      </w:pPr>
      <w:r>
        <w:rPr>
          <w:b/>
          <w:color w:val="002060"/>
          <w:sz w:val="19"/>
        </w:rPr>
        <w:t xml:space="preserve">Objetivo 1 (Eliminação de Causa Raiz): </w:t>
      </w:r>
      <w:r>
        <w:rPr>
          <w:color w:val="262626"/>
          <w:sz w:val="19"/>
        </w:rPr>
        <w:t>Identificar e solucionar definitivamente as causas fundamentais de incidentes graves (P1) e recorrentes em até 10 dias úteis pós-incidente.</w:t>
      </w:r>
    </w:p>
    <w:p>
      <w:pPr>
        <w:pStyle w:val="ListBullet"/>
        <w:spacing w:after="60" w:line="276" w:lineRule="auto"/>
      </w:pPr>
      <w:r>
        <w:rPr>
          <w:b/>
          <w:color w:val="002060"/>
          <w:sz w:val="19"/>
        </w:rPr>
        <w:t xml:space="preserve">Objetivo 2 (Construção da KEDB Institucional): </w:t>
      </w:r>
      <w:r>
        <w:rPr>
          <w:color w:val="262626"/>
          <w:sz w:val="19"/>
        </w:rPr>
        <w:t>Garantir que 100% dos erros conhecidos e soluções de contorno temporárias estejam documentados na KEDB sob formato padronizado e auditável.</w:t>
      </w:r>
    </w:p>
    <w:p>
      <w:pPr>
        <w:pStyle w:val="ListBullet"/>
        <w:spacing w:after="60" w:line="276" w:lineRule="auto"/>
      </w:pPr>
      <w:r>
        <w:rPr>
          <w:b/>
          <w:color w:val="002060"/>
          <w:sz w:val="19"/>
        </w:rPr>
        <w:t xml:space="preserve">Objetivo 3 (Governança e Mudança): </w:t>
      </w:r>
      <w:r>
        <w:rPr>
          <w:color w:val="262626"/>
          <w:sz w:val="19"/>
        </w:rPr>
        <w:t>Submeter Requisições de Mudança (RFCs) fundamentadas em relatórios RCA de alta qualidade para avaliação pelo Comitê de Mudanças (CAB).</w:t>
      </w:r>
    </w:p>
    <w:p>
      <w:pPr>
        <w:pStyle w:val="ListBullet"/>
        <w:spacing w:after="60" w:line="276" w:lineRule="auto"/>
      </w:pPr>
      <w:r>
        <w:rPr>
          <w:b/>
          <w:color w:val="002060"/>
          <w:sz w:val="19"/>
        </w:rPr>
        <w:t xml:space="preserve">Objetivo 4 (Alinhamento Regulatório e ISO/IEC 20000-1): </w:t>
      </w:r>
      <w:r>
        <w:rPr>
          <w:color w:val="262626"/>
          <w:sz w:val="19"/>
        </w:rPr>
        <w:t>Cumprir integralmente os requisitos das normas ABNT NBR ISO/IEC 20000-1:2020 (Item 8.6.2) e ISO/IEC 27001:2022 (Controles A.8.16 e A.8.8).</w:t>
      </w:r>
    </w:p>
    <w:p>
      <w:pPr>
        <w:keepNext/>
        <w:spacing w:before="360" w:after="120"/>
      </w:pPr>
      <w:r>
        <w:rPr>
          <w:b/>
          <w:color w:val="002060"/>
          <w:sz w:val="30"/>
        </w:rPr>
        <w:t>4. ESCOPO, LIMITES, PREMISSAS E EXCLUSÕES</w:t>
      </w:r>
    </w:p>
    <w:p>
      <w:pPr>
        <w:spacing w:after="120" w:line="276" w:lineRule="auto"/>
      </w:pPr>
      <w:r>
        <w:rPr>
          <w:color w:val="262626"/>
          <w:sz w:val="20"/>
        </w:rPr>
        <w:t>Abrangência do Processo:</w:t>
      </w:r>
    </w:p>
    <w:p>
      <w:pPr>
        <w:pStyle w:val="ListBullet"/>
        <w:spacing w:after="60" w:line="276" w:lineRule="auto"/>
      </w:pPr>
      <w:r>
        <w:rPr>
          <w:b/>
          <w:color w:val="002060"/>
          <w:sz w:val="19"/>
        </w:rPr>
        <w:t xml:space="preserve">Escopo Inclusivo: </w:t>
      </w:r>
      <w:r>
        <w:rPr>
          <w:color w:val="262626"/>
          <w:sz w:val="19"/>
        </w:rPr>
        <w:t>Aplica-se a todos os ativos de informação, sistemas corporativos (ERP, CRM, WMS), plataformas de nuvem (AWS, Azure, GCP), infraestrutura de rede, bancos de dados, microsserviços, middlewares e equipamentos sob gestão interna ou de terceiros.</w:t>
      </w:r>
    </w:p>
    <w:p>
      <w:pPr>
        <w:pStyle w:val="ListBullet"/>
        <w:spacing w:after="60" w:line="276" w:lineRule="auto"/>
      </w:pPr>
      <w:r>
        <w:rPr>
          <w:b/>
          <w:color w:val="002060"/>
          <w:sz w:val="19"/>
        </w:rPr>
        <w:t xml:space="preserve">Limites Operacionais: </w:t>
      </w:r>
      <w:r>
        <w:rPr>
          <w:color w:val="262626"/>
          <w:sz w:val="19"/>
        </w:rPr>
        <w:t>O processo inicia na identificação do problema (via incidente grave P1, análise de tendência de chamados P2/P3 ou alerta monitorado) e encerra com a solução definitiva implantada via GMUD ou registro permanente de erro conhecido tolerado na KEDB.</w:t>
      </w:r>
    </w:p>
    <w:p>
      <w:pPr>
        <w:pStyle w:val="ListBullet"/>
        <w:spacing w:after="60" w:line="276" w:lineRule="auto"/>
      </w:pPr>
      <w:r>
        <w:rPr>
          <w:b/>
          <w:color w:val="002060"/>
          <w:sz w:val="19"/>
        </w:rPr>
        <w:t xml:space="preserve">Exclusões Explícitas: </w:t>
      </w:r>
      <w:r>
        <w:rPr>
          <w:color w:val="262626"/>
          <w:sz w:val="19"/>
        </w:rPr>
        <w:t>A execução técnica da correção do código de software ou substituição física de hardware não pertence ao escopo da Gestão de Problemas (é executada pelos times de Engenharia/DevOps ou Fornecedores), cabendo à Gestão de Problemas a condução do diagnóstico, validação da causa-raiz e submissão da RFC.</w:t>
      </w:r>
    </w:p>
    <w:p>
      <w:pPr>
        <w:keepNext/>
        <w:spacing w:before="360" w:after="120"/>
      </w:pPr>
      <w:r>
        <w:rPr>
          <w:b/>
          <w:color w:val="002060"/>
          <w:sz w:val="30"/>
        </w:rPr>
        <w:t>5. REFERÊNCIAS E REQUISITOS APLICÁVEIS</w:t>
      </w:r>
    </w:p>
    <w:p>
      <w:pPr>
        <w:spacing w:after="120" w:line="276" w:lineRule="auto"/>
      </w:pPr>
      <w:r>
        <w:t>O documento utiliza as seguintes normas e referenciais como referências de trabalho. Confirmar edição, aplicabilidade e correspondência exata de cláusulas/controles antes de uso normativo, contratual ou de auditoria:</w:t>
      </w:r>
    </w:p>
    <w:p>
      <w:pPr>
        <w:pStyle w:val="ListBullet"/>
        <w:spacing w:after="60" w:line="276" w:lineRule="auto"/>
      </w:pPr>
      <w:r>
        <w:rPr>
          <w:b/>
          <w:color w:val="002060"/>
          <w:sz w:val="19"/>
        </w:rPr>
        <w:t xml:space="preserve">ABNT NBR ISO/IEC 20000-1:2020 (Item 8.6.2 - Gestão de Problemas): </w:t>
      </w:r>
      <w:r>
        <w:rPr>
          <w:color w:val="262626"/>
          <w:sz w:val="19"/>
        </w:rPr>
        <w:t>Exige a análise de dados de incidentes para identificar tendências e causas-raiz, determinação de soluções de contorno e registro formal de erros conhecidos.</w:t>
      </w:r>
    </w:p>
    <w:p>
      <w:pPr>
        <w:pStyle w:val="ListBullet"/>
        <w:spacing w:after="60" w:line="276" w:lineRule="auto"/>
      </w:pPr>
      <w:r>
        <w:rPr>
          <w:b/>
          <w:color w:val="002060"/>
          <w:sz w:val="19"/>
        </w:rPr>
        <w:t xml:space="preserve">ITIL v4 (Problem Management Practice): </w:t>
      </w:r>
      <w:r>
        <w:rPr>
          <w:color w:val="262626"/>
          <w:sz w:val="19"/>
        </w:rPr>
        <w:t>Apresenta as três fases do processo: Identificação do Problema, Controle do Problema (análise e Workarounds) e Controle de Erros (KEDB e RFCs).</w:t>
      </w:r>
    </w:p>
    <w:p>
      <w:pPr>
        <w:pStyle w:val="ListBullet"/>
        <w:spacing w:after="60" w:line="276" w:lineRule="auto"/>
      </w:pPr>
      <w:r>
        <w:rPr>
          <w:b/>
          <w:color w:val="002060"/>
          <w:sz w:val="19"/>
        </w:rPr>
        <w:t xml:space="preserve">COBIT 5 (Domínio DSS03 - Manage Problems): </w:t>
      </w:r>
      <w:r>
        <w:rPr>
          <w:color w:val="262626"/>
          <w:sz w:val="19"/>
        </w:rPr>
        <w:t>Define os processos de negócio para identificar e categorizar problemas, investigar causa-raiz, formular soluções e monitorar a resolução.</w:t>
      </w:r>
    </w:p>
    <w:p>
      <w:pPr>
        <w:pStyle w:val="ListBullet"/>
        <w:spacing w:after="60" w:line="276" w:lineRule="auto"/>
      </w:pPr>
      <w:r>
        <w:rPr>
          <w:b/>
          <w:color w:val="002060"/>
          <w:sz w:val="19"/>
        </w:rPr>
        <w:t xml:space="preserve">ABNT NBR ISO/IEC 27001:2022 / ISO/IEC 27002:2022: </w:t>
      </w:r>
      <w:r>
        <w:rPr>
          <w:color w:val="262626"/>
          <w:sz w:val="19"/>
        </w:rPr>
        <w:t>Controle A.8.16 (Monitoramento de Atividades) e A.8.8 (Gestão de Vulnerabilidades Técnicas).</w:t>
      </w:r>
    </w:p>
    <w:p>
      <w:pPr>
        <w:pStyle w:val="ListBullet"/>
        <w:spacing w:after="60" w:line="276" w:lineRule="auto"/>
      </w:pPr>
      <w:r>
        <w:rPr>
          <w:b/>
          <w:color w:val="002060"/>
          <w:sz w:val="19"/>
        </w:rPr>
        <w:t xml:space="preserve">SOX (Sarbanes-Oxley Act - ITGCs): </w:t>
      </w:r>
      <w:r>
        <w:rPr>
          <w:color w:val="262626"/>
          <w:sz w:val="19"/>
        </w:rPr>
        <w:t>Controles internos de TI exigindo rastreabilidade entre falhas de sistemas financeiros e correções autorizadas.</w:t>
      </w:r>
    </w:p>
    <w:p>
      <w:pPr>
        <w:keepNext/>
        <w:spacing w:before="360" w:after="120"/>
      </w:pPr>
      <w:r>
        <w:rPr>
          <w:b/>
          <w:color w:val="002060"/>
          <w:sz w:val="30"/>
        </w:rPr>
        <w:t>6. FUNDAMENTOS E TERMINOLOGIA</w:t>
      </w:r>
    </w:p>
    <w:p>
      <w:pPr>
        <w:spacing w:after="120" w:line="276" w:lineRule="auto"/>
      </w:pPr>
      <w:r>
        <w:rPr>
          <w:color w:val="262626"/>
          <w:sz w:val="20"/>
        </w:rPr>
        <w:t>Para assegurar a perfeita execução do processo por especialistas e analistas, estabelecem-se as seguintes definições conceituais indispensáveis:</w:t>
      </w:r>
    </w:p>
    <w:p>
      <w:pPr>
        <w:pStyle w:val="ListBullet"/>
        <w:spacing w:after="60" w:line="276" w:lineRule="auto"/>
      </w:pPr>
      <w:r>
        <w:rPr>
          <w:b/>
          <w:color w:val="002060"/>
          <w:sz w:val="19"/>
        </w:rPr>
        <w:t xml:space="preserve">Incidente: </w:t>
      </w:r>
      <w:r>
        <w:rPr>
          <w:color w:val="262626"/>
          <w:sz w:val="19"/>
        </w:rPr>
        <w:t>Causa não planejada de interrupção ou redução da qualidade de um serviço de TI (Foco: Restauração rápida da operação).</w:t>
      </w:r>
    </w:p>
    <w:p>
      <w:pPr>
        <w:pStyle w:val="ListBullet"/>
        <w:spacing w:after="60" w:line="276" w:lineRule="auto"/>
      </w:pPr>
      <w:r>
        <w:rPr>
          <w:b/>
          <w:color w:val="002060"/>
          <w:sz w:val="19"/>
        </w:rPr>
        <w:t xml:space="preserve">Problema (Problem): </w:t>
      </w:r>
      <w:r>
        <w:rPr>
          <w:color w:val="262626"/>
          <w:sz w:val="19"/>
        </w:rPr>
        <w:t>A causa desconhecida ou subjacente a um ou mais incidentes existentes ou potenciais (Foco: Investigação da causa fundamental).</w:t>
      </w:r>
    </w:p>
    <w:p>
      <w:pPr>
        <w:pStyle w:val="ListBullet"/>
        <w:spacing w:after="60" w:line="276" w:lineRule="auto"/>
      </w:pPr>
      <w:r>
        <w:rPr>
          <w:b/>
          <w:color w:val="002060"/>
          <w:sz w:val="19"/>
        </w:rPr>
        <w:t xml:space="preserve">Erro Conhecido (Known Error): </w:t>
      </w:r>
      <w:r>
        <w:rPr>
          <w:color w:val="262626"/>
          <w:sz w:val="19"/>
        </w:rPr>
        <w:t>Um problema cuja causa-raiz e impacto foram diagnosticados com precisão e para o qual já existe uma Solução de Contorno (Workaround) ou Solução Definitiva mapeada.</w:t>
      </w:r>
    </w:p>
    <w:p>
      <w:pPr>
        <w:pStyle w:val="ListBullet"/>
        <w:spacing w:after="60" w:line="276" w:lineRule="auto"/>
      </w:pPr>
      <w:r>
        <w:rPr>
          <w:b/>
          <w:color w:val="002060"/>
          <w:sz w:val="19"/>
        </w:rPr>
        <w:t xml:space="preserve">Base de Erros Conhecidos (KEDB - Known Error Database): </w:t>
      </w:r>
      <w:r>
        <w:rPr>
          <w:color w:val="262626"/>
          <w:sz w:val="19"/>
        </w:rPr>
        <w:t>Repositório estruturado contendo o histórico de problemas investigados, sintomas, causas-raiz, procedimentos de Workaround e soluções definitivas para consulta técnica rápida pelo Service Desk e times de sustentação.</w:t>
      </w:r>
    </w:p>
    <w:p>
      <w:pPr>
        <w:pStyle w:val="ListBullet"/>
        <w:spacing w:after="60" w:line="276" w:lineRule="auto"/>
      </w:pPr>
      <w:r>
        <w:rPr>
          <w:b/>
          <w:color w:val="002060"/>
          <w:sz w:val="19"/>
        </w:rPr>
        <w:t xml:space="preserve">Solução de Contorno (Workaround): </w:t>
      </w:r>
      <w:r>
        <w:rPr>
          <w:color w:val="262626"/>
          <w:sz w:val="19"/>
        </w:rPr>
        <w:t>Solução temporária que reduz ou elimina o impacto de um problema/incidente enquanto a solução definitiva está sendo desenvolvida e testada.</w:t>
      </w:r>
    </w:p>
    <w:p>
      <w:pPr>
        <w:pStyle w:val="ListBullet"/>
        <w:spacing w:after="60" w:line="276" w:lineRule="auto"/>
      </w:pPr>
      <w:r>
        <w:rPr>
          <w:b/>
          <w:color w:val="002060"/>
          <w:sz w:val="19"/>
        </w:rPr>
        <w:t xml:space="preserve">Análise de Causa Raiz (RCA - Root Cause Analysis): </w:t>
      </w:r>
      <w:r>
        <w:rPr>
          <w:color w:val="262626"/>
          <w:sz w:val="19"/>
        </w:rPr>
        <w:t>Metodologia investigativa estruturada (ex.: 5 Porquês, Diagrama de Ishikawa, FMEA) para identificar o fator primário cuja eliminação impede a repetição da falha.</w:t>
      </w:r>
    </w:p>
    <w:p>
      <w:pPr>
        <w:keepNext/>
        <w:spacing w:before="360" w:after="120"/>
      </w:pPr>
      <w:r>
        <w:rPr>
          <w:b/>
          <w:color w:val="002060"/>
          <w:sz w:val="30"/>
        </w:rPr>
        <w:t>7. DIAGNÓSTICO DA SITUAÇÃO ATUAL</w:t>
      </w:r>
    </w:p>
    <w:p>
      <w:pPr>
        <w:spacing w:after="120" w:line="276" w:lineRule="auto"/>
      </w:pPr>
      <w:r>
        <w:rPr>
          <w:color w:val="262626"/>
          <w:sz w:val="20"/>
        </w:rPr>
        <w:t>Em organizações sem a maturidade do processo de Gestão de Problemas, observam-se os seguintes sintomas operacionais de dor:</w:t>
      </w:r>
    </w:p>
    <w:p>
      <w:pPr>
        <w:pStyle w:val="ListBullet"/>
        <w:spacing w:after="60" w:line="276" w:lineRule="auto"/>
      </w:pPr>
      <w:r>
        <w:rPr>
          <w:b/>
          <w:color w:val="002060"/>
          <w:sz w:val="19"/>
        </w:rPr>
        <w:t xml:space="preserve">Efeito 'Apaga-Incêndio' Recorrente: </w:t>
      </w:r>
      <w:r>
        <w:rPr>
          <w:color w:val="262626"/>
          <w:sz w:val="19"/>
        </w:rPr>
        <w:t>Chamados do mesmo tipo reabrem repetidamente sem que a causa primária seja investigada.</w:t>
      </w:r>
    </w:p>
    <w:p>
      <w:pPr>
        <w:pStyle w:val="ListBullet"/>
        <w:spacing w:after="60" w:line="276" w:lineRule="auto"/>
      </w:pPr>
      <w:r>
        <w:rPr>
          <w:b/>
          <w:color w:val="002060"/>
          <w:sz w:val="19"/>
        </w:rPr>
        <w:t xml:space="preserve">Perda de Conhecimento Técnico: </w:t>
      </w:r>
      <w:r>
        <w:rPr>
          <w:color w:val="262626"/>
          <w:sz w:val="19"/>
        </w:rPr>
        <w:t>Diagnósticos de falhas complexas ficam restritos à cabeça de especialistas seniores, sem documentação centralizada.</w:t>
      </w:r>
    </w:p>
    <w:p>
      <w:pPr>
        <w:pStyle w:val="ListBullet"/>
        <w:spacing w:after="60" w:line="276" w:lineRule="auto"/>
      </w:pPr>
      <w:r>
        <w:rPr>
          <w:b/>
          <w:color w:val="002060"/>
          <w:sz w:val="19"/>
        </w:rPr>
        <w:t xml:space="preserve">Acúmulo de Débito Técnico: </w:t>
      </w:r>
      <w:r>
        <w:rPr>
          <w:color w:val="262626"/>
          <w:sz w:val="19"/>
        </w:rPr>
        <w:t>Gambiarras e soluções temporárias informais perpetuam-se no ambiente produtivo, gerando instabilidade sistêmica.</w:t>
      </w:r>
    </w:p>
    <w:p>
      <w:pPr>
        <w:pStyle w:val="ListBullet"/>
        <w:spacing w:after="60" w:line="276" w:lineRule="auto"/>
      </w:pPr>
      <w:r>
        <w:rPr>
          <w:b/>
          <w:color w:val="002060"/>
          <w:sz w:val="19"/>
        </w:rPr>
        <w:t xml:space="preserve">Aumento Indevido de Custos de Atendimento: </w:t>
      </w:r>
      <w:r>
        <w:rPr>
          <w:color w:val="262626"/>
          <w:sz w:val="19"/>
        </w:rPr>
        <w:t>O Service Desk gasta tempo reaprendendo como contornar falhas conhecidas devido à ausência de uma KEDB estruturada.</w:t>
      </w:r>
    </w:p>
    <w:p>
      <w:pPr>
        <w:keepNext/>
        <w:spacing w:before="360" w:after="120"/>
      </w:pPr>
      <w:r>
        <w:rPr>
          <w:b/>
          <w:color w:val="002060"/>
          <w:sz w:val="30"/>
        </w:rPr>
        <w:t>8. REQUISITOS E MODELO OPERACIONAL DESEJADO</w:t>
      </w:r>
    </w:p>
    <w:p>
      <w:pPr>
        <w:spacing w:after="120" w:line="276" w:lineRule="auto"/>
      </w:pPr>
      <w:r>
        <w:rPr>
          <w:color w:val="262626"/>
          <w:sz w:val="20"/>
        </w:rPr>
        <w:t>O modelo operacional da Gestão de Problemas atuará em duas frentes complementares:</w:t>
      </w:r>
    </w:p>
    <w:p>
      <w:pPr>
        <w:pStyle w:val="ListBullet"/>
        <w:spacing w:after="60" w:line="276" w:lineRule="auto"/>
      </w:pPr>
      <w:r>
        <w:rPr>
          <w:b/>
          <w:color w:val="002060"/>
          <w:sz w:val="19"/>
        </w:rPr>
        <w:t xml:space="preserve">1. Gestão Reativa de Problemas: </w:t>
      </w:r>
      <w:r>
        <w:rPr>
          <w:color w:val="262626"/>
          <w:sz w:val="19"/>
        </w:rPr>
        <w:t>Gatilho acionado por Incidentes Graves (P1), incidentes recorrentes (3+ ocorrências no mesmo CI em 30 dias) ou incidentes sem causa identificável na restauração.</w:t>
      </w:r>
    </w:p>
    <w:p>
      <w:pPr>
        <w:pStyle w:val="ListBullet"/>
        <w:spacing w:after="60" w:line="276" w:lineRule="auto"/>
      </w:pPr>
      <w:r>
        <w:rPr>
          <w:b/>
          <w:color w:val="002060"/>
          <w:sz w:val="19"/>
        </w:rPr>
        <w:t xml:space="preserve">2. Gestão Proativa de Problemas: </w:t>
      </w:r>
      <w:r>
        <w:rPr>
          <w:color w:val="262626"/>
          <w:sz w:val="19"/>
        </w:rPr>
        <w:t>Análise contínua de tendências de chamados (métricas ITSM), logs de infraestrutura/APM, relatórios de auditoria e alertas do SOC/SIEM para identificar vulnerabilidades antes que causem incidentes.</w:t>
      </w:r>
    </w:p>
    <w:p>
      <w:pPr>
        <w:keepNext/>
        <w:spacing w:before="360" w:after="120"/>
      </w:pPr>
      <w:r>
        <w:rPr>
          <w:b/>
          <w:color w:val="002060"/>
          <w:sz w:val="30"/>
        </w:rPr>
        <w:t>9. PAPÉIS, RESPONSABILIDADES E MATRIZ RACI</w:t>
      </w:r>
    </w:p>
    <w:p>
      <w:pPr>
        <w:spacing w:after="120" w:line="276" w:lineRule="auto"/>
      </w:pPr>
      <w:r>
        <w:rPr>
          <w:color w:val="262626"/>
          <w:sz w:val="20"/>
        </w:rPr>
        <w:t>Definição clara das responsabilidades para assegurar a governança e a fluidez das investigações técnicas: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3168"/>
            <w:shd w:val="clear" w:color="auto" w:fill="002060"/>
            <w:tcMar>
              <w:top w:w="80" w:type="dxa"/>
              <w:bottom w:w="80" w:type="dxa"/>
              <w:left w:w="60" w:type="dxa"/>
              <w:right w:w="60" w:type="dxa"/>
            </w:tcMar>
          </w:tcPr>
          <w:p>
            <w:pPr>
              <w:jc w:val="center"/>
            </w:pPr>
            <w:r>
              <w:rPr>
                <w:b/>
                <w:color w:val="FFFFFF"/>
                <w:sz w:val="16"/>
              </w:rPr>
              <w:t>Atividade do Processo</w:t>
            </w:r>
          </w:p>
        </w:tc>
        <w:tc>
          <w:tcPr>
            <w:tcW w:type="dxa" w:w="1008"/>
            <w:shd w:val="clear" w:color="auto" w:fill="002060"/>
            <w:tcMar>
              <w:top w:w="80" w:type="dxa"/>
              <w:bottom w:w="80" w:type="dxa"/>
              <w:left w:w="60" w:type="dxa"/>
              <w:right w:w="60" w:type="dxa"/>
            </w:tcMar>
          </w:tcPr>
          <w:p>
            <w:pPr>
              <w:jc w:val="center"/>
            </w:pPr>
            <w:r>
              <w:rPr>
                <w:b/>
                <w:color w:val="FFFFFF"/>
                <w:sz w:val="16"/>
              </w:rPr>
              <w:t>Gestor de Problemas</w:t>
            </w:r>
          </w:p>
        </w:tc>
        <w:tc>
          <w:tcPr>
            <w:tcW w:type="dxa" w:w="1008"/>
            <w:shd w:val="clear" w:color="auto" w:fill="002060"/>
            <w:tcMar>
              <w:top w:w="80" w:type="dxa"/>
              <w:bottom w:w="80" w:type="dxa"/>
              <w:left w:w="60" w:type="dxa"/>
              <w:right w:w="60" w:type="dxa"/>
            </w:tcMar>
          </w:tcPr>
          <w:p>
            <w:pPr>
              <w:jc w:val="center"/>
            </w:pPr>
            <w:r>
              <w:rPr>
                <w:b/>
                <w:color w:val="FFFFFF"/>
                <w:sz w:val="16"/>
              </w:rPr>
              <w:t>Analista RCA / N3</w:t>
            </w:r>
          </w:p>
        </w:tc>
        <w:tc>
          <w:tcPr>
            <w:tcW w:type="dxa" w:w="1008"/>
            <w:shd w:val="clear" w:color="auto" w:fill="002060"/>
            <w:tcMar>
              <w:top w:w="80" w:type="dxa"/>
              <w:bottom w:w="80" w:type="dxa"/>
              <w:left w:w="60" w:type="dxa"/>
              <w:right w:w="60" w:type="dxa"/>
            </w:tcMar>
          </w:tcPr>
          <w:p>
            <w:pPr>
              <w:jc w:val="center"/>
            </w:pPr>
            <w:r>
              <w:rPr>
                <w:b/>
                <w:color w:val="FFFFFF"/>
                <w:sz w:val="16"/>
              </w:rPr>
              <w:t>Service Desk N1</w:t>
            </w:r>
          </w:p>
        </w:tc>
        <w:tc>
          <w:tcPr>
            <w:tcW w:type="dxa" w:w="1008"/>
            <w:shd w:val="clear" w:color="auto" w:fill="002060"/>
            <w:tcMar>
              <w:top w:w="80" w:type="dxa"/>
              <w:bottom w:w="80" w:type="dxa"/>
              <w:left w:w="60" w:type="dxa"/>
              <w:right w:w="60" w:type="dxa"/>
            </w:tcMar>
          </w:tcPr>
          <w:p>
            <w:pPr>
              <w:jc w:val="center"/>
            </w:pPr>
            <w:r>
              <w:rPr>
                <w:b/>
                <w:color w:val="FFFFFF"/>
                <w:sz w:val="16"/>
              </w:rPr>
              <w:t>Líder de Sistemas/Infra</w:t>
            </w:r>
          </w:p>
        </w:tc>
        <w:tc>
          <w:tcPr>
            <w:tcW w:type="dxa" w:w="1152"/>
            <w:shd w:val="clear" w:color="auto" w:fill="002060"/>
            <w:tcMar>
              <w:top w:w="80" w:type="dxa"/>
              <w:bottom w:w="80" w:type="dxa"/>
              <w:left w:w="60" w:type="dxa"/>
              <w:right w:w="60" w:type="dxa"/>
            </w:tcMar>
          </w:tcPr>
          <w:p>
            <w:pPr>
              <w:jc w:val="center"/>
            </w:pPr>
            <w:r>
              <w:rPr>
                <w:b/>
                <w:color w:val="FFFFFF"/>
                <w:sz w:val="16"/>
              </w:rPr>
              <w:t>Comitê de Mudanças (CAB)</w:t>
            </w:r>
          </w:p>
        </w:tc>
        <w:tc>
          <w:tcPr>
            <w:tcW w:type="dxa" w:w="1008"/>
            <w:shd w:val="clear" w:color="auto" w:fill="002060"/>
            <w:tcMar>
              <w:top w:w="80" w:type="dxa"/>
              <w:bottom w:w="80" w:type="dxa"/>
              <w:left w:w="60" w:type="dxa"/>
              <w:right w:w="60" w:type="dxa"/>
            </w:tcMar>
          </w:tcPr>
          <w:p>
            <w:pPr>
              <w:jc w:val="center"/>
            </w:pPr>
            <w:r>
              <w:rPr>
                <w:b/>
                <w:color w:val="FFFFFF"/>
                <w:sz w:val="16"/>
              </w:rPr>
              <w:t>CISO / Segurança</w:t>
            </w: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rPr>
          <w:cantSplit/>
        </w:trPr>
        <w:tc>
          <w:tcPr>
            <w:tcW w:type="dxa" w:w="3168"/>
            <w:tcMar>
              <w:top w:w="60" w:type="dxa"/>
              <w:bottom w:w="60" w:type="dxa"/>
              <w:left w:w="60" w:type="dxa"/>
              <w:right w:w="60" w:type="dxa"/>
            </w:tcMar>
          </w:tcPr>
          <w:p>
            <w:r>
              <w:rPr>
                <w:color w:val="262626"/>
                <w:sz w:val="16"/>
              </w:rPr>
              <w:t>Identificação e Abertura do Problema</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C</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r>
      <w:tr>
        <w:trPr>
          <w:cantSplit/>
        </w:trPr>
        <w:tc>
          <w:tcPr>
            <w:tcW w:type="dxa" w:w="3168"/>
            <w:tcMar>
              <w:top w:w="60" w:type="dxa"/>
              <w:bottom w:w="60" w:type="dxa"/>
              <w:left w:w="60" w:type="dxa"/>
              <w:right w:w="60" w:type="dxa"/>
            </w:tcMar>
          </w:tcPr>
          <w:p>
            <w:r>
              <w:rPr>
                <w:color w:val="262626"/>
                <w:sz w:val="16"/>
              </w:rPr>
              <w:t>Análise Proativa de Tendências</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r>
      <w:tr>
        <w:trPr>
          <w:cantSplit/>
        </w:trPr>
        <w:tc>
          <w:tcPr>
            <w:tcW w:type="dxa" w:w="3168"/>
            <w:tcMar>
              <w:top w:w="60" w:type="dxa"/>
              <w:bottom w:w="60" w:type="dxa"/>
              <w:left w:w="60" w:type="dxa"/>
              <w:right w:w="60" w:type="dxa"/>
            </w:tcMar>
          </w:tcPr>
          <w:p>
            <w:r>
              <w:rPr>
                <w:color w:val="262626"/>
                <w:sz w:val="16"/>
              </w:rPr>
              <w:t>Investigação de Causa Raiz (RCA)</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r>
      <w:tr>
        <w:trPr>
          <w:cantSplit/>
        </w:trPr>
        <w:tc>
          <w:tcPr>
            <w:tcW w:type="dxa" w:w="3168"/>
            <w:tcMar>
              <w:top w:w="60" w:type="dxa"/>
              <w:bottom w:w="60" w:type="dxa"/>
              <w:left w:w="60" w:type="dxa"/>
              <w:right w:w="60" w:type="dxa"/>
            </w:tcMar>
          </w:tcPr>
          <w:p>
            <w:r>
              <w:rPr>
                <w:color w:val="262626"/>
                <w:sz w:val="16"/>
              </w:rPr>
              <w:t>Criação e Homologação de Workaround</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C</w:t>
            </w:r>
          </w:p>
        </w:tc>
        <w:tc>
          <w:tcPr>
            <w:tcW w:type="dxa" w:w="1008"/>
            <w:tcMar>
              <w:top w:w="60" w:type="dxa"/>
              <w:bottom w:w="60" w:type="dxa"/>
              <w:left w:w="60" w:type="dxa"/>
              <w:right w:w="60" w:type="dxa"/>
            </w:tcMar>
          </w:tcPr>
          <w:p>
            <w:pPr>
              <w:jc w:val="center"/>
            </w:pPr>
            <w:r>
              <w:rPr>
                <w:sz w:val="16"/>
              </w:rPr>
              <w:t>C</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r>
      <w:tr>
        <w:trPr>
          <w:cantSplit/>
        </w:trPr>
        <w:tc>
          <w:tcPr>
            <w:tcW w:type="dxa" w:w="3168"/>
            <w:tcMar>
              <w:top w:w="60" w:type="dxa"/>
              <w:bottom w:w="60" w:type="dxa"/>
              <w:left w:w="60" w:type="dxa"/>
              <w:right w:w="60" w:type="dxa"/>
            </w:tcMar>
          </w:tcPr>
          <w:p>
            <w:r>
              <w:rPr>
                <w:color w:val="262626"/>
                <w:sz w:val="16"/>
              </w:rPr>
              <w:t>Publicação do Erro Conhecido na KEDB</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I</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I</w:t>
            </w:r>
          </w:p>
        </w:tc>
      </w:tr>
      <w:tr>
        <w:trPr>
          <w:cantSplit/>
        </w:trPr>
        <w:tc>
          <w:tcPr>
            <w:tcW w:type="dxa" w:w="3168"/>
            <w:tcMar>
              <w:top w:w="60" w:type="dxa"/>
              <w:bottom w:w="60" w:type="dxa"/>
              <w:left w:w="60" w:type="dxa"/>
              <w:right w:w="60" w:type="dxa"/>
            </w:tcMar>
          </w:tcPr>
          <w:p>
            <w:r>
              <w:rPr>
                <w:color w:val="262626"/>
                <w:sz w:val="16"/>
              </w:rPr>
              <w:t>Submissão de RFC para Solução Definitiva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C</w:t>
            </w:r>
          </w:p>
        </w:tc>
        <w:tc>
          <w:tcPr>
            <w:tcW w:type="dxa" w:w="1008"/>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152"/>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tcPr>
          <w:p>
            <w:pPr>
              <w:jc w:val="center"/>
            </w:pPr>
            <w:r>
              <w:rPr>
                <w:sz w:val="16"/>
              </w:rPr>
              <w:t>C</w:t>
            </w:r>
          </w:p>
        </w:tc>
      </w:tr>
      <w:tr>
        <w:trPr>
          <w:cantSplit/>
        </w:trPr>
        <w:tc>
          <w:tcPr>
            <w:tcW w:type="dxa" w:w="3168"/>
            <w:tcMar>
              <w:top w:w="60" w:type="dxa"/>
              <w:bottom w:w="60" w:type="dxa"/>
              <w:left w:w="60" w:type="dxa"/>
              <w:right w:w="60" w:type="dxa"/>
            </w:tcMar>
          </w:tcPr>
          <w:p>
            <w:r>
              <w:rPr>
                <w:color w:val="262626"/>
                <w:sz w:val="16"/>
              </w:rPr>
              <w:t>Revisão Pós-Problema (PIR) e Encerramento</w:t>
            </w:r>
          </w:p>
        </w:tc>
        <w:tc>
          <w:tcPr>
            <w:tcW w:type="dxa" w:w="1008"/>
            <w:tcMar>
              <w:top w:w="60" w:type="dxa"/>
              <w:bottom w:w="60" w:type="dxa"/>
              <w:left w:w="60" w:type="dxa"/>
              <w:right w:w="60" w:type="dxa"/>
            </w:tcMar>
            <w:shd w:val="clear" w:color="auto" w:fill="FFEBEE"/>
          </w:tcPr>
          <w:p>
            <w:pPr>
              <w:jc w:val="center"/>
            </w:pPr>
            <w:r>
              <w:rPr>
                <w:b/>
                <w:sz w:val="16"/>
              </w:rPr>
              <w:t>A</w:t>
            </w:r>
          </w:p>
        </w:tc>
        <w:tc>
          <w:tcPr>
            <w:tcW w:type="dxa" w:w="1008"/>
            <w:tcMar>
              <w:top w:w="60" w:type="dxa"/>
              <w:bottom w:w="60" w:type="dxa"/>
              <w:left w:w="60" w:type="dxa"/>
              <w:right w:w="60" w:type="dxa"/>
            </w:tcMar>
            <w:shd w:val="clear" w:color="auto" w:fill="E8F5E9"/>
          </w:tcPr>
          <w:p>
            <w:pPr>
              <w:jc w:val="center"/>
            </w:pPr>
            <w:r>
              <w:rPr>
                <w:b/>
                <w:sz w:val="16"/>
              </w:rPr>
              <w:t>R</w:t>
            </w:r>
          </w:p>
        </w:tc>
        <w:tc>
          <w:tcPr>
            <w:tcW w:type="dxa" w:w="1008"/>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C</w:t>
            </w:r>
          </w:p>
        </w:tc>
        <w:tc>
          <w:tcPr>
            <w:tcW w:type="dxa" w:w="1152"/>
            <w:tcMar>
              <w:top w:w="60" w:type="dxa"/>
              <w:bottom w:w="60" w:type="dxa"/>
              <w:left w:w="60" w:type="dxa"/>
              <w:right w:w="60" w:type="dxa"/>
            </w:tcMar>
          </w:tcPr>
          <w:p>
            <w:pPr>
              <w:jc w:val="center"/>
            </w:pPr>
            <w:r>
              <w:rPr>
                <w:sz w:val="16"/>
              </w:rPr>
              <w:t>I</w:t>
            </w:r>
          </w:p>
        </w:tc>
        <w:tc>
          <w:tcPr>
            <w:tcW w:type="dxa" w:w="1008"/>
            <w:tcMar>
              <w:top w:w="60" w:type="dxa"/>
              <w:bottom w:w="60" w:type="dxa"/>
              <w:left w:w="60" w:type="dxa"/>
              <w:right w:w="60" w:type="dxa"/>
            </w:tcMar>
          </w:tcPr>
          <w:p>
            <w:pPr>
              <w:jc w:val="center"/>
            </w:pPr>
            <w:r>
              <w:rPr>
                <w:sz w:val="16"/>
              </w:rPr>
              <w:t>I</w:t>
            </w:r>
          </w:p>
        </w:tc>
      </w:tr>
    </w:tbl>
    <w:p>
      <w:pPr>
        <w:spacing w:after="120" w:line="276" w:lineRule="auto"/>
      </w:pPr>
      <w:r>
        <w:rPr>
          <w:color w:val="262626"/>
          <w:sz w:val="20"/>
        </w:rPr>
        <w:t>Legenda RACI: R = Responsible (Executa); A = Accountable (Aprova/Responde); C = Consulted (Consultado); I = Informed (Informado).</w:t>
      </w:r>
    </w:p>
    <w:p>
      <w:pPr>
        <w:keepNext/>
        <w:spacing w:before="360" w:after="120"/>
      </w:pPr>
      <w:r>
        <w:rPr>
          <w:b/>
          <w:color w:val="002060"/>
          <w:sz w:val="30"/>
        </w:rPr>
        <w:t>10. FLUXO DETALHADO DO PROCESSO</w:t>
      </w:r>
    </w:p>
    <w:p>
      <w:pPr>
        <w:spacing w:after="120" w:line="276" w:lineRule="auto"/>
      </w:pPr>
      <w:r>
        <w:rPr>
          <w:color w:val="262626"/>
          <w:sz w:val="20"/>
        </w:rPr>
        <w:t>O fluxo do processo de Gestão de Problemas e KEDB compreende 6 etapas sequenciais e integradas:</w:t>
      </w:r>
    </w:p>
    <w:p>
      <w:pPr>
        <w:pStyle w:val="ListBullet"/>
        <w:spacing w:after="60" w:line="276" w:lineRule="auto"/>
      </w:pPr>
      <w:r>
        <w:rPr>
          <w:b/>
          <w:color w:val="002060"/>
          <w:sz w:val="19"/>
        </w:rPr>
        <w:t xml:space="preserve">Etapa 1 — Detecção e Registro: </w:t>
      </w:r>
      <w:r>
        <w:rPr>
          <w:color w:val="262626"/>
          <w:sz w:val="19"/>
        </w:rPr>
        <w:t>Entrada do problema via Incidente Grave (P1), reincidência de P2/P3 ou análise proativa de tendências. Registro do registro 'PRB' no ITSM vinculado ao CI.</w:t>
      </w:r>
    </w:p>
    <w:p>
      <w:pPr>
        <w:pStyle w:val="ListBullet"/>
        <w:spacing w:after="60" w:line="276" w:lineRule="auto"/>
      </w:pPr>
      <w:r>
        <w:rPr>
          <w:b/>
          <w:color w:val="002060"/>
          <w:sz w:val="19"/>
        </w:rPr>
        <w:t xml:space="preserve">Etapa 2 — Categorização e Priorização: </w:t>
      </w:r>
      <w:r>
        <w:rPr>
          <w:color w:val="262626"/>
          <w:sz w:val="19"/>
        </w:rPr>
        <w:t>Classificação por impacto no negócio e probabilidade de nova ocorrência. Definição do prazo para conclusão da RCA.</w:t>
      </w:r>
    </w:p>
    <w:p>
      <w:pPr>
        <w:pStyle w:val="ListBullet"/>
        <w:spacing w:after="60" w:line="276" w:lineRule="auto"/>
      </w:pPr>
      <w:r>
        <w:rPr>
          <w:b/>
          <w:color w:val="002060"/>
          <w:sz w:val="19"/>
        </w:rPr>
        <w:t xml:space="preserve">Etapa 3 — Investigação e Análise de Causa Raiz (RCA): </w:t>
      </w:r>
      <w:r>
        <w:rPr>
          <w:color w:val="262626"/>
          <w:sz w:val="19"/>
        </w:rPr>
        <w:t>Aplicação de técnicas de investigação (5 Porquês / Ishikawa) pelos especialistas N3 para mapear a causa fundamental.</w:t>
      </w:r>
    </w:p>
    <w:p>
      <w:pPr>
        <w:pStyle w:val="ListBullet"/>
        <w:spacing w:after="60" w:line="276" w:lineRule="auto"/>
      </w:pPr>
      <w:r>
        <w:rPr>
          <w:b/>
          <w:color w:val="002060"/>
          <w:sz w:val="19"/>
        </w:rPr>
        <w:t xml:space="preserve">Etapa 4 — Gestão de Workaround e Publicação na KEDB: </w:t>
      </w:r>
      <w:r>
        <w:rPr>
          <w:color w:val="262626"/>
          <w:sz w:val="19"/>
        </w:rPr>
        <w:t>Elaboração de procedimento paliativo testado e criação do Artigo de Conhecimento na KEDB no formato padronizado 'Sintoma-Causa-Contorno'.</w:t>
      </w:r>
    </w:p>
    <w:p>
      <w:pPr>
        <w:pStyle w:val="ListBullet"/>
        <w:spacing w:after="60" w:line="276" w:lineRule="auto"/>
      </w:pPr>
      <w:r>
        <w:rPr>
          <w:b/>
          <w:color w:val="002060"/>
          <w:sz w:val="19"/>
        </w:rPr>
        <w:t xml:space="preserve">Etapa 5 — Resolução Definitiva via GMUD: </w:t>
      </w:r>
      <w:r>
        <w:rPr>
          <w:color w:val="262626"/>
          <w:sz w:val="19"/>
        </w:rPr>
        <w:t>Geração de Solicitação de Mudança (RFC) para alteração de código, patch ou troca de infraestrutura e acompanhamento junto ao CAB.</w:t>
      </w:r>
    </w:p>
    <w:p>
      <w:pPr>
        <w:pStyle w:val="ListBullet"/>
        <w:spacing w:after="60" w:line="276" w:lineRule="auto"/>
      </w:pPr>
      <w:r>
        <w:rPr>
          <w:b/>
          <w:color w:val="002060"/>
          <w:sz w:val="19"/>
        </w:rPr>
        <w:t xml:space="preserve">Etapa 6 — Revisão Pós-Problema (PIR) e Fechamento: </w:t>
      </w:r>
      <w:r>
        <w:rPr>
          <w:color w:val="262626"/>
          <w:sz w:val="19"/>
        </w:rPr>
        <w:t>Confirmação de que a causa foi eliminada em produção, comunicação aos stakeholders e encerramento do ticket PRB.</w:t>
      </w:r>
    </w:p>
    <w:p>
      <w:pPr>
        <w:keepNext/>
        <w:spacing w:before="360" w:after="120"/>
      </w:pPr>
      <w:r>
        <w:rPr>
          <w:b/>
          <w:color w:val="002060"/>
          <w:sz w:val="30"/>
        </w:rPr>
        <w:t>11. PROCEDIMENTOS OPERACIONAIS PASSO A PASSO (POPs DETALHADOS)</w:t>
      </w:r>
    </w:p>
    <w:p>
      <w:pPr>
        <w:spacing w:after="120" w:line="276" w:lineRule="auto"/>
      </w:pPr>
      <w:r>
        <w:rPr>
          <w:color w:val="262626"/>
          <w:sz w:val="20"/>
        </w:rPr>
        <w:t>Abaixo apresentam-se os 5 Procedimentos Operacionais Padrão (POPs), desenvolvidos no rigoroso padrão de 20 itens explicativos para garantir a execução autônoma pelo time técnico.</w:t>
      </w:r>
    </w:p>
    <w:p>
      <w:pPr>
        <w:keepNext/>
        <w:spacing w:before="240" w:after="80"/>
      </w:pPr>
      <w:r>
        <w:rPr>
          <w:b/>
          <w:color w:val="4A607A"/>
          <w:sz w:val="25"/>
        </w:rPr>
        <w:t>POP-PRB-001 — Identificação, Registro e Categorização de Problemas</w:t>
      </w:r>
    </w:p>
    <w:p>
      <w:pPr>
        <w:pStyle w:val="ListBullet"/>
        <w:spacing w:after="60" w:line="276" w:lineRule="auto"/>
      </w:pPr>
      <w:r>
        <w:rPr>
          <w:b/>
          <w:color w:val="002060"/>
          <w:sz w:val="19"/>
        </w:rPr>
        <w:t xml:space="preserve">1. Identificador &amp; Nome: </w:t>
      </w:r>
      <w:r>
        <w:rPr>
          <w:color w:val="262626"/>
          <w:sz w:val="19"/>
        </w:rPr>
        <w:t>POP-PRB-001 — Identificação, Registro e Categorização de Problemas</w:t>
      </w:r>
    </w:p>
    <w:p>
      <w:pPr>
        <w:pStyle w:val="ListBullet"/>
        <w:spacing w:after="60" w:line="276" w:lineRule="auto"/>
      </w:pPr>
      <w:r>
        <w:rPr>
          <w:b/>
          <w:color w:val="002060"/>
          <w:sz w:val="19"/>
        </w:rPr>
        <w:t xml:space="preserve">2. Objetivo do Procedimento: </w:t>
      </w:r>
      <w:r>
        <w:rPr>
          <w:color w:val="262626"/>
          <w:sz w:val="19"/>
        </w:rPr>
        <w:t>Padronizar a abertura de registros de problemas (PRB) no ITSM, seja de forma reativa (pós-incidente P1 ou reincidência de P2/P3) ou proativa (análise de tendências).</w:t>
      </w:r>
    </w:p>
    <w:p>
      <w:pPr>
        <w:pStyle w:val="ListBullet"/>
        <w:spacing w:after="60" w:line="276" w:lineRule="auto"/>
      </w:pPr>
      <w:r>
        <w:rPr>
          <w:b/>
          <w:color w:val="002060"/>
          <w:sz w:val="19"/>
        </w:rPr>
        <w:t xml:space="preserve">3. Responsável pela Execução: </w:t>
      </w:r>
      <w:r>
        <w:rPr>
          <w:color w:val="262626"/>
          <w:sz w:val="19"/>
        </w:rPr>
        <w:t>Analista de Sustentação N3 / Especialista Técnico / Gestor de Problemas</w:t>
      </w:r>
    </w:p>
    <w:p>
      <w:pPr>
        <w:pStyle w:val="ListBullet"/>
        <w:spacing w:after="60" w:line="276" w:lineRule="auto"/>
      </w:pPr>
      <w:r>
        <w:rPr>
          <w:b/>
          <w:color w:val="002060"/>
          <w:sz w:val="19"/>
        </w:rPr>
        <w:t xml:space="preserve">4. Responsáveis por Aprovação &amp; Consulta: </w:t>
      </w:r>
      <w:r>
        <w:rPr>
          <w:color w:val="262626"/>
          <w:sz w:val="19"/>
        </w:rPr>
        <w:t>Aprovação: Gestor de Problemas | Consulta: Líderes de Arquitetura e Negócio</w:t>
      </w:r>
    </w:p>
    <w:p>
      <w:pPr>
        <w:pStyle w:val="ListBullet"/>
        <w:spacing w:after="60" w:line="276" w:lineRule="auto"/>
      </w:pPr>
      <w:r>
        <w:rPr>
          <w:b/>
          <w:color w:val="002060"/>
          <w:sz w:val="19"/>
        </w:rPr>
        <w:t xml:space="preserve">5. Pré-requisitos Técnicos: </w:t>
      </w:r>
      <w:r>
        <w:rPr>
          <w:color w:val="262626"/>
          <w:sz w:val="19"/>
        </w:rPr>
        <w:t>Acesso perfil 'Problem Analyst' no ITSM; Acesso ao dashboard de métricas de Incidentes e relatórios de monitoramento/APM.</w:t>
      </w:r>
    </w:p>
    <w:p>
      <w:pPr>
        <w:pStyle w:val="ListBullet"/>
        <w:spacing w:after="60" w:line="276" w:lineRule="auto"/>
      </w:pPr>
      <w:r>
        <w:rPr>
          <w:b/>
          <w:color w:val="002060"/>
          <w:sz w:val="19"/>
        </w:rPr>
        <w:t xml:space="preserve">6. Entradas Necessárias: </w:t>
      </w:r>
      <w:r>
        <w:rPr>
          <w:color w:val="262626"/>
          <w:sz w:val="19"/>
        </w:rPr>
        <w:t>Relatório de encerramento de Incidente Grave P1; Alerta de reincidência (3+ chamados no mesmo CI em 30 dias); Relatório proativo de APM/Logs.</w:t>
      </w:r>
    </w:p>
    <w:p>
      <w:pPr>
        <w:pStyle w:val="ListBullet"/>
        <w:spacing w:after="60" w:line="276" w:lineRule="auto"/>
      </w:pPr>
      <w:r>
        <w:rPr>
          <w:b/>
          <w:color w:val="002060"/>
          <w:sz w:val="19"/>
        </w:rPr>
        <w:t xml:space="preserve">7. Ferramentas e Recursos Utilizados: </w:t>
      </w:r>
      <w:r>
        <w:rPr>
          <w:color w:val="262626"/>
          <w:sz w:val="19"/>
        </w:rPr>
        <w:t>Sistema ITSM (Módulo Problem Management); Ferramenta de Monitoramento/APM (Dynatrace, Datadog, Zabbix); CMDB atualizada.</w:t>
      </w:r>
    </w:p>
    <w:p>
      <w:pPr>
        <w:keepNext/>
        <w:spacing w:before="160" w:after="40"/>
      </w:pPr>
      <w:r>
        <w:rPr>
          <w:b/>
          <w:color w:val="C55A11"/>
          <w:sz w:val="22"/>
        </w:rPr>
        <w:t>8. Instruções Numeradas de Execução PASSO A PASSO:</w:t>
      </w:r>
    </w:p>
    <w:p>
      <w:pPr>
        <w:pStyle w:val="ListBullet"/>
        <w:spacing w:after="60" w:line="276" w:lineRule="auto"/>
      </w:pPr>
      <w:r>
        <w:rPr>
          <w:b/>
          <w:color w:val="002060"/>
          <w:sz w:val="19"/>
        </w:rPr>
        <w:t xml:space="preserve">   • </w:t>
      </w:r>
      <w:r>
        <w:rPr>
          <w:color w:val="262626"/>
          <w:sz w:val="19"/>
        </w:rPr>
        <w:t>Passo 1: Receber o gatilho de abertura (Incidente P1 encerrado, alerta automatizado de reincidência ou relatório de tendências).</w:t>
      </w:r>
    </w:p>
    <w:p>
      <w:pPr>
        <w:pStyle w:val="ListBullet"/>
        <w:spacing w:after="60" w:line="276" w:lineRule="auto"/>
      </w:pPr>
      <w:r>
        <w:rPr>
          <w:b/>
          <w:color w:val="002060"/>
          <w:sz w:val="19"/>
        </w:rPr>
        <w:t xml:space="preserve">   • </w:t>
      </w:r>
      <w:r>
        <w:rPr>
          <w:color w:val="262626"/>
          <w:sz w:val="19"/>
        </w:rPr>
        <w:t>Passo 2: Acessar o módulo 'Problem Management' no ITSM e selecionar 'Criar Novo Registro de Problema (PRB)'.</w:t>
      </w:r>
    </w:p>
    <w:p>
      <w:pPr>
        <w:pStyle w:val="ListBullet"/>
        <w:spacing w:after="60" w:line="276" w:lineRule="auto"/>
      </w:pPr>
      <w:r>
        <w:rPr>
          <w:b/>
          <w:color w:val="002060"/>
          <w:sz w:val="19"/>
        </w:rPr>
        <w:t xml:space="preserve">   • </w:t>
      </w:r>
      <w:r>
        <w:rPr>
          <w:color w:val="262626"/>
          <w:sz w:val="19"/>
        </w:rPr>
        <w:t>Passo 3: Vincular obrigatoriamente os Incidentes associados (INC_IDs) e selecionar o Item de Configuração (CI) afetado na CMDB.</w:t>
      </w:r>
    </w:p>
    <w:p>
      <w:pPr>
        <w:pStyle w:val="ListBullet"/>
        <w:spacing w:after="60" w:line="276" w:lineRule="auto"/>
      </w:pPr>
      <w:r>
        <w:rPr>
          <w:b/>
          <w:color w:val="002060"/>
          <w:sz w:val="19"/>
        </w:rPr>
        <w:t xml:space="preserve">   • </w:t>
      </w:r>
      <w:r>
        <w:rPr>
          <w:color w:val="262626"/>
          <w:sz w:val="19"/>
        </w:rPr>
        <w:t>Passo 4: Preencher o formulário inicial: Título Sintético, Descrição Detalhada dos Sintomas, Serviços Afetados e Unidades de Negócio Impactadas.</w:t>
      </w:r>
    </w:p>
    <w:p>
      <w:pPr>
        <w:pStyle w:val="ListBullet"/>
        <w:spacing w:after="60" w:line="276" w:lineRule="auto"/>
      </w:pPr>
      <w:r>
        <w:rPr>
          <w:b/>
          <w:color w:val="002060"/>
          <w:sz w:val="19"/>
        </w:rPr>
        <w:t xml:space="preserve">   • </w:t>
      </w:r>
      <w:r>
        <w:rPr>
          <w:color w:val="262626"/>
          <w:sz w:val="19"/>
        </w:rPr>
        <w:t>Passo 5: Definir a Prioridade do Problema (P1 Crítico, P2 Alto, P3 Médio, P4 Baixo) combinando Impacto no Negócio e Frequência/Probabilidade de Ocorrência.</w:t>
      </w:r>
    </w:p>
    <w:p>
      <w:pPr>
        <w:pStyle w:val="ListBullet"/>
        <w:spacing w:after="60" w:line="276" w:lineRule="auto"/>
      </w:pPr>
      <w:r>
        <w:rPr>
          <w:b/>
          <w:color w:val="002060"/>
          <w:sz w:val="19"/>
        </w:rPr>
        <w:t xml:space="preserve">   • </w:t>
      </w:r>
      <w:r>
        <w:rPr>
          <w:color w:val="262626"/>
          <w:sz w:val="19"/>
        </w:rPr>
        <w:t>Passo 6: Atribuir o registro PRB ao Grupo Solucionador N3 especialista responsável pelo CI e definir a data limite para entrega da Análise de Causa Raiz (RCA).</w:t>
      </w:r>
    </w:p>
    <w:p>
      <w:pPr>
        <w:pStyle w:val="ListBullet"/>
        <w:spacing w:after="60" w:line="276" w:lineRule="auto"/>
      </w:pPr>
      <w:r>
        <w:rPr>
          <w:b/>
          <w:color w:val="002060"/>
          <w:sz w:val="19"/>
        </w:rPr>
        <w:t xml:space="preserve">   • </w:t>
      </w:r>
      <w:r>
        <w:rPr>
          <w:color w:val="262626"/>
          <w:sz w:val="19"/>
        </w:rPr>
        <w:t>Passo 7: Notificar o Gestor de Problemas e os envolvidos via workflow do ITSM.</w:t>
      </w:r>
    </w:p>
    <w:p>
      <w:pPr>
        <w:pStyle w:val="ListBullet"/>
        <w:spacing w:after="60" w:line="276" w:lineRule="auto"/>
      </w:pPr>
      <w:r>
        <w:rPr>
          <w:b/>
          <w:color w:val="002060"/>
          <w:sz w:val="19"/>
        </w:rPr>
        <w:t xml:space="preserve">9. Perguntas de Verificação (Checklist): </w:t>
      </w:r>
      <w:r>
        <w:rPr>
          <w:color w:val="262626"/>
          <w:sz w:val="19"/>
        </w:rPr>
        <w:t>O CI correto foi vinculado na CMDB? Todos os incidentes relacionados foram anexados? A prioridade condiz com a matriz de impacto?</w:t>
      </w:r>
    </w:p>
    <w:p>
      <w:pPr>
        <w:pStyle w:val="ListBullet"/>
        <w:spacing w:after="60" w:line="276" w:lineRule="auto"/>
      </w:pPr>
      <w:r>
        <w:rPr>
          <w:b/>
          <w:color w:val="002060"/>
          <w:sz w:val="19"/>
        </w:rPr>
        <w:t xml:space="preserve">10. Regras de Negócio e Critérios de Decisão: </w:t>
      </w:r>
      <w:r>
        <w:rPr>
          <w:color w:val="262626"/>
          <w:sz w:val="19"/>
        </w:rPr>
        <w:t>Incidentes P1 geram registro de PRB automático em até 24h após o encerramento. Três incidentes P2/P3 idênticos no mesmo CI em 30 dias exigem abertura de PRB obrigatória.</w:t>
      </w:r>
    </w:p>
    <w:p>
      <w:pPr>
        <w:pStyle w:val="ListBullet"/>
        <w:spacing w:after="60" w:line="276" w:lineRule="auto"/>
      </w:pPr>
      <w:r>
        <w:rPr>
          <w:b/>
          <w:color w:val="002060"/>
          <w:sz w:val="19"/>
        </w:rPr>
        <w:t xml:space="preserve">11. Exceções e Caminhos Alternativos: </w:t>
      </w:r>
      <w:r>
        <w:rPr>
          <w:color w:val="262626"/>
          <w:sz w:val="19"/>
        </w:rPr>
        <w:t>Se o CI não estiver cadastrado na CMDB, abrir solicitação imediata à equipe de ITAM/CMDB e registrar provisoriamente sob a categoria geral do serviço.</w:t>
      </w:r>
    </w:p>
    <w:p>
      <w:pPr>
        <w:pStyle w:val="ListBullet"/>
        <w:spacing w:after="60" w:line="276" w:lineRule="auto"/>
      </w:pPr>
      <w:r>
        <w:rPr>
          <w:b/>
          <w:color w:val="002060"/>
          <w:sz w:val="19"/>
        </w:rPr>
        <w:t xml:space="preserve">12. Prazos e SLAs de Execução: </w:t>
      </w:r>
      <w:r>
        <w:rPr>
          <w:color w:val="262626"/>
          <w:sz w:val="19"/>
        </w:rPr>
        <w:t>Abertura em até 4h após encerramento do Incidente P1. Classificação de prioridade em até 2h após a abertura.</w:t>
      </w:r>
    </w:p>
    <w:p>
      <w:pPr>
        <w:pStyle w:val="ListBullet"/>
        <w:spacing w:after="60" w:line="276" w:lineRule="auto"/>
      </w:pPr>
      <w:r>
        <w:rPr>
          <w:b/>
          <w:color w:val="002060"/>
          <w:sz w:val="19"/>
        </w:rPr>
        <w:t xml:space="preserve">13. Saídas e Registros Produzidos: </w:t>
      </w:r>
      <w:r>
        <w:rPr>
          <w:color w:val="262626"/>
          <w:sz w:val="19"/>
        </w:rPr>
        <w:t>Registro PRB criado no ITSM no status 'Em Investigação'; Notificação aos times técnicos.</w:t>
      </w:r>
    </w:p>
    <w:p>
      <w:pPr>
        <w:pStyle w:val="ListBullet"/>
        <w:spacing w:after="60" w:line="276" w:lineRule="auto"/>
      </w:pPr>
      <w:r>
        <w:rPr>
          <w:b/>
          <w:color w:val="002060"/>
          <w:sz w:val="19"/>
        </w:rPr>
        <w:t xml:space="preserve">14. Evidências Auditáveis Geradas: </w:t>
      </w:r>
      <w:r>
        <w:rPr>
          <w:color w:val="262626"/>
          <w:sz w:val="19"/>
        </w:rPr>
        <w:t>Log de criação do PRB no ITSM contendo timestamp, usuário, CIs vinculados e histórico de incidentes associados.</w:t>
      </w:r>
    </w:p>
    <w:p>
      <w:pPr>
        <w:pStyle w:val="ListBullet"/>
        <w:spacing w:after="60" w:line="276" w:lineRule="auto"/>
      </w:pPr>
      <w:r>
        <w:rPr>
          <w:b/>
          <w:color w:val="002060"/>
          <w:sz w:val="19"/>
        </w:rPr>
        <w:t xml:space="preserve">15. Controles Internos Aplicáveis: </w:t>
      </w:r>
      <w:r>
        <w:rPr>
          <w:color w:val="262626"/>
          <w:sz w:val="19"/>
        </w:rPr>
        <w:t>SOX ITGC (Rastreabilidade de falhas); ISO 20000-1 Item 8.6.2; ISO 27001 Controle A.8.16.</w:t>
      </w:r>
    </w:p>
    <w:p>
      <w:pPr>
        <w:pStyle w:val="ListBullet"/>
        <w:spacing w:after="60" w:line="276" w:lineRule="auto"/>
      </w:pPr>
      <w:r>
        <w:rPr>
          <w:b/>
          <w:color w:val="002060"/>
          <w:sz w:val="19"/>
        </w:rPr>
        <w:t xml:space="preserve">16. Critérios de Qualidade e Conclusão: </w:t>
      </w:r>
      <w:r>
        <w:rPr>
          <w:color w:val="262626"/>
          <w:sz w:val="19"/>
        </w:rPr>
        <w:t>Formulário preenchido com 100% dos campos obrigatórios e histórico de incidentes devidamente anexado.</w:t>
      </w:r>
    </w:p>
    <w:p>
      <w:pPr>
        <w:pStyle w:val="ListBullet"/>
        <w:spacing w:after="60" w:line="276" w:lineRule="auto"/>
      </w:pPr>
      <w:r>
        <w:rPr>
          <w:b/>
          <w:color w:val="002060"/>
          <w:sz w:val="19"/>
        </w:rPr>
        <w:t xml:space="preserve">17. Indicadores (KPIs) Relacionados: </w:t>
      </w:r>
      <w:r>
        <w:rPr>
          <w:color w:val="262626"/>
          <w:sz w:val="19"/>
        </w:rPr>
        <w:t>% de Incidentes P1 com PRB vinculado; Tempo médio para registro do PRB.</w:t>
      </w:r>
    </w:p>
    <w:p>
      <w:pPr>
        <w:pStyle w:val="ListBullet"/>
        <w:spacing w:after="60" w:line="276" w:lineRule="auto"/>
      </w:pPr>
      <w:r>
        <w:rPr>
          <w:b/>
          <w:color w:val="002060"/>
          <w:sz w:val="19"/>
        </w:rPr>
        <w:t xml:space="preserve">18. Interfaces com Outros Processos: </w:t>
      </w:r>
      <w:r>
        <w:rPr>
          <w:color w:val="262626"/>
          <w:sz w:val="19"/>
        </w:rPr>
        <w:t>Interface direta com Gestão de Incidentes (entrada de dados) e Gestão de Ativos/CMDB (vínculo de CIs).</w:t>
      </w:r>
    </w:p>
    <w:p>
      <w:pPr>
        <w:pStyle w:val="ListBullet"/>
        <w:spacing w:after="60" w:line="276" w:lineRule="auto"/>
      </w:pPr>
      <w:r>
        <w:rPr>
          <w:b/>
          <w:color w:val="002060"/>
          <w:sz w:val="19"/>
        </w:rPr>
        <w:t xml:space="preserve">19. Tratamento de Falhas e Desvios: </w:t>
      </w:r>
      <w:r>
        <w:rPr>
          <w:color w:val="262626"/>
          <w:sz w:val="19"/>
        </w:rPr>
        <w:t>Se o grupo N3 recusar o ticket alegando falta de dados, o Gestor de Problemas arbitra e complementa as informações antes do reencaminhamento.</w:t>
      </w:r>
    </w:p>
    <w:p>
      <w:pPr>
        <w:pStyle w:val="ListBullet"/>
        <w:spacing w:after="60" w:line="276" w:lineRule="auto"/>
      </w:pPr>
      <w:r>
        <w:rPr>
          <w:b/>
          <w:color w:val="002060"/>
          <w:sz w:val="19"/>
        </w:rPr>
        <w:t xml:space="preserve">20. Exemplo Prático de Aplicação: </w:t>
      </w:r>
      <w:r>
        <w:rPr>
          <w:color w:val="262626"/>
          <w:sz w:val="19"/>
        </w:rPr>
        <w:t>Após indisponibilidade de 2h no banco de dados do ERP (INC-8902), o Gestor de Problemas abre o ticket PRB-2026-104 vinculando o CI 'SVR-DB-PROD-01' para investigação.</w:t>
      </w:r>
    </w:p>
    <w:p>
      <w:pPr>
        <w:spacing w:after="120"/>
      </w:pPr>
    </w:p>
    <w:p>
      <w:pPr>
        <w:keepNext/>
        <w:spacing w:before="240" w:after="80"/>
      </w:pPr>
      <w:r>
        <w:rPr>
          <w:b/>
          <w:color w:val="4A607A"/>
          <w:sz w:val="25"/>
        </w:rPr>
        <w:t>POP-PRB-002 — Investigação Técnica e Análise de Causa Raiz (RCA)</w:t>
      </w:r>
    </w:p>
    <w:p>
      <w:pPr>
        <w:pStyle w:val="ListBullet"/>
        <w:spacing w:after="60" w:line="276" w:lineRule="auto"/>
      </w:pPr>
      <w:r>
        <w:rPr>
          <w:b/>
          <w:color w:val="002060"/>
          <w:sz w:val="19"/>
        </w:rPr>
        <w:t xml:space="preserve">1. Identificador &amp; Nome: </w:t>
      </w:r>
      <w:r>
        <w:rPr>
          <w:color w:val="262626"/>
          <w:sz w:val="19"/>
        </w:rPr>
        <w:t>POP-PRB-002 — Investigação Técnica e Análise de Causa Raiz (RCA)</w:t>
      </w:r>
    </w:p>
    <w:p>
      <w:pPr>
        <w:pStyle w:val="ListBullet"/>
        <w:spacing w:after="60" w:line="276" w:lineRule="auto"/>
      </w:pPr>
      <w:r>
        <w:rPr>
          <w:b/>
          <w:color w:val="002060"/>
          <w:sz w:val="19"/>
        </w:rPr>
        <w:t xml:space="preserve">2. Objetivo do Procedimento: </w:t>
      </w:r>
      <w:r>
        <w:rPr>
          <w:color w:val="262626"/>
          <w:sz w:val="19"/>
        </w:rPr>
        <w:t>Executar a investigação técnica profunda de um problema utilizando métodos estruturados (5 Porquês, Diagrama de Ishikawa) para identificar o fator primário gerador da falha.</w:t>
      </w:r>
    </w:p>
    <w:p>
      <w:pPr>
        <w:pStyle w:val="ListBullet"/>
        <w:spacing w:after="60" w:line="276" w:lineRule="auto"/>
      </w:pPr>
      <w:r>
        <w:rPr>
          <w:b/>
          <w:color w:val="002060"/>
          <w:sz w:val="19"/>
        </w:rPr>
        <w:t xml:space="preserve">3. Responsável pela Execução: </w:t>
      </w:r>
      <w:r>
        <w:rPr>
          <w:color w:val="262626"/>
          <w:sz w:val="19"/>
        </w:rPr>
        <w:t>Especialista Técnico N3 / Arquiteto de Software/Infra</w:t>
      </w:r>
    </w:p>
    <w:p>
      <w:pPr>
        <w:pStyle w:val="ListBullet"/>
        <w:spacing w:after="60" w:line="276" w:lineRule="auto"/>
      </w:pPr>
      <w:r>
        <w:rPr>
          <w:b/>
          <w:color w:val="002060"/>
          <w:sz w:val="19"/>
        </w:rPr>
        <w:t xml:space="preserve">4. Responsáveis por Aprovação &amp; Consulta: </w:t>
      </w:r>
      <w:r>
        <w:rPr>
          <w:color w:val="262626"/>
          <w:sz w:val="19"/>
        </w:rPr>
        <w:t>Aprovação: Gestor de Problemas e CISO (se envolver vulnerabilidade) | Consulta: Devs/SRE</w:t>
      </w:r>
    </w:p>
    <w:p>
      <w:pPr>
        <w:pStyle w:val="ListBullet"/>
        <w:spacing w:after="60" w:line="276" w:lineRule="auto"/>
      </w:pPr>
      <w:r>
        <w:rPr>
          <w:b/>
          <w:color w:val="002060"/>
          <w:sz w:val="19"/>
        </w:rPr>
        <w:t xml:space="preserve">5. Pré-requisitos Técnicos: </w:t>
      </w:r>
      <w:r>
        <w:rPr>
          <w:color w:val="262626"/>
          <w:sz w:val="19"/>
        </w:rPr>
        <w:t>Acesso total aos logs de servidores, banco de dados, APM, esteiras CI/CD e código-fonte; Formulário padrão de RCA.</w:t>
      </w:r>
    </w:p>
    <w:p>
      <w:pPr>
        <w:pStyle w:val="ListBullet"/>
        <w:spacing w:after="60" w:line="276" w:lineRule="auto"/>
      </w:pPr>
      <w:r>
        <w:rPr>
          <w:b/>
          <w:color w:val="002060"/>
          <w:sz w:val="19"/>
        </w:rPr>
        <w:t xml:space="preserve">6. Entradas Necessárias: </w:t>
      </w:r>
      <w:r>
        <w:rPr>
          <w:color w:val="262626"/>
          <w:sz w:val="19"/>
        </w:rPr>
        <w:t>Ticket PRB no status 'Em Investigação'; Evidências de logs, dumps de memória, métricas de rede e histórico de mudanças recentes no CI.</w:t>
      </w:r>
    </w:p>
    <w:p>
      <w:pPr>
        <w:pStyle w:val="ListBullet"/>
        <w:spacing w:after="60" w:line="276" w:lineRule="auto"/>
      </w:pPr>
      <w:r>
        <w:rPr>
          <w:b/>
          <w:color w:val="002060"/>
          <w:sz w:val="19"/>
        </w:rPr>
        <w:t xml:space="preserve">7. Ferramentas e Recursos Utilizados: </w:t>
      </w:r>
      <w:r>
        <w:rPr>
          <w:color w:val="262626"/>
          <w:sz w:val="19"/>
        </w:rPr>
        <w:t>Ferramentas de Log Analysis (Splunk, ELK); APM; Diagrama de Ishikawa / Planilha de RCA (Anexo B).</w:t>
      </w:r>
    </w:p>
    <w:p>
      <w:pPr>
        <w:keepNext/>
        <w:spacing w:before="160" w:after="40"/>
      </w:pPr>
      <w:r>
        <w:rPr>
          <w:b/>
          <w:color w:val="C55A11"/>
          <w:sz w:val="22"/>
        </w:rPr>
        <w:t>8. Instruções Numeradas de Execução PASSO A PASSO:</w:t>
      </w:r>
    </w:p>
    <w:p>
      <w:pPr>
        <w:pStyle w:val="ListBullet"/>
        <w:spacing w:after="60" w:line="276" w:lineRule="auto"/>
      </w:pPr>
      <w:r>
        <w:rPr>
          <w:b/>
          <w:color w:val="002060"/>
          <w:sz w:val="19"/>
        </w:rPr>
        <w:t xml:space="preserve">   • </w:t>
      </w:r>
      <w:r>
        <w:rPr>
          <w:color w:val="262626"/>
          <w:sz w:val="19"/>
        </w:rPr>
        <w:t>Passo 1: Coletar e consolidar todas as evidências temporais (logs de sistema, eventos de rede, commits de código) do intervalo da falha.</w:t>
      </w:r>
    </w:p>
    <w:p>
      <w:pPr>
        <w:pStyle w:val="ListBullet"/>
        <w:spacing w:after="60" w:line="276" w:lineRule="auto"/>
      </w:pPr>
      <w:r>
        <w:rPr>
          <w:b/>
          <w:color w:val="002060"/>
          <w:sz w:val="19"/>
        </w:rPr>
        <w:t xml:space="preserve">   • </w:t>
      </w:r>
      <w:r>
        <w:rPr>
          <w:color w:val="262626"/>
          <w:sz w:val="19"/>
        </w:rPr>
        <w:t>Passo 2: Mapear a linha do tempo detalhada (minuto a minuto) desde o primeiro sintoma até a contenção do incidente.</w:t>
      </w:r>
    </w:p>
    <w:p>
      <w:pPr>
        <w:pStyle w:val="ListBullet"/>
        <w:spacing w:after="60" w:line="276" w:lineRule="auto"/>
      </w:pPr>
      <w:r>
        <w:rPr>
          <w:b/>
          <w:color w:val="002060"/>
          <w:sz w:val="19"/>
        </w:rPr>
        <w:t xml:space="preserve">   • </w:t>
      </w:r>
      <w:r>
        <w:rPr>
          <w:color w:val="262626"/>
          <w:sz w:val="19"/>
        </w:rPr>
        <w:t>Passo 3: Convocar os especialistas técnicos envolvidos para sessão de Análise de Causa Raiz (Sessão RCA).</w:t>
      </w:r>
    </w:p>
    <w:p>
      <w:pPr>
        <w:pStyle w:val="ListBullet"/>
        <w:spacing w:after="60" w:line="276" w:lineRule="auto"/>
      </w:pPr>
      <w:r>
        <w:rPr>
          <w:b/>
          <w:color w:val="002060"/>
          <w:sz w:val="19"/>
        </w:rPr>
        <w:t xml:space="preserve">   • </w:t>
      </w:r>
      <w:r>
        <w:rPr>
          <w:color w:val="262626"/>
          <w:sz w:val="19"/>
        </w:rPr>
        <w:t>Passo 4: Aplicar a técnica dos '5 Porquês', aprofundando a investigação até que a causa primária (fator humano, processo, código, hardware) seja isolada.</w:t>
      </w:r>
    </w:p>
    <w:p>
      <w:pPr>
        <w:pStyle w:val="ListBullet"/>
        <w:spacing w:after="60" w:line="276" w:lineRule="auto"/>
      </w:pPr>
      <w:r>
        <w:rPr>
          <w:b/>
          <w:color w:val="002060"/>
          <w:sz w:val="19"/>
        </w:rPr>
        <w:t xml:space="preserve">   • </w:t>
      </w:r>
      <w:r>
        <w:rPr>
          <w:color w:val="262626"/>
          <w:sz w:val="19"/>
        </w:rPr>
        <w:t>Passo 5: Desenhar o Diagrama de Ishikawa (Espinha de Peixe) agrupando hipóteses e evidências nos 6M (Método, Máquina, Mão de Obra, Material, Medida, Meio Ambiente).</w:t>
      </w:r>
    </w:p>
    <w:p>
      <w:pPr>
        <w:pStyle w:val="ListBullet"/>
        <w:spacing w:after="60" w:line="276" w:lineRule="auto"/>
      </w:pPr>
      <w:r>
        <w:rPr>
          <w:b/>
          <w:color w:val="002060"/>
          <w:sz w:val="19"/>
        </w:rPr>
        <w:t xml:space="preserve">   • </w:t>
      </w:r>
      <w:r>
        <w:rPr>
          <w:color w:val="262626"/>
          <w:sz w:val="19"/>
        </w:rPr>
        <w:t>Passo 6: Documentar no Relatório RCA se a falha decorreu de erro de código, parâmetro de infraestrutura, falha de fornecedor ou procedimento inadequado.</w:t>
      </w:r>
    </w:p>
    <w:p>
      <w:pPr>
        <w:pStyle w:val="ListBullet"/>
        <w:spacing w:after="60" w:line="276" w:lineRule="auto"/>
      </w:pPr>
      <w:r>
        <w:rPr>
          <w:b/>
          <w:color w:val="002060"/>
          <w:sz w:val="19"/>
        </w:rPr>
        <w:t xml:space="preserve">   • </w:t>
      </w:r>
      <w:r>
        <w:rPr>
          <w:color w:val="262626"/>
          <w:sz w:val="19"/>
        </w:rPr>
        <w:t>Passo 7: Registrar o relatório RCA estruturado no ticket PRB e anexar os logs de suporte.</w:t>
      </w:r>
    </w:p>
    <w:p>
      <w:pPr>
        <w:pStyle w:val="ListBullet"/>
        <w:spacing w:after="60" w:line="276" w:lineRule="auto"/>
      </w:pPr>
      <w:r>
        <w:rPr>
          <w:b/>
          <w:color w:val="002060"/>
          <w:sz w:val="19"/>
        </w:rPr>
        <w:t xml:space="preserve">9. Perguntas de Verificação (Checklist): </w:t>
      </w:r>
      <w:r>
        <w:rPr>
          <w:color w:val="262626"/>
          <w:sz w:val="19"/>
        </w:rPr>
        <w:t>A causa investigada explica 100% dos sintomas? O fator primário foi comprovado por evidências de log/código ou é apenas suposição?</w:t>
      </w:r>
    </w:p>
    <w:p>
      <w:pPr>
        <w:pStyle w:val="ListBullet"/>
        <w:spacing w:after="60" w:line="276" w:lineRule="auto"/>
      </w:pPr>
      <w:r>
        <w:rPr>
          <w:b/>
          <w:color w:val="002060"/>
          <w:sz w:val="19"/>
        </w:rPr>
        <w:t xml:space="preserve">10. Regras de Negócio e Critérios de Decisão: </w:t>
      </w:r>
      <w:r>
        <w:rPr>
          <w:color w:val="262626"/>
          <w:sz w:val="19"/>
        </w:rPr>
        <w:t>Investigações de PRB P1 exigem no mínimo 3 'Porquês' fundamentados em logs. Hipóteses sem comprovação técnica não são aceitas como causa-raiz.</w:t>
      </w:r>
    </w:p>
    <w:p>
      <w:pPr>
        <w:pStyle w:val="ListBullet"/>
        <w:spacing w:after="60" w:line="276" w:lineRule="auto"/>
      </w:pPr>
      <w:r>
        <w:rPr>
          <w:b/>
          <w:color w:val="002060"/>
          <w:sz w:val="19"/>
        </w:rPr>
        <w:t xml:space="preserve">11. Exceções e Caminhos Alternativos: </w:t>
      </w:r>
      <w:r>
        <w:rPr>
          <w:color w:val="262626"/>
          <w:sz w:val="19"/>
        </w:rPr>
        <w:t>Se a causa-raiz for atribuída a um fornecedor externo, exigir o relatório oficial de RCA do parceiro (com prazo contratual de até 5 dias úteis) e validá-lo internamente.</w:t>
      </w:r>
    </w:p>
    <w:p>
      <w:pPr>
        <w:pStyle w:val="ListBullet"/>
        <w:spacing w:after="60" w:line="276" w:lineRule="auto"/>
      </w:pPr>
      <w:r>
        <w:rPr>
          <w:b/>
          <w:color w:val="002060"/>
          <w:sz w:val="19"/>
        </w:rPr>
        <w:t xml:space="preserve">12. Prazos e SLAs de Execução: </w:t>
      </w:r>
      <w:r>
        <w:rPr>
          <w:color w:val="262626"/>
          <w:sz w:val="19"/>
        </w:rPr>
        <w:t>Conclusão da RCA: PRB P1 (até 5 dias úteis); PRB P2 (até 10 dias úteis); PRB P3/P4 (até 20 dias úteis).</w:t>
      </w:r>
    </w:p>
    <w:p>
      <w:pPr>
        <w:pStyle w:val="ListBullet"/>
        <w:spacing w:after="60" w:line="276" w:lineRule="auto"/>
      </w:pPr>
      <w:r>
        <w:rPr>
          <w:b/>
          <w:color w:val="002060"/>
          <w:sz w:val="19"/>
        </w:rPr>
        <w:t xml:space="preserve">13. Saídas e Registros Produzidos: </w:t>
      </w:r>
      <w:r>
        <w:rPr>
          <w:color w:val="262626"/>
          <w:sz w:val="19"/>
        </w:rPr>
        <w:t>Relatório Oficial de Análise de Causa Raiz (RCA) preenchido e anexado ao ticket PRB no ITSM.</w:t>
      </w:r>
    </w:p>
    <w:p>
      <w:pPr>
        <w:pStyle w:val="ListBullet"/>
        <w:spacing w:after="60" w:line="276" w:lineRule="auto"/>
      </w:pPr>
      <w:r>
        <w:rPr>
          <w:b/>
          <w:color w:val="002060"/>
          <w:sz w:val="19"/>
        </w:rPr>
        <w:t xml:space="preserve">14. Evidências Auditáveis Geradas: </w:t>
      </w:r>
      <w:r>
        <w:rPr>
          <w:color w:val="262626"/>
          <w:sz w:val="19"/>
        </w:rPr>
        <w:t>Arquivo PDF/Doc do Relatório RCA contendo logs das causas, gráfico dos 5 Porquês e assinaturas digitais dos analistas N3.</w:t>
      </w:r>
    </w:p>
    <w:p>
      <w:pPr>
        <w:pStyle w:val="ListBullet"/>
        <w:spacing w:after="60" w:line="276" w:lineRule="auto"/>
      </w:pPr>
      <w:r>
        <w:rPr>
          <w:b/>
          <w:color w:val="002060"/>
          <w:sz w:val="19"/>
        </w:rPr>
        <w:t xml:space="preserve">15. Controles Internos Aplicáveis: </w:t>
      </w:r>
      <w:r>
        <w:rPr>
          <w:color w:val="262626"/>
          <w:sz w:val="19"/>
        </w:rPr>
        <w:t>ISO 20000-1 Item 8.6.2; ISO 27001 A.8.8; COBIT 5 DSS03.02.</w:t>
      </w:r>
    </w:p>
    <w:p>
      <w:pPr>
        <w:pStyle w:val="ListBullet"/>
        <w:spacing w:after="60" w:line="276" w:lineRule="auto"/>
      </w:pPr>
      <w:r>
        <w:rPr>
          <w:b/>
          <w:color w:val="002060"/>
          <w:sz w:val="19"/>
        </w:rPr>
        <w:t xml:space="preserve">16. Critérios de Qualidade e Conclusão: </w:t>
      </w:r>
      <w:r>
        <w:rPr>
          <w:color w:val="262626"/>
          <w:sz w:val="19"/>
        </w:rPr>
        <w:t>Análise conclusiva sem lacunas lógicas, comprovada por logs ou reprodução do erro em ambiente de homologação.</w:t>
      </w:r>
    </w:p>
    <w:p>
      <w:pPr>
        <w:pStyle w:val="ListBullet"/>
        <w:spacing w:after="60" w:line="276" w:lineRule="auto"/>
      </w:pPr>
      <w:r>
        <w:rPr>
          <w:b/>
          <w:color w:val="002060"/>
          <w:sz w:val="19"/>
        </w:rPr>
        <w:t xml:space="preserve">17. Indicadores (KPIs) Relacionados: </w:t>
      </w:r>
      <w:r>
        <w:rPr>
          <w:color w:val="262626"/>
          <w:sz w:val="19"/>
        </w:rPr>
        <w:t>MTTRCA (Tempo Médio para Identificação da Causa Raiz); % de RCAs Concluídas no Prazo.</w:t>
      </w:r>
    </w:p>
    <w:p>
      <w:pPr>
        <w:pStyle w:val="ListBullet"/>
        <w:spacing w:after="60" w:line="276" w:lineRule="auto"/>
      </w:pPr>
      <w:r>
        <w:rPr>
          <w:b/>
          <w:color w:val="002060"/>
          <w:sz w:val="19"/>
        </w:rPr>
        <w:t xml:space="preserve">18. Interfaces com Outros Processos: </w:t>
      </w:r>
      <w:r>
        <w:rPr>
          <w:color w:val="262626"/>
          <w:sz w:val="19"/>
        </w:rPr>
        <w:t>Interface com Gestão de Segurança (se envolver vulnerabilidade) e Engenharia/DevOps (análise de código).</w:t>
      </w:r>
    </w:p>
    <w:p>
      <w:pPr>
        <w:pStyle w:val="ListBullet"/>
        <w:spacing w:after="60" w:line="276" w:lineRule="auto"/>
      </w:pPr>
      <w:r>
        <w:rPr>
          <w:b/>
          <w:color w:val="002060"/>
          <w:sz w:val="19"/>
        </w:rPr>
        <w:t xml:space="preserve">19. Tratamento de Falhas e Desvios: </w:t>
      </w:r>
      <w:r>
        <w:rPr>
          <w:color w:val="262626"/>
          <w:sz w:val="19"/>
        </w:rPr>
        <w:t>Se o grupo N3 alegar falta de acesso para coletar logs, o Gestor de Problemas aciona o CISO para liberação temporária de leitura no ambiente.</w:t>
      </w:r>
    </w:p>
    <w:p>
      <w:pPr>
        <w:pStyle w:val="ListBullet"/>
        <w:spacing w:after="60" w:line="276" w:lineRule="auto"/>
      </w:pPr>
      <w:r>
        <w:rPr>
          <w:b/>
          <w:color w:val="002060"/>
          <w:sz w:val="19"/>
        </w:rPr>
        <w:t xml:space="preserve">20. Exemplo Prático de Aplicação: </w:t>
      </w:r>
      <w:r>
        <w:rPr>
          <w:color w:val="262626"/>
          <w:sz w:val="19"/>
        </w:rPr>
        <w:t>Em falha de travamento no ERP, a RCA revelou que um leak de memória ocorreu devido a um loop infinito criado no último release de software (PRB-2026-104).</w:t>
      </w:r>
    </w:p>
    <w:p>
      <w:pPr>
        <w:spacing w:after="120"/>
      </w:pPr>
    </w:p>
    <w:p>
      <w:pPr>
        <w:keepNext/>
        <w:spacing w:before="240" w:after="80"/>
      </w:pPr>
      <w:r>
        <w:rPr>
          <w:b/>
          <w:color w:val="4A607A"/>
          <w:sz w:val="25"/>
        </w:rPr>
        <w:t>POP-PRB-003 — Desenvolvimento, Teste e Publicação de Workarounds na KEDB</w:t>
      </w:r>
    </w:p>
    <w:p>
      <w:pPr>
        <w:pStyle w:val="ListBullet"/>
        <w:spacing w:after="60" w:line="276" w:lineRule="auto"/>
      </w:pPr>
      <w:r>
        <w:rPr>
          <w:b/>
          <w:color w:val="002060"/>
          <w:sz w:val="19"/>
        </w:rPr>
        <w:t xml:space="preserve">1. Identificador &amp; Nome: </w:t>
      </w:r>
      <w:r>
        <w:rPr>
          <w:color w:val="262626"/>
          <w:sz w:val="19"/>
        </w:rPr>
        <w:t>POP-PRB-003 — Desenvolvimento, Teste e Publicação de Workarounds na KEDB</w:t>
      </w:r>
    </w:p>
    <w:p>
      <w:pPr>
        <w:pStyle w:val="ListBullet"/>
        <w:spacing w:after="60" w:line="276" w:lineRule="auto"/>
      </w:pPr>
      <w:r>
        <w:rPr>
          <w:b/>
          <w:color w:val="002060"/>
          <w:sz w:val="19"/>
        </w:rPr>
        <w:t xml:space="preserve">2. Objetivo do Procedimento: </w:t>
      </w:r>
      <w:r>
        <w:rPr>
          <w:color w:val="262626"/>
          <w:sz w:val="19"/>
        </w:rPr>
        <w:t>Formular, testar e publicar na KEDB uma Solução de Contorno (Workaround) eficaz para permitir ao Service Desk contornar incidentes futuros enquanto a solução definitiva aguarda implantação.</w:t>
      </w:r>
    </w:p>
    <w:p>
      <w:pPr>
        <w:pStyle w:val="ListBullet"/>
        <w:spacing w:after="60" w:line="276" w:lineRule="auto"/>
      </w:pPr>
      <w:r>
        <w:rPr>
          <w:b/>
          <w:color w:val="002060"/>
          <w:sz w:val="19"/>
        </w:rPr>
        <w:t xml:space="preserve">3. Responsável pela Execução: </w:t>
      </w:r>
      <w:r>
        <w:rPr>
          <w:color w:val="262626"/>
          <w:sz w:val="19"/>
        </w:rPr>
        <w:t>Analista de Sustentação N3 / Gestor de Problemas</w:t>
      </w:r>
    </w:p>
    <w:p>
      <w:pPr>
        <w:pStyle w:val="ListBullet"/>
        <w:spacing w:after="60" w:line="276" w:lineRule="auto"/>
      </w:pPr>
      <w:r>
        <w:rPr>
          <w:b/>
          <w:color w:val="002060"/>
          <w:sz w:val="19"/>
        </w:rPr>
        <w:t xml:space="preserve">4. Responsáveis por Aprovação &amp; Consulta: </w:t>
      </w:r>
      <w:r>
        <w:rPr>
          <w:color w:val="262626"/>
          <w:sz w:val="19"/>
        </w:rPr>
        <w:t>Aprovação: Gestor de Problemas e Líder do Service Desk N1 | Consulta: SOC (se envolver bypass de regra)</w:t>
      </w:r>
    </w:p>
    <w:p>
      <w:pPr>
        <w:pStyle w:val="ListBullet"/>
        <w:spacing w:after="60" w:line="276" w:lineRule="auto"/>
      </w:pPr>
      <w:r>
        <w:rPr>
          <w:b/>
          <w:color w:val="002060"/>
          <w:sz w:val="19"/>
        </w:rPr>
        <w:t xml:space="preserve">5. Pré-requisitos Técnicos: </w:t>
      </w:r>
      <w:r>
        <w:rPr>
          <w:color w:val="262626"/>
          <w:sz w:val="19"/>
        </w:rPr>
        <w:t>Acesso ao Módulo KEDB no ITSM; Ambiente de Staging/Homologação para teste do procedimento de contorno.</w:t>
      </w:r>
    </w:p>
    <w:p>
      <w:pPr>
        <w:pStyle w:val="ListBullet"/>
        <w:spacing w:after="60" w:line="276" w:lineRule="auto"/>
      </w:pPr>
      <w:r>
        <w:rPr>
          <w:b/>
          <w:color w:val="002060"/>
          <w:sz w:val="19"/>
        </w:rPr>
        <w:t xml:space="preserve">6. Entradas Necessárias: </w:t>
      </w:r>
      <w:r>
        <w:rPr>
          <w:color w:val="262626"/>
          <w:sz w:val="19"/>
        </w:rPr>
        <w:t>Diagnóstico de Causa Raiz concluído ou parcial (PRB); Sintomas claros de impacto no usuário.</w:t>
      </w:r>
    </w:p>
    <w:p>
      <w:pPr>
        <w:pStyle w:val="ListBullet"/>
        <w:spacing w:after="60" w:line="276" w:lineRule="auto"/>
      </w:pPr>
      <w:r>
        <w:rPr>
          <w:b/>
          <w:color w:val="002060"/>
          <w:sz w:val="19"/>
        </w:rPr>
        <w:t xml:space="preserve">7. Ferramentas e Recursos Utilizados: </w:t>
      </w:r>
      <w:r>
        <w:rPr>
          <w:color w:val="262626"/>
          <w:sz w:val="19"/>
        </w:rPr>
        <w:t>Módulo KEDB do ITSM; Scripts de automação de contorno (PowerShell/Bash/Ansible, se aplicável).</w:t>
      </w:r>
    </w:p>
    <w:p>
      <w:pPr>
        <w:keepNext/>
        <w:spacing w:before="160" w:after="40"/>
      </w:pPr>
      <w:r>
        <w:rPr>
          <w:b/>
          <w:color w:val="C55A11"/>
          <w:sz w:val="22"/>
        </w:rPr>
        <w:t>8. Instruções Numeradas de Execução PASSO A PASSO:</w:t>
      </w:r>
    </w:p>
    <w:p>
      <w:pPr>
        <w:pStyle w:val="ListBullet"/>
        <w:spacing w:after="60" w:line="276" w:lineRule="auto"/>
      </w:pPr>
      <w:r>
        <w:rPr>
          <w:b/>
          <w:color w:val="002060"/>
          <w:sz w:val="19"/>
        </w:rPr>
        <w:t xml:space="preserve">   • </w:t>
      </w:r>
      <w:r>
        <w:rPr>
          <w:color w:val="262626"/>
          <w:sz w:val="19"/>
        </w:rPr>
        <w:t>Passo 1: Elaborar o procedimento passo a passo para contornar o sintoma da falha sem causar riscos adicionais de segurança ou integridade de dados.</w:t>
      </w:r>
    </w:p>
    <w:p>
      <w:pPr>
        <w:pStyle w:val="ListBullet"/>
        <w:spacing w:after="60" w:line="276" w:lineRule="auto"/>
      </w:pPr>
      <w:r>
        <w:rPr>
          <w:b/>
          <w:color w:val="002060"/>
          <w:sz w:val="19"/>
        </w:rPr>
        <w:t xml:space="preserve">   • </w:t>
      </w:r>
      <w:r>
        <w:rPr>
          <w:color w:val="262626"/>
          <w:sz w:val="19"/>
        </w:rPr>
        <w:t>Passo 2: Executar e validar o procedimento de Workaround no ambiente de testes/homologação.</w:t>
      </w:r>
    </w:p>
    <w:p>
      <w:pPr>
        <w:pStyle w:val="ListBullet"/>
        <w:spacing w:after="60" w:line="276" w:lineRule="auto"/>
      </w:pPr>
      <w:r>
        <w:rPr>
          <w:b/>
          <w:color w:val="002060"/>
          <w:sz w:val="19"/>
        </w:rPr>
        <w:t xml:space="preserve">   • </w:t>
      </w:r>
      <w:r>
        <w:rPr>
          <w:color w:val="262626"/>
          <w:sz w:val="19"/>
        </w:rPr>
        <w:t>Passo 3: Validar se o Workaround pode ser executado pelo Service Desk N1 ou se exige automação via script pré-autorizado.</w:t>
      </w:r>
    </w:p>
    <w:p>
      <w:pPr>
        <w:pStyle w:val="ListBullet"/>
        <w:spacing w:after="60" w:line="276" w:lineRule="auto"/>
      </w:pPr>
      <w:r>
        <w:rPr>
          <w:b/>
          <w:color w:val="002060"/>
          <w:sz w:val="19"/>
        </w:rPr>
        <w:t xml:space="preserve">   • </w:t>
      </w:r>
      <w:r>
        <w:rPr>
          <w:color w:val="262626"/>
          <w:sz w:val="19"/>
        </w:rPr>
        <w:t>Passo 4: Acessar a KEDB no ITSM e selecionar 'Criar Novo Artigo de Erro Conhecido (Known Error)'.</w:t>
      </w:r>
    </w:p>
    <w:p>
      <w:pPr>
        <w:pStyle w:val="ListBullet"/>
        <w:spacing w:after="60" w:line="276" w:lineRule="auto"/>
      </w:pPr>
      <w:r>
        <w:rPr>
          <w:b/>
          <w:color w:val="002060"/>
          <w:sz w:val="19"/>
        </w:rPr>
        <w:t xml:space="preserve">   • </w:t>
      </w:r>
      <w:r>
        <w:rPr>
          <w:color w:val="262626"/>
          <w:sz w:val="19"/>
        </w:rPr>
        <w:t>Passo 5: Redigir o artigo seguindo rigorosamente o padrão: Título Claro, Sintomas Identificadores, Causa Conhecida, Procedimento de Workaround e Passo a Passo de Restauração.</w:t>
      </w:r>
    </w:p>
    <w:p>
      <w:pPr>
        <w:pStyle w:val="ListBullet"/>
        <w:spacing w:after="60" w:line="276" w:lineRule="auto"/>
      </w:pPr>
      <w:r>
        <w:rPr>
          <w:b/>
          <w:color w:val="002060"/>
          <w:sz w:val="19"/>
        </w:rPr>
        <w:t xml:space="preserve">   • </w:t>
      </w:r>
      <w:r>
        <w:rPr>
          <w:color w:val="262626"/>
          <w:sz w:val="19"/>
        </w:rPr>
        <w:t>Passo 6: Submeter o artigo para revisão e homologação do Gestor de Problemas e da Liderança do N1.</w:t>
      </w:r>
    </w:p>
    <w:p>
      <w:pPr>
        <w:pStyle w:val="ListBullet"/>
        <w:spacing w:after="60" w:line="276" w:lineRule="auto"/>
      </w:pPr>
      <w:r>
        <w:rPr>
          <w:b/>
          <w:color w:val="002060"/>
          <w:sz w:val="19"/>
        </w:rPr>
        <w:t xml:space="preserve">   • </w:t>
      </w:r>
      <w:r>
        <w:rPr>
          <w:color w:val="262626"/>
          <w:sz w:val="19"/>
        </w:rPr>
        <w:t>Passo 7: Após aprovação, alterar o status do problema para 'Known Error' e publicar o artigo na KEDB com visibilidade para o Service Desk.</w:t>
      </w:r>
    </w:p>
    <w:p>
      <w:pPr>
        <w:pStyle w:val="ListBullet"/>
        <w:spacing w:after="60" w:line="276" w:lineRule="auto"/>
      </w:pPr>
      <w:r>
        <w:rPr>
          <w:b/>
          <w:color w:val="002060"/>
          <w:sz w:val="19"/>
        </w:rPr>
        <w:t xml:space="preserve">9. Perguntas de Verificação (Checklist): </w:t>
      </w:r>
      <w:r>
        <w:rPr>
          <w:color w:val="262626"/>
          <w:sz w:val="19"/>
        </w:rPr>
        <w:t>O Workaround foi testado e aprovado em homologação? O procedimento é seguro e não violará políticas de segurança da informação?</w:t>
      </w:r>
    </w:p>
    <w:p>
      <w:pPr>
        <w:pStyle w:val="ListBullet"/>
        <w:spacing w:after="60" w:line="276" w:lineRule="auto"/>
      </w:pPr>
      <w:r>
        <w:rPr>
          <w:b/>
          <w:color w:val="002060"/>
          <w:sz w:val="19"/>
        </w:rPr>
        <w:t xml:space="preserve">10. Regras de Negócio e Critérios de Decisão: </w:t>
      </w:r>
      <w:r>
        <w:rPr>
          <w:color w:val="262626"/>
          <w:sz w:val="19"/>
        </w:rPr>
        <w:t>Qualquer Workaround que exija bypass temporário de controle de segurança exige autorização expressa e formal do CISO registrada no ticket.</w:t>
      </w:r>
    </w:p>
    <w:p>
      <w:pPr>
        <w:pStyle w:val="ListBullet"/>
        <w:spacing w:after="60" w:line="276" w:lineRule="auto"/>
      </w:pPr>
      <w:r>
        <w:rPr>
          <w:b/>
          <w:color w:val="002060"/>
          <w:sz w:val="19"/>
        </w:rPr>
        <w:t xml:space="preserve">11. Exceções e Caminhos Alternativos: </w:t>
      </w:r>
      <w:r>
        <w:rPr>
          <w:color w:val="262626"/>
          <w:sz w:val="19"/>
        </w:rPr>
        <w:t>Se o Workaround for muito complexo para o N1, criar um script de automação de 1-clique no ITSM para execução segura pelo operador.</w:t>
      </w:r>
    </w:p>
    <w:p>
      <w:pPr>
        <w:pStyle w:val="ListBullet"/>
        <w:spacing w:after="60" w:line="276" w:lineRule="auto"/>
      </w:pPr>
      <w:r>
        <w:rPr>
          <w:b/>
          <w:color w:val="002060"/>
          <w:sz w:val="19"/>
        </w:rPr>
        <w:t xml:space="preserve">12. Prazos e SLAs de Execução: </w:t>
      </w:r>
      <w:r>
        <w:rPr>
          <w:color w:val="262626"/>
          <w:sz w:val="19"/>
        </w:rPr>
        <w:t>Elaboração e publicação de Workaround para PRB P1/P2 em até 24h após a identificação.</w:t>
      </w:r>
    </w:p>
    <w:p>
      <w:pPr>
        <w:pStyle w:val="ListBullet"/>
        <w:spacing w:after="60" w:line="276" w:lineRule="auto"/>
      </w:pPr>
      <w:r>
        <w:rPr>
          <w:b/>
          <w:color w:val="002060"/>
          <w:sz w:val="19"/>
        </w:rPr>
        <w:t xml:space="preserve">13. Saídas e Registros Produzidos: </w:t>
      </w:r>
      <w:r>
        <w:rPr>
          <w:color w:val="262626"/>
          <w:sz w:val="19"/>
        </w:rPr>
        <w:t>Artigo de Erro Conhecido publicado na KEDB sob status 'Ativo' e vinculado ao ticket PRB.</w:t>
      </w:r>
    </w:p>
    <w:p>
      <w:pPr>
        <w:pStyle w:val="ListBullet"/>
        <w:spacing w:after="60" w:line="276" w:lineRule="auto"/>
      </w:pPr>
      <w:r>
        <w:rPr>
          <w:b/>
          <w:color w:val="002060"/>
          <w:sz w:val="19"/>
        </w:rPr>
        <w:t xml:space="preserve">14. Evidências Auditáveis Geradas: </w:t>
      </w:r>
      <w:r>
        <w:rPr>
          <w:color w:val="262626"/>
          <w:sz w:val="19"/>
        </w:rPr>
        <w:t>Registro de aprovação da KEDB no ITSM com carimbo de data, hora e credencial dos aprovadores N3 e Gestor.</w:t>
      </w:r>
    </w:p>
    <w:p>
      <w:pPr>
        <w:pStyle w:val="ListBullet"/>
        <w:spacing w:after="60" w:line="276" w:lineRule="auto"/>
      </w:pPr>
      <w:r>
        <w:rPr>
          <w:b/>
          <w:color w:val="002060"/>
          <w:sz w:val="19"/>
        </w:rPr>
        <w:t xml:space="preserve">15. Controles Internos Aplicáveis: </w:t>
      </w:r>
      <w:r>
        <w:rPr>
          <w:color w:val="262626"/>
          <w:sz w:val="19"/>
        </w:rPr>
        <w:t>ISO 20000-1 Item 8.6.2; ITIL v4 Problem Management; COBIT 5 DSS03.03.</w:t>
      </w:r>
    </w:p>
    <w:p>
      <w:pPr>
        <w:pStyle w:val="ListBullet"/>
        <w:spacing w:after="60" w:line="276" w:lineRule="auto"/>
      </w:pPr>
      <w:r>
        <w:rPr>
          <w:b/>
          <w:color w:val="002060"/>
          <w:sz w:val="19"/>
        </w:rPr>
        <w:t xml:space="preserve">16. Critérios de Qualidade e Conclusão: </w:t>
      </w:r>
      <w:r>
        <w:rPr>
          <w:color w:val="262626"/>
          <w:sz w:val="19"/>
        </w:rPr>
        <w:t>Artigo claro, linguagem acessível ao N1, validado por teste prático e com 100% dos passos detalhados.</w:t>
      </w:r>
    </w:p>
    <w:p>
      <w:pPr>
        <w:pStyle w:val="ListBullet"/>
        <w:spacing w:after="60" w:line="276" w:lineRule="auto"/>
      </w:pPr>
      <w:r>
        <w:rPr>
          <w:b/>
          <w:color w:val="002060"/>
          <w:sz w:val="19"/>
        </w:rPr>
        <w:t xml:space="preserve">17. Indicadores (KPIs) Relacionados: </w:t>
      </w:r>
      <w:r>
        <w:rPr>
          <w:color w:val="262626"/>
          <w:sz w:val="19"/>
        </w:rPr>
        <w:t>% de Erros Conhecidos com Workaround Ativo; Taxa de Utilização de Artigos da KEDB pelo N1; FCR do Service Desk.</w:t>
      </w:r>
    </w:p>
    <w:p>
      <w:pPr>
        <w:pStyle w:val="ListBullet"/>
        <w:spacing w:after="60" w:line="276" w:lineRule="auto"/>
      </w:pPr>
      <w:r>
        <w:rPr>
          <w:b/>
          <w:color w:val="002060"/>
          <w:sz w:val="19"/>
        </w:rPr>
        <w:t xml:space="preserve">18. Interfaces com Outros Processos: </w:t>
      </w:r>
      <w:r>
        <w:rPr>
          <w:color w:val="262626"/>
          <w:sz w:val="19"/>
        </w:rPr>
        <w:t>Interface direta com Gestão de Incidentes (fornece instruções de resolução rápida ao N1).</w:t>
      </w:r>
    </w:p>
    <w:p>
      <w:pPr>
        <w:pStyle w:val="ListBullet"/>
        <w:spacing w:after="60" w:line="276" w:lineRule="auto"/>
      </w:pPr>
      <w:r>
        <w:rPr>
          <w:b/>
          <w:color w:val="002060"/>
          <w:sz w:val="19"/>
        </w:rPr>
        <w:t xml:space="preserve">19. Tratamento de Falhas e Desvios: </w:t>
      </w:r>
      <w:r>
        <w:rPr>
          <w:color w:val="262626"/>
          <w:sz w:val="19"/>
        </w:rPr>
        <w:t>Se o Workaround falhar durante a aplicação pelo N1 em um caso real, o ticket KEDB retorna ao N3 para ajuste imediato das instruções.</w:t>
      </w:r>
    </w:p>
    <w:p>
      <w:pPr>
        <w:pStyle w:val="ListBullet"/>
        <w:spacing w:after="60" w:line="276" w:lineRule="auto"/>
      </w:pPr>
      <w:r>
        <w:rPr>
          <w:b/>
          <w:color w:val="002060"/>
          <w:sz w:val="19"/>
        </w:rPr>
        <w:t xml:space="preserve">20. Exemplo Prático de Aplicação: </w:t>
      </w:r>
      <w:r>
        <w:rPr>
          <w:color w:val="262626"/>
          <w:sz w:val="19"/>
        </w:rPr>
        <w:t>Para o erro de leak de memória no ERP, o Workaround homologado consistiu na execução de um script que limpa o pool de conexões inativas a cada 4 horas (KB-2026-042).</w:t>
      </w:r>
    </w:p>
    <w:p>
      <w:pPr>
        <w:spacing w:after="120"/>
      </w:pPr>
    </w:p>
    <w:p>
      <w:pPr>
        <w:keepNext/>
        <w:spacing w:before="240" w:after="80"/>
      </w:pPr>
      <w:r>
        <w:rPr>
          <w:b/>
          <w:color w:val="4A607A"/>
          <w:sz w:val="25"/>
        </w:rPr>
        <w:t>POP-PRB-004 — Elaboração de RFC para Solução Definitiva e Acompanhamento de GMUD</w:t>
      </w:r>
    </w:p>
    <w:p>
      <w:pPr>
        <w:pStyle w:val="ListBullet"/>
        <w:spacing w:after="60" w:line="276" w:lineRule="auto"/>
      </w:pPr>
      <w:r>
        <w:rPr>
          <w:b/>
          <w:color w:val="002060"/>
          <w:sz w:val="19"/>
        </w:rPr>
        <w:t xml:space="preserve">1. Identificador &amp; Nome: </w:t>
      </w:r>
      <w:r>
        <w:rPr>
          <w:color w:val="262626"/>
          <w:sz w:val="19"/>
        </w:rPr>
        <w:t>POP-PRB-004 — Elaboração de RFC para Solução Definitiva e Acompanhamento de GMUD</w:t>
      </w:r>
    </w:p>
    <w:p>
      <w:pPr>
        <w:pStyle w:val="ListBullet"/>
        <w:spacing w:after="60" w:line="276" w:lineRule="auto"/>
      </w:pPr>
      <w:r>
        <w:rPr>
          <w:b/>
          <w:color w:val="002060"/>
          <w:sz w:val="19"/>
        </w:rPr>
        <w:t xml:space="preserve">2. Objetivo do Procedimento: </w:t>
      </w:r>
      <w:r>
        <w:rPr>
          <w:color w:val="262626"/>
          <w:sz w:val="19"/>
        </w:rPr>
        <w:t>Transformar a recomendação de solução definitiva oriunda da RCA em uma Requisição de Mudança (RFC) formal, acompanhando sua aprovação no CAB e testes pós-implantação.</w:t>
      </w:r>
    </w:p>
    <w:p>
      <w:pPr>
        <w:pStyle w:val="ListBullet"/>
        <w:spacing w:after="60" w:line="276" w:lineRule="auto"/>
      </w:pPr>
      <w:r>
        <w:rPr>
          <w:b/>
          <w:color w:val="002060"/>
          <w:sz w:val="19"/>
        </w:rPr>
        <w:t xml:space="preserve">3. Responsável pela Execução: </w:t>
      </w:r>
      <w:r>
        <w:rPr>
          <w:color w:val="262626"/>
          <w:sz w:val="19"/>
        </w:rPr>
        <w:t>Analista de Sustentação N3 / Gestor de Problemas</w:t>
      </w:r>
    </w:p>
    <w:p>
      <w:pPr>
        <w:pStyle w:val="ListBullet"/>
        <w:spacing w:after="60" w:line="276" w:lineRule="auto"/>
      </w:pPr>
      <w:r>
        <w:rPr>
          <w:b/>
          <w:color w:val="002060"/>
          <w:sz w:val="19"/>
        </w:rPr>
        <w:t xml:space="preserve">4. Responsáveis por Aprovação &amp; Consulta: </w:t>
      </w:r>
      <w:r>
        <w:rPr>
          <w:color w:val="262626"/>
          <w:sz w:val="19"/>
        </w:rPr>
        <w:t>Aprovação: Comitê de Mudanças (CAB) | Consulta: Arquitetura de TI e FinOps</w:t>
      </w:r>
    </w:p>
    <w:p>
      <w:pPr>
        <w:pStyle w:val="ListBullet"/>
        <w:spacing w:after="60" w:line="276" w:lineRule="auto"/>
      </w:pPr>
      <w:r>
        <w:rPr>
          <w:b/>
          <w:color w:val="002060"/>
          <w:sz w:val="19"/>
        </w:rPr>
        <w:t xml:space="preserve">5. Pré-requisitos Técnicos: </w:t>
      </w:r>
      <w:r>
        <w:rPr>
          <w:color w:val="262626"/>
          <w:sz w:val="19"/>
        </w:rPr>
        <w:t>Relatório RCA concluído; Acesso ao módulo de Gestão de Mudanças (GMUD) no ITSM.</w:t>
      </w:r>
    </w:p>
    <w:p>
      <w:pPr>
        <w:pStyle w:val="ListBullet"/>
        <w:spacing w:after="60" w:line="276" w:lineRule="auto"/>
      </w:pPr>
      <w:r>
        <w:rPr>
          <w:b/>
          <w:color w:val="002060"/>
          <w:sz w:val="19"/>
        </w:rPr>
        <w:t xml:space="preserve">6. Entradas Necessárias: </w:t>
      </w:r>
      <w:r>
        <w:rPr>
          <w:color w:val="262626"/>
          <w:sz w:val="19"/>
        </w:rPr>
        <w:t>Causa-raiz identificada (PRB); Especificação técnica da correção definitiva (código, patch, upgrade de hardware).</w:t>
      </w:r>
    </w:p>
    <w:p>
      <w:pPr>
        <w:pStyle w:val="ListBullet"/>
        <w:spacing w:after="60" w:line="276" w:lineRule="auto"/>
      </w:pPr>
      <w:r>
        <w:rPr>
          <w:b/>
          <w:color w:val="002060"/>
          <w:sz w:val="19"/>
        </w:rPr>
        <w:t xml:space="preserve">7. Ferramentas e Recursos Utilizados: </w:t>
      </w:r>
      <w:r>
        <w:rPr>
          <w:color w:val="262626"/>
          <w:sz w:val="19"/>
        </w:rPr>
        <w:t>Módulo de GMUD / ITSM; Repositório Git/CI-CD; Ambiente de Homologação.</w:t>
      </w:r>
    </w:p>
    <w:p>
      <w:pPr>
        <w:keepNext/>
        <w:spacing w:before="160" w:after="40"/>
      </w:pPr>
      <w:r>
        <w:rPr>
          <w:b/>
          <w:color w:val="C55A11"/>
          <w:sz w:val="22"/>
        </w:rPr>
        <w:t>8. Instruções Numeradas de Execução PASSO A PASSO:</w:t>
      </w:r>
    </w:p>
    <w:p>
      <w:pPr>
        <w:pStyle w:val="ListBullet"/>
        <w:spacing w:after="60" w:line="276" w:lineRule="auto"/>
      </w:pPr>
      <w:r>
        <w:rPr>
          <w:b/>
          <w:color w:val="002060"/>
          <w:sz w:val="19"/>
        </w:rPr>
        <w:t xml:space="preserve">   • </w:t>
      </w:r>
      <w:r>
        <w:rPr>
          <w:color w:val="262626"/>
          <w:sz w:val="19"/>
        </w:rPr>
        <w:t>Passo 1: Acessar a RFC vinculada ao ticket PRB no módulo de GMUD do ITSM.</w:t>
      </w:r>
    </w:p>
    <w:p>
      <w:pPr>
        <w:pStyle w:val="ListBullet"/>
        <w:spacing w:after="60" w:line="276" w:lineRule="auto"/>
      </w:pPr>
      <w:r>
        <w:rPr>
          <w:b/>
          <w:color w:val="002060"/>
          <w:sz w:val="19"/>
        </w:rPr>
        <w:t xml:space="preserve">   • </w:t>
      </w:r>
      <w:r>
        <w:rPr>
          <w:color w:val="262626"/>
          <w:sz w:val="19"/>
        </w:rPr>
        <w:t>Passo 2: Preencher as justificativas técnicas e financeiras da mudança com base nos dados de impacto do relatório RCA.</w:t>
      </w:r>
    </w:p>
    <w:p>
      <w:pPr>
        <w:pStyle w:val="ListBullet"/>
        <w:spacing w:after="60" w:line="276" w:lineRule="auto"/>
      </w:pPr>
      <w:r>
        <w:rPr>
          <w:b/>
          <w:color w:val="002060"/>
          <w:sz w:val="19"/>
        </w:rPr>
        <w:t xml:space="preserve">   • </w:t>
      </w:r>
      <w:r>
        <w:rPr>
          <w:color w:val="262626"/>
          <w:sz w:val="19"/>
        </w:rPr>
        <w:t>Passo 3: Anexar à RFC o Plano de Testes de Homologação, o Plano de Implantação e o Plano de Rollback detalhado.</w:t>
      </w:r>
    </w:p>
    <w:p>
      <w:pPr>
        <w:pStyle w:val="ListBullet"/>
        <w:spacing w:after="60" w:line="276" w:lineRule="auto"/>
      </w:pPr>
      <w:r>
        <w:rPr>
          <w:b/>
          <w:color w:val="002060"/>
          <w:sz w:val="19"/>
        </w:rPr>
        <w:t xml:space="preserve">   • </w:t>
      </w:r>
      <w:r>
        <w:rPr>
          <w:color w:val="262626"/>
          <w:sz w:val="19"/>
        </w:rPr>
        <w:t>Passo 4: Defender a RFC na reunião semanal do Comitê de Avaliação de Mudanças (CAB).</w:t>
      </w:r>
    </w:p>
    <w:p>
      <w:pPr>
        <w:pStyle w:val="ListBullet"/>
        <w:spacing w:after="60" w:line="276" w:lineRule="auto"/>
      </w:pPr>
      <w:r>
        <w:rPr>
          <w:b/>
          <w:color w:val="002060"/>
          <w:sz w:val="19"/>
        </w:rPr>
        <w:t xml:space="preserve">   • </w:t>
      </w:r>
      <w:r>
        <w:rPr>
          <w:color w:val="262626"/>
          <w:sz w:val="19"/>
        </w:rPr>
        <w:t>Passo 5: Acompanhar a execução da mudança durante a janela de manutenção programada.</w:t>
      </w:r>
    </w:p>
    <w:p>
      <w:pPr>
        <w:pStyle w:val="ListBullet"/>
        <w:spacing w:after="60" w:line="276" w:lineRule="auto"/>
      </w:pPr>
      <w:r>
        <w:rPr>
          <w:b/>
          <w:color w:val="002060"/>
          <w:sz w:val="19"/>
        </w:rPr>
        <w:t xml:space="preserve">   • </w:t>
      </w:r>
      <w:r>
        <w:rPr>
          <w:color w:val="262626"/>
          <w:sz w:val="19"/>
        </w:rPr>
        <w:t>Passo 6: Executar os testes funcionais de pós-implantação em conjunto com a equipe de qualidade/negócio.</w:t>
      </w:r>
    </w:p>
    <w:p>
      <w:pPr>
        <w:pStyle w:val="ListBullet"/>
        <w:spacing w:after="60" w:line="276" w:lineRule="auto"/>
      </w:pPr>
      <w:r>
        <w:rPr>
          <w:b/>
          <w:color w:val="002060"/>
          <w:sz w:val="19"/>
        </w:rPr>
        <w:t xml:space="preserve">   • </w:t>
      </w:r>
      <w:r>
        <w:rPr>
          <w:color w:val="262626"/>
          <w:sz w:val="19"/>
        </w:rPr>
        <w:t>Passo 7: Se a mudança for bem-sucedida, atualizar o status da RFC para 'Concluída com Sucesso' e avançar o ticket PRB para revisão final.</w:t>
      </w:r>
    </w:p>
    <w:p>
      <w:pPr>
        <w:pStyle w:val="ListBullet"/>
        <w:spacing w:after="60" w:line="276" w:lineRule="auto"/>
      </w:pPr>
      <w:r>
        <w:rPr>
          <w:b/>
          <w:color w:val="002060"/>
          <w:sz w:val="19"/>
        </w:rPr>
        <w:t xml:space="preserve">9. Perguntas de Verificação (Checklist): </w:t>
      </w:r>
      <w:r>
        <w:rPr>
          <w:color w:val="262626"/>
          <w:sz w:val="19"/>
        </w:rPr>
        <w:t>A RFC possui plano de rollback testado? A alteração foi homologada pelo ambiente de testes? Os riscos de colaterais foram avaliados?</w:t>
      </w:r>
    </w:p>
    <w:p>
      <w:pPr>
        <w:pStyle w:val="ListBullet"/>
        <w:spacing w:after="60" w:line="276" w:lineRule="auto"/>
      </w:pPr>
      <w:r>
        <w:rPr>
          <w:b/>
          <w:color w:val="002060"/>
          <w:sz w:val="19"/>
        </w:rPr>
        <w:t xml:space="preserve">10. Regras de Negócio e Critérios de Decisão: </w:t>
      </w:r>
      <w:r>
        <w:rPr>
          <w:color w:val="262626"/>
          <w:sz w:val="19"/>
        </w:rPr>
        <w:t>Toda RFC originada de PRB P1/P2 deve possuir prioridade de agendamento no CAB para a janela de manutenção mais próxima.</w:t>
      </w:r>
    </w:p>
    <w:p>
      <w:pPr>
        <w:pStyle w:val="ListBullet"/>
        <w:spacing w:after="60" w:line="276" w:lineRule="auto"/>
      </w:pPr>
      <w:r>
        <w:rPr>
          <w:b/>
          <w:color w:val="002060"/>
          <w:sz w:val="19"/>
        </w:rPr>
        <w:t xml:space="preserve">11. Exceções e Caminhos Alternativos: </w:t>
      </w:r>
      <w:r>
        <w:rPr>
          <w:color w:val="262626"/>
          <w:sz w:val="19"/>
        </w:rPr>
        <w:t>Se a mudança falhar em produção e exigir rollback, o ticket PRB deve retornar imediatamente ao status 'Em Investigação' para revisão da causa.</w:t>
      </w:r>
    </w:p>
    <w:p>
      <w:pPr>
        <w:pStyle w:val="ListBullet"/>
        <w:spacing w:after="60" w:line="276" w:lineRule="auto"/>
      </w:pPr>
      <w:r>
        <w:rPr>
          <w:b/>
          <w:color w:val="002060"/>
          <w:sz w:val="19"/>
        </w:rPr>
        <w:t xml:space="preserve">12. Prazos e SLAs de Execução: </w:t>
      </w:r>
      <w:r>
        <w:rPr>
          <w:color w:val="262626"/>
          <w:sz w:val="19"/>
        </w:rPr>
        <w:t>Abertura da RFC em até 48h após a conclusão da RCA. Acompanhamento do ciclo até o encerramento da janela.</w:t>
      </w:r>
    </w:p>
    <w:p>
      <w:pPr>
        <w:pStyle w:val="ListBullet"/>
        <w:spacing w:after="60" w:line="276" w:lineRule="auto"/>
      </w:pPr>
      <w:r>
        <w:rPr>
          <w:b/>
          <w:color w:val="002060"/>
          <w:sz w:val="19"/>
        </w:rPr>
        <w:t xml:space="preserve">13. Saídas e Registros Produzidos: </w:t>
      </w:r>
      <w:r>
        <w:rPr>
          <w:color w:val="262626"/>
          <w:sz w:val="19"/>
        </w:rPr>
        <w:t>RFC cadastrada no ITSM, aprovada no CAB e executada com sucesso.</w:t>
      </w:r>
    </w:p>
    <w:p>
      <w:pPr>
        <w:pStyle w:val="ListBullet"/>
        <w:spacing w:after="60" w:line="276" w:lineRule="auto"/>
      </w:pPr>
      <w:r>
        <w:rPr>
          <w:b/>
          <w:color w:val="002060"/>
          <w:sz w:val="19"/>
        </w:rPr>
        <w:t xml:space="preserve">14. Evidências Auditáveis Geradas: </w:t>
      </w:r>
      <w:r>
        <w:rPr>
          <w:color w:val="262626"/>
          <w:sz w:val="19"/>
        </w:rPr>
        <w:t>Log de aprovação do CAB, relatório de testes em homologação e log de execução da mudança em produção.</w:t>
      </w:r>
    </w:p>
    <w:p>
      <w:pPr>
        <w:pStyle w:val="ListBullet"/>
        <w:spacing w:after="60" w:line="276" w:lineRule="auto"/>
      </w:pPr>
      <w:r>
        <w:rPr>
          <w:b/>
          <w:color w:val="002060"/>
          <w:sz w:val="19"/>
        </w:rPr>
        <w:t xml:space="preserve">15. Controles Internos Aplicáveis: </w:t>
      </w:r>
      <w:r>
        <w:rPr>
          <w:color w:val="262626"/>
          <w:sz w:val="19"/>
        </w:rPr>
        <w:t>ISO 20000-1 Item 8.5.1 (Mudanças) e 8.6.2; SOX ITGC Change Management.</w:t>
      </w:r>
    </w:p>
    <w:p>
      <w:pPr>
        <w:pStyle w:val="ListBullet"/>
        <w:spacing w:after="60" w:line="276" w:lineRule="auto"/>
      </w:pPr>
      <w:r>
        <w:rPr>
          <w:b/>
          <w:color w:val="002060"/>
          <w:sz w:val="19"/>
        </w:rPr>
        <w:t xml:space="preserve">16. Critérios de Qualidade e Conclusão: </w:t>
      </w:r>
      <w:r>
        <w:rPr>
          <w:color w:val="262626"/>
          <w:sz w:val="19"/>
        </w:rPr>
        <w:t>Mudança executada dentro da janela planejada sem gerar novos incidentes em produção.</w:t>
      </w:r>
    </w:p>
    <w:p>
      <w:pPr>
        <w:pStyle w:val="ListBullet"/>
        <w:spacing w:after="60" w:line="276" w:lineRule="auto"/>
      </w:pPr>
      <w:r>
        <w:rPr>
          <w:b/>
          <w:color w:val="002060"/>
          <w:sz w:val="19"/>
        </w:rPr>
        <w:t xml:space="preserve">17. Indicadores (KPIs) Relacionados: </w:t>
      </w:r>
      <w:r>
        <w:rPr>
          <w:color w:val="262626"/>
          <w:sz w:val="19"/>
        </w:rPr>
        <w:t>Taxa de Resolução Definitiva de Problemas via Mudança; % de RFCs de Problemas Aprovadas de Primeira.</w:t>
      </w:r>
    </w:p>
    <w:p>
      <w:pPr>
        <w:pStyle w:val="ListBullet"/>
        <w:spacing w:after="60" w:line="276" w:lineRule="auto"/>
      </w:pPr>
      <w:r>
        <w:rPr>
          <w:b/>
          <w:color w:val="002060"/>
          <w:sz w:val="19"/>
        </w:rPr>
        <w:t xml:space="preserve">18. Interfaces com Outros Processos: </w:t>
      </w:r>
      <w:r>
        <w:rPr>
          <w:color w:val="262626"/>
          <w:sz w:val="19"/>
        </w:rPr>
        <w:t>Interface direta com Gestão de Mudanças e Liberações (GMUD).</w:t>
      </w:r>
    </w:p>
    <w:p>
      <w:pPr>
        <w:pStyle w:val="ListBullet"/>
        <w:spacing w:after="60" w:line="276" w:lineRule="auto"/>
      </w:pPr>
      <w:r>
        <w:rPr>
          <w:b/>
          <w:color w:val="002060"/>
          <w:sz w:val="19"/>
        </w:rPr>
        <w:t xml:space="preserve">19. Tratamento de Falhas e Desvios: </w:t>
      </w:r>
      <w:r>
        <w:rPr>
          <w:color w:val="262626"/>
          <w:sz w:val="19"/>
        </w:rPr>
        <w:t>Se o CAB rejeitar a RFC por falta de plano de rollback, o especialista N3 reformula o plano de reversão em até 24h e reencaminha o pedido.</w:t>
      </w:r>
    </w:p>
    <w:p>
      <w:pPr>
        <w:pStyle w:val="ListBullet"/>
        <w:spacing w:after="60" w:line="276" w:lineRule="auto"/>
      </w:pPr>
      <w:r>
        <w:rPr>
          <w:b/>
          <w:color w:val="002060"/>
          <w:sz w:val="19"/>
        </w:rPr>
        <w:t xml:space="preserve">20. Exemplo Prático de Aplicação: </w:t>
      </w:r>
      <w:r>
        <w:rPr>
          <w:color w:val="262626"/>
          <w:sz w:val="19"/>
        </w:rPr>
        <w:t>Para corrigir o leak de memória no ERP, a RFC-2026-881 applied a correção na classe Java de conexões, eliminando definitivamente a falha após aprovação no CAB.</w:t>
      </w:r>
    </w:p>
    <w:p>
      <w:pPr>
        <w:spacing w:after="120"/>
      </w:pPr>
    </w:p>
    <w:p>
      <w:pPr>
        <w:keepNext/>
        <w:spacing w:before="240" w:after="80"/>
      </w:pPr>
      <w:r>
        <w:rPr>
          <w:b/>
          <w:color w:val="4A607A"/>
          <w:sz w:val="25"/>
        </w:rPr>
        <w:t>POP-PRB-005 — Revisão Pós-Problema (PIR) e Encerramento de Registros</w:t>
      </w:r>
    </w:p>
    <w:p>
      <w:pPr>
        <w:pStyle w:val="ListBullet"/>
        <w:spacing w:after="60" w:line="276" w:lineRule="auto"/>
      </w:pPr>
      <w:r>
        <w:rPr>
          <w:b/>
          <w:color w:val="002060"/>
          <w:sz w:val="19"/>
        </w:rPr>
        <w:t xml:space="preserve">1. Identificador &amp; Nome: </w:t>
      </w:r>
      <w:r>
        <w:rPr>
          <w:color w:val="262626"/>
          <w:sz w:val="19"/>
        </w:rPr>
        <w:t>POP-PRB-005 — Revisão Pós-Problema (PIR) e Encerramento de Registros</w:t>
      </w:r>
    </w:p>
    <w:p>
      <w:pPr>
        <w:pStyle w:val="ListBullet"/>
        <w:spacing w:after="60" w:line="276" w:lineRule="auto"/>
      </w:pPr>
      <w:r>
        <w:rPr>
          <w:b/>
          <w:color w:val="002060"/>
          <w:sz w:val="19"/>
        </w:rPr>
        <w:t xml:space="preserve">2. Objetivo do Procedimento: </w:t>
      </w:r>
      <w:r>
        <w:rPr>
          <w:color w:val="262626"/>
          <w:sz w:val="19"/>
        </w:rPr>
        <w:t>Validar a eficácia da solução definitiva implantada, arquivar os artigos obsoletos da KEDB, registrar lições aprendidas e encerrar formalmente o problema.</w:t>
      </w:r>
    </w:p>
    <w:p>
      <w:pPr>
        <w:pStyle w:val="ListBullet"/>
        <w:spacing w:after="60" w:line="276" w:lineRule="auto"/>
      </w:pPr>
      <w:r>
        <w:rPr>
          <w:b/>
          <w:color w:val="002060"/>
          <w:sz w:val="19"/>
        </w:rPr>
        <w:t xml:space="preserve">3. Responsável pela Execução: </w:t>
      </w:r>
      <w:r>
        <w:rPr>
          <w:color w:val="262626"/>
          <w:sz w:val="19"/>
        </w:rPr>
        <w:t>Gestor de Problemas / Process Owner</w:t>
      </w:r>
    </w:p>
    <w:p>
      <w:pPr>
        <w:pStyle w:val="ListBullet"/>
        <w:spacing w:after="60" w:line="276" w:lineRule="auto"/>
      </w:pPr>
      <w:r>
        <w:rPr>
          <w:b/>
          <w:color w:val="002060"/>
          <w:sz w:val="19"/>
        </w:rPr>
        <w:t xml:space="preserve">4. Responsáveis por Aprovação &amp; Consulta: </w:t>
      </w:r>
      <w:r>
        <w:rPr>
          <w:color w:val="262626"/>
          <w:sz w:val="19"/>
        </w:rPr>
        <w:t>Aprovação: Gestor de Problemas e Dono do Serviço do Negócio | Consulta: N1, N2, N3</w:t>
      </w:r>
    </w:p>
    <w:p>
      <w:pPr>
        <w:pStyle w:val="ListBullet"/>
        <w:spacing w:after="60" w:line="276" w:lineRule="auto"/>
      </w:pPr>
      <w:r>
        <w:rPr>
          <w:b/>
          <w:color w:val="002060"/>
          <w:sz w:val="19"/>
        </w:rPr>
        <w:t xml:space="preserve">5. Pré-requisitos Técnicos: </w:t>
      </w:r>
      <w:r>
        <w:rPr>
          <w:color w:val="262626"/>
          <w:sz w:val="19"/>
        </w:rPr>
        <w:t>RFC concluída em produção; Período de observação mínimo concluído (14 a 30 dias sem reincidência).</w:t>
      </w:r>
    </w:p>
    <w:p>
      <w:pPr>
        <w:pStyle w:val="ListBullet"/>
        <w:spacing w:after="60" w:line="276" w:lineRule="auto"/>
      </w:pPr>
      <w:r>
        <w:rPr>
          <w:b/>
          <w:color w:val="002060"/>
          <w:sz w:val="19"/>
        </w:rPr>
        <w:t xml:space="preserve">6. Entradas Necessárias: </w:t>
      </w:r>
      <w:r>
        <w:rPr>
          <w:color w:val="262626"/>
          <w:sz w:val="19"/>
        </w:rPr>
        <w:t>Confirmação de execução bem-sucedida da GMUD; Dados de monitoramento de produção pós-mudança.</w:t>
      </w:r>
    </w:p>
    <w:p>
      <w:pPr>
        <w:pStyle w:val="ListBullet"/>
        <w:spacing w:after="60" w:line="276" w:lineRule="auto"/>
      </w:pPr>
      <w:r>
        <w:rPr>
          <w:b/>
          <w:color w:val="002060"/>
          <w:sz w:val="19"/>
        </w:rPr>
        <w:t xml:space="preserve">7. Ferramentas e Recursos Utilizados: </w:t>
      </w:r>
      <w:r>
        <w:rPr>
          <w:color w:val="262626"/>
          <w:sz w:val="19"/>
        </w:rPr>
        <w:t>Módulo Problem Management e KEDB no ITSM; Dashboard de Incidentes e Performance.</w:t>
      </w:r>
    </w:p>
    <w:p>
      <w:pPr>
        <w:keepNext/>
        <w:spacing w:before="160" w:after="40"/>
      </w:pPr>
      <w:r>
        <w:rPr>
          <w:b/>
          <w:color w:val="C55A11"/>
          <w:sz w:val="22"/>
        </w:rPr>
        <w:t>8. Instruções Numeradas de Execução PASSO A PASSO:</w:t>
      </w:r>
    </w:p>
    <w:p>
      <w:pPr>
        <w:pStyle w:val="ListBullet"/>
        <w:spacing w:after="60" w:line="276" w:lineRule="auto"/>
      </w:pPr>
      <w:r>
        <w:rPr>
          <w:b/>
          <w:color w:val="002060"/>
          <w:sz w:val="19"/>
        </w:rPr>
        <w:t xml:space="preserve">   • </w:t>
      </w:r>
      <w:r>
        <w:rPr>
          <w:color w:val="262626"/>
          <w:sz w:val="19"/>
        </w:rPr>
        <w:t>Passo 1: Iniciar o período de observação pós-mudança (mínimo de 14 dias para sistemas críticos).</w:t>
      </w:r>
    </w:p>
    <w:p>
      <w:pPr>
        <w:pStyle w:val="ListBullet"/>
        <w:spacing w:after="60" w:line="276" w:lineRule="auto"/>
      </w:pPr>
      <w:r>
        <w:rPr>
          <w:b/>
          <w:color w:val="002060"/>
          <w:sz w:val="19"/>
        </w:rPr>
        <w:t xml:space="preserve">   • </w:t>
      </w:r>
      <w:r>
        <w:rPr>
          <w:color w:val="262626"/>
          <w:sz w:val="19"/>
        </w:rPr>
        <w:t>Passo 2: Monitorar os indicadores de incidentes e logs do CI para confirmar a ausência total de reincidência dos sintomas.</w:t>
      </w:r>
    </w:p>
    <w:p>
      <w:pPr>
        <w:pStyle w:val="ListBullet"/>
        <w:spacing w:after="60" w:line="276" w:lineRule="auto"/>
      </w:pPr>
      <w:r>
        <w:rPr>
          <w:b/>
          <w:color w:val="002060"/>
          <w:sz w:val="19"/>
        </w:rPr>
        <w:t xml:space="preserve">   • </w:t>
      </w:r>
      <w:r>
        <w:rPr>
          <w:color w:val="262626"/>
          <w:sz w:val="19"/>
        </w:rPr>
        <w:t>Passo 3: Convocar a reunião de Revisão Pós-Problema (PIR - Post-Implementation Review) com os líderes técnicos.</w:t>
      </w:r>
    </w:p>
    <w:p>
      <w:pPr>
        <w:pStyle w:val="ListBullet"/>
        <w:spacing w:after="60" w:line="276" w:lineRule="auto"/>
      </w:pPr>
      <w:r>
        <w:rPr>
          <w:b/>
          <w:color w:val="002060"/>
          <w:sz w:val="19"/>
        </w:rPr>
        <w:t xml:space="preserve">   • </w:t>
      </w:r>
      <w:r>
        <w:rPr>
          <w:color w:val="262626"/>
          <w:sz w:val="19"/>
        </w:rPr>
        <w:t>Passo 4: Avaliar a eficácia da solução, a precisão da RCA e as lições aprendidas durante o ciclo do problema.</w:t>
      </w:r>
    </w:p>
    <w:p>
      <w:pPr>
        <w:pStyle w:val="ListBullet"/>
        <w:spacing w:after="60" w:line="276" w:lineRule="auto"/>
      </w:pPr>
      <w:r>
        <w:rPr>
          <w:b/>
          <w:color w:val="002060"/>
          <w:sz w:val="19"/>
        </w:rPr>
        <w:t xml:space="preserve">   • </w:t>
      </w:r>
      <w:r>
        <w:rPr>
          <w:color w:val="262626"/>
          <w:sz w:val="19"/>
        </w:rPr>
        <w:t>Passo 5: Atualizar ou arquivar/desativar os artigos de Erro Conhecido (Workarounds) na KEDB que se tornaram obsoletos após a solução definitiva.</w:t>
      </w:r>
    </w:p>
    <w:p>
      <w:pPr>
        <w:pStyle w:val="ListBullet"/>
        <w:spacing w:after="60" w:line="276" w:lineRule="auto"/>
      </w:pPr>
      <w:r>
        <w:rPr>
          <w:b/>
          <w:color w:val="002060"/>
          <w:sz w:val="19"/>
        </w:rPr>
        <w:t xml:space="preserve">   • </w:t>
      </w:r>
      <w:r>
        <w:rPr>
          <w:color w:val="262626"/>
          <w:sz w:val="19"/>
        </w:rPr>
        <w:t>Passo 6: Comunicar a solução definitiva e o encerramento do problema aos donos de processos de negócio afetados.</w:t>
      </w:r>
    </w:p>
    <w:p>
      <w:pPr>
        <w:pStyle w:val="ListBullet"/>
        <w:spacing w:after="60" w:line="276" w:lineRule="auto"/>
      </w:pPr>
      <w:r>
        <w:rPr>
          <w:b/>
          <w:color w:val="002060"/>
          <w:sz w:val="19"/>
        </w:rPr>
        <w:t xml:space="preserve">   • </w:t>
      </w:r>
      <w:r>
        <w:rPr>
          <w:color w:val="262626"/>
          <w:sz w:val="19"/>
        </w:rPr>
        <w:t>Passo 7: Alterar o status do ticket PRB no ITSM para 'Fechado / Resolvido Definitivamente' e registrar o relatório PIR final.</w:t>
      </w:r>
    </w:p>
    <w:p>
      <w:pPr>
        <w:pStyle w:val="ListBullet"/>
        <w:spacing w:after="60" w:line="276" w:lineRule="auto"/>
      </w:pPr>
      <w:r>
        <w:rPr>
          <w:b/>
          <w:color w:val="002060"/>
          <w:sz w:val="19"/>
        </w:rPr>
        <w:t xml:space="preserve">9. Perguntas de Verificação (Checklist): </w:t>
      </w:r>
      <w:r>
        <w:rPr>
          <w:color w:val="262626"/>
          <w:sz w:val="19"/>
        </w:rPr>
        <w:t>A falha reocorreu durante o período de observação? O artigo temporário da KEDB foi devidamente arquivado? O cliente de negócio validou a estabilidade?</w:t>
      </w:r>
    </w:p>
    <w:p>
      <w:pPr>
        <w:pStyle w:val="ListBullet"/>
        <w:spacing w:after="60" w:line="276" w:lineRule="auto"/>
      </w:pPr>
      <w:r>
        <w:rPr>
          <w:b/>
          <w:color w:val="002060"/>
          <w:sz w:val="19"/>
        </w:rPr>
        <w:t xml:space="preserve">10. Regras de Negócio e Critérios de Decisão: </w:t>
      </w:r>
      <w:r>
        <w:rPr>
          <w:color w:val="262626"/>
          <w:sz w:val="19"/>
        </w:rPr>
        <w:t>Se o problema reocorrer dentro do período de observação de 30 dias, o ticket PRB é reaberto automaticamente no status 'Investigação de Falha de Correção'.</w:t>
      </w:r>
    </w:p>
    <w:p>
      <w:pPr>
        <w:pStyle w:val="ListBullet"/>
        <w:spacing w:after="60" w:line="276" w:lineRule="auto"/>
      </w:pPr>
      <w:r>
        <w:rPr>
          <w:b/>
          <w:color w:val="002060"/>
          <w:sz w:val="19"/>
        </w:rPr>
        <w:t xml:space="preserve">11. Exceções e Caminhos Alternativos: </w:t>
      </w:r>
      <w:r>
        <w:rPr>
          <w:color w:val="262626"/>
          <w:sz w:val="19"/>
        </w:rPr>
        <w:t>Se a solução definitiva for inviável financeiramente ou tecnicamente, o problema pode ser encerrado sob o status 'Risco Aceito pelo Negócio', mantendo o Workaround permanente na KEDB.</w:t>
      </w:r>
    </w:p>
    <w:p>
      <w:pPr>
        <w:pStyle w:val="ListBullet"/>
        <w:spacing w:after="60" w:line="276" w:lineRule="auto"/>
      </w:pPr>
      <w:r>
        <w:rPr>
          <w:b/>
          <w:color w:val="002060"/>
          <w:sz w:val="19"/>
        </w:rPr>
        <w:t xml:space="preserve">12. Prazos e SLAs de Execução: </w:t>
      </w:r>
      <w:r>
        <w:rPr>
          <w:color w:val="262626"/>
          <w:sz w:val="19"/>
        </w:rPr>
        <w:t>Realização da PIR em até 5 dias úteis após o término do período de observação. Encerramento formal do PRB.</w:t>
      </w:r>
    </w:p>
    <w:p>
      <w:pPr>
        <w:pStyle w:val="ListBullet"/>
        <w:spacing w:after="60" w:line="276" w:lineRule="auto"/>
      </w:pPr>
      <w:r>
        <w:rPr>
          <w:b/>
          <w:color w:val="002060"/>
          <w:sz w:val="19"/>
        </w:rPr>
        <w:t xml:space="preserve">13. Saídas e Registros Produzidos: </w:t>
      </w:r>
      <w:r>
        <w:rPr>
          <w:color w:val="262626"/>
          <w:sz w:val="19"/>
        </w:rPr>
        <w:t>Relatório de PIR anexado ao PRB; Ticket PRB encerrado; KEDB atualizada.</w:t>
      </w:r>
    </w:p>
    <w:p>
      <w:pPr>
        <w:pStyle w:val="ListBullet"/>
        <w:spacing w:after="60" w:line="276" w:lineRule="auto"/>
      </w:pPr>
      <w:r>
        <w:rPr>
          <w:b/>
          <w:color w:val="002060"/>
          <w:sz w:val="19"/>
        </w:rPr>
        <w:t xml:space="preserve">14. Evidências Auditáveis Geradas: </w:t>
      </w:r>
      <w:r>
        <w:rPr>
          <w:color w:val="262626"/>
          <w:sz w:val="19"/>
        </w:rPr>
        <w:t>Log de encerramento do ticket no ITSM assinado digitalmente pelo Gestor de Problemas e pelo Dono do Serviço.</w:t>
      </w:r>
    </w:p>
    <w:p>
      <w:pPr>
        <w:pStyle w:val="ListBullet"/>
        <w:spacing w:after="60" w:line="276" w:lineRule="auto"/>
      </w:pPr>
      <w:r>
        <w:rPr>
          <w:b/>
          <w:color w:val="002060"/>
          <w:sz w:val="19"/>
        </w:rPr>
        <w:t xml:space="preserve">15. Controles Internos Aplicáveis: </w:t>
      </w:r>
      <w:r>
        <w:rPr>
          <w:color w:val="262626"/>
          <w:sz w:val="19"/>
        </w:rPr>
        <w:t>ISO 20000-1 Item 8.6.2 e 10.1 (Melhoria Contínua); ITIL v4 CSI.</w:t>
      </w:r>
    </w:p>
    <w:p>
      <w:pPr>
        <w:pStyle w:val="ListBullet"/>
        <w:spacing w:after="60" w:line="276" w:lineRule="auto"/>
      </w:pPr>
      <w:r>
        <w:rPr>
          <w:b/>
          <w:color w:val="002060"/>
          <w:sz w:val="19"/>
        </w:rPr>
        <w:t xml:space="preserve">16. Critérios de Qualidade e Conclusão: </w:t>
      </w:r>
      <w:r>
        <w:rPr>
          <w:color w:val="262626"/>
          <w:sz w:val="19"/>
        </w:rPr>
        <w:t>Confirmação técnica e do negócio de que o serviço está 100% estável e operando sem falhas.</w:t>
      </w:r>
    </w:p>
    <w:p>
      <w:pPr>
        <w:pStyle w:val="ListBullet"/>
        <w:spacing w:after="60" w:line="276" w:lineRule="auto"/>
      </w:pPr>
      <w:r>
        <w:rPr>
          <w:b/>
          <w:color w:val="002060"/>
          <w:sz w:val="19"/>
        </w:rPr>
        <w:t xml:space="preserve">17. Indicadores (KPIs) Relacionados: </w:t>
      </w:r>
      <w:r>
        <w:rPr>
          <w:color w:val="262626"/>
          <w:sz w:val="19"/>
        </w:rPr>
        <w:t>Taxa de Reincidência de Problemas Fechados (Meta: 0%); Satisfação do Cliente (CSAT).</w:t>
      </w:r>
    </w:p>
    <w:p>
      <w:pPr>
        <w:pStyle w:val="ListBullet"/>
        <w:spacing w:after="60" w:line="276" w:lineRule="auto"/>
      </w:pPr>
      <w:r>
        <w:rPr>
          <w:b/>
          <w:color w:val="002060"/>
          <w:sz w:val="19"/>
        </w:rPr>
        <w:t xml:space="preserve">18. Interfaces com Outros Processos: </w:t>
      </w:r>
      <w:r>
        <w:rPr>
          <w:color w:val="262626"/>
          <w:sz w:val="19"/>
        </w:rPr>
        <w:t>Interface com Avaliação de Desempenho e Melhoria Contínua (CSI).</w:t>
      </w:r>
    </w:p>
    <w:p>
      <w:pPr>
        <w:pStyle w:val="ListBullet"/>
        <w:spacing w:after="60" w:line="276" w:lineRule="auto"/>
      </w:pPr>
      <w:r>
        <w:rPr>
          <w:b/>
          <w:color w:val="002060"/>
          <w:sz w:val="19"/>
        </w:rPr>
        <w:t xml:space="preserve">19. Tratamento de Falhas e Desvios: </w:t>
      </w:r>
      <w:r>
        <w:rPr>
          <w:color w:val="262626"/>
          <w:sz w:val="19"/>
        </w:rPr>
        <w:t>Se o Dono do Serviço recusar o encerramento por insegurança quanto à estabilidade, o período de observação é estendido por mais 15 dias.</w:t>
      </w:r>
    </w:p>
    <w:p>
      <w:pPr>
        <w:pStyle w:val="ListBullet"/>
        <w:spacing w:after="60" w:line="276" w:lineRule="auto"/>
      </w:pPr>
      <w:r>
        <w:rPr>
          <w:b/>
          <w:color w:val="002060"/>
          <w:sz w:val="19"/>
        </w:rPr>
        <w:t xml:space="preserve">20. Exemplo Prático de Aplicação: </w:t>
      </w:r>
      <w:r>
        <w:rPr>
          <w:color w:val="262626"/>
          <w:sz w:val="19"/>
        </w:rPr>
        <w:t>Após 30 dias de aplicação do patch no ERP sem nenhum registro de travamento, o Gestor de Problemas encerra o PRB-2026-104 e arquiva o artigo KB-2026-042 da KEDB.</w:t>
      </w:r>
    </w:p>
    <w:p>
      <w:pPr>
        <w:spacing w:after="120"/>
      </w:pPr>
    </w:p>
    <w:p>
      <w:pPr>
        <w:keepNext/>
        <w:spacing w:before="360" w:after="120"/>
      </w:pPr>
      <w:r>
        <w:rPr>
          <w:b/>
          <w:color w:val="002060"/>
          <w:sz w:val="30"/>
        </w:rPr>
        <w:t>12. REGRAS DE NEGÓCIO, DECISÕES E ESCALONAMENTOS</w:t>
      </w:r>
    </w:p>
    <w:p>
      <w:pPr>
        <w:spacing w:after="120" w:line="276" w:lineRule="auto"/>
      </w:pPr>
      <w:r>
        <w:rPr>
          <w:color w:val="262626"/>
          <w:sz w:val="20"/>
        </w:rPr>
        <w:t>Regras Formais de Operação do Processo de Gestão de Problemas:</w:t>
      </w:r>
    </w:p>
    <w:p>
      <w:pPr>
        <w:pStyle w:val="ListBullet"/>
        <w:spacing w:after="60" w:line="276" w:lineRule="auto"/>
      </w:pPr>
      <w:r>
        <w:rPr>
          <w:b/>
          <w:color w:val="002060"/>
          <w:sz w:val="19"/>
        </w:rPr>
        <w:t xml:space="preserve">Regra de Abertura Obrigatória (Gatilho P1): </w:t>
      </w:r>
      <w:r>
        <w:rPr>
          <w:color w:val="262626"/>
          <w:sz w:val="19"/>
        </w:rPr>
        <w:t>Todo Incidente Grave (P1) encerra obrigatoriamente com a criação automática de um ticket de Problema (PRB) em até 24 horas.</w:t>
      </w:r>
    </w:p>
    <w:p>
      <w:pPr>
        <w:pStyle w:val="ListBullet"/>
        <w:spacing w:after="60" w:line="276" w:lineRule="auto"/>
      </w:pPr>
      <w:r>
        <w:rPr>
          <w:b/>
          <w:color w:val="002060"/>
          <w:sz w:val="19"/>
        </w:rPr>
        <w:t xml:space="preserve">Regra de Reincidência (3x30): </w:t>
      </w:r>
      <w:r>
        <w:rPr>
          <w:color w:val="262626"/>
          <w:sz w:val="19"/>
        </w:rPr>
        <w:t>Qualquer Item de Configuração (CI) que apresente 3 incidentes de Prioridade P2 ou P3 no período de 30 dias dispara um alerta de criação de PRB mandatória.</w:t>
      </w:r>
    </w:p>
    <w:p>
      <w:pPr>
        <w:pStyle w:val="ListBullet"/>
        <w:spacing w:after="60" w:line="276" w:lineRule="auto"/>
      </w:pPr>
      <w:r>
        <w:rPr>
          <w:b/>
          <w:color w:val="002060"/>
          <w:sz w:val="19"/>
        </w:rPr>
        <w:t xml:space="preserve">Alçada para Aceitação de Risco: </w:t>
      </w:r>
      <w:r>
        <w:rPr>
          <w:color w:val="262626"/>
          <w:sz w:val="19"/>
        </w:rPr>
        <w:t>Quando a causa-raiz for identificada, mas a correção definitiva for considerada inviável (devido a custo excessivo ou descontinuidade de software), a aceitação do risco exige assinatura formal do CISO, CIO e do Diretor da Área de Negócio afetada.</w:t>
      </w:r>
    </w:p>
    <w:p>
      <w:pPr>
        <w:pStyle w:val="ListBullet"/>
        <w:spacing w:after="60" w:line="276" w:lineRule="auto"/>
      </w:pPr>
      <w:r>
        <w:rPr>
          <w:b/>
          <w:color w:val="002060"/>
          <w:sz w:val="19"/>
        </w:rPr>
        <w:t xml:space="preserve">Validade de Artigos na KEDB: </w:t>
      </w:r>
      <w:r>
        <w:rPr>
          <w:color w:val="262626"/>
          <w:sz w:val="19"/>
        </w:rPr>
        <w:t>Todos os artigos de Erro Conhecido passam por revisão semestral obrigatória. Artigos vinculados a problemas resolvidos definitivamente via GMUD devem ser arquivados em até 5 dias úteis pós-PIR.</w:t>
      </w:r>
    </w:p>
    <w:p>
      <w:pPr>
        <w:keepNext/>
        <w:spacing w:before="360" w:after="120"/>
      </w:pPr>
      <w:r>
        <w:rPr>
          <w:b/>
          <w:color w:val="002060"/>
          <w:sz w:val="30"/>
        </w:rPr>
        <w:t>13. RISCOS, CONTROLES E EVIDÊNCIAS (MATRIZ RCSA)</w:t>
      </w:r>
    </w:p>
    <w:p>
      <w:pPr>
        <w:spacing w:after="120" w:line="276" w:lineRule="auto"/>
      </w:pPr>
      <w:r>
        <w:rPr>
          <w:color w:val="262626"/>
          <w:sz w:val="20"/>
        </w:rPr>
        <w:t>Abaixo apresenta-se a Matriz de Riscos, Controles e Evidências (RCSA) do processo, integrada às exigências de auditoria SOX e ISO 27001:</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592"/>
            <w:shd w:val="clear" w:color="auto" w:fill="002060"/>
            <w:tcMar>
              <w:top w:w="80" w:type="dxa"/>
              <w:bottom w:w="80" w:type="dxa"/>
              <w:left w:w="60" w:type="dxa"/>
              <w:right w:w="60" w:type="dxa"/>
            </w:tcMar>
          </w:tcPr>
          <w:p>
            <w:pPr>
              <w:jc w:val="center"/>
            </w:pPr>
            <w:r>
              <w:rPr>
                <w:b/>
                <w:color w:val="FFFFFF"/>
                <w:sz w:val="17"/>
              </w:rPr>
              <w:t>Risco Operacional / Processual</w:t>
            </w:r>
          </w:p>
        </w:tc>
        <w:tc>
          <w:tcPr>
            <w:tcW w:type="dxa" w:w="1728"/>
            <w:shd w:val="clear" w:color="auto" w:fill="002060"/>
            <w:tcMar>
              <w:top w:w="80" w:type="dxa"/>
              <w:bottom w:w="80" w:type="dxa"/>
              <w:left w:w="60" w:type="dxa"/>
              <w:right w:w="60" w:type="dxa"/>
            </w:tcMar>
          </w:tcPr>
          <w:p>
            <w:pPr>
              <w:jc w:val="center"/>
            </w:pPr>
            <w:r>
              <w:rPr>
                <w:b/>
                <w:color w:val="FFFFFF"/>
                <w:sz w:val="17"/>
              </w:rPr>
              <w:t>Impacto no Negócio</w:t>
            </w:r>
          </w:p>
        </w:tc>
        <w:tc>
          <w:tcPr>
            <w:tcW w:type="dxa" w:w="2592"/>
            <w:shd w:val="clear" w:color="auto" w:fill="002060"/>
            <w:tcMar>
              <w:top w:w="80" w:type="dxa"/>
              <w:bottom w:w="80" w:type="dxa"/>
              <w:left w:w="60" w:type="dxa"/>
              <w:right w:w="60" w:type="dxa"/>
            </w:tcMar>
          </w:tcPr>
          <w:p>
            <w:pPr>
              <w:jc w:val="center"/>
            </w:pPr>
            <w:r>
              <w:rPr>
                <w:b/>
                <w:color w:val="FFFFFF"/>
                <w:sz w:val="17"/>
              </w:rPr>
              <w:t>Controle Interno Mitigador</w:t>
            </w:r>
          </w:p>
        </w:tc>
        <w:tc>
          <w:tcPr>
            <w:tcW w:type="dxa" w:w="1152"/>
            <w:shd w:val="clear" w:color="auto" w:fill="002060"/>
            <w:tcMar>
              <w:top w:w="80" w:type="dxa"/>
              <w:bottom w:w="80" w:type="dxa"/>
              <w:left w:w="60" w:type="dxa"/>
              <w:right w:w="60" w:type="dxa"/>
            </w:tcMar>
          </w:tcPr>
          <w:p>
            <w:pPr>
              <w:jc w:val="center"/>
            </w:pPr>
            <w:r>
              <w:rPr>
                <w:b/>
                <w:color w:val="FFFFFF"/>
                <w:sz w:val="17"/>
              </w:rPr>
              <w:t>Frequência</w:t>
            </w:r>
          </w:p>
        </w:tc>
        <w:tc>
          <w:tcPr>
            <w:tcW w:type="dxa" w:w="1296"/>
            <w:shd w:val="clear" w:color="auto" w:fill="002060"/>
            <w:tcMar>
              <w:top w:w="80" w:type="dxa"/>
              <w:bottom w:w="80" w:type="dxa"/>
              <w:left w:w="60" w:type="dxa"/>
              <w:right w:w="60" w:type="dxa"/>
            </w:tcMar>
          </w:tcPr>
          <w:p>
            <w:pPr>
              <w:jc w:val="center"/>
            </w:pPr>
            <w:r>
              <w:rPr>
                <w:b/>
                <w:color w:val="FFFFFF"/>
                <w:sz w:val="17"/>
              </w:rPr>
              <w:t>Evidência Auditável</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rPr>
          <w:cantSplit/>
        </w:trPr>
        <w:tc>
          <w:tcPr>
            <w:tcW w:type="dxa" w:w="2592"/>
            <w:tcMar>
              <w:top w:w="60" w:type="dxa"/>
              <w:bottom w:w="60" w:type="dxa"/>
              <w:left w:w="60" w:type="dxa"/>
              <w:right w:w="60" w:type="dxa"/>
            </w:tcMar>
          </w:tcPr>
          <w:p>
            <w:r>
              <w:rPr>
                <w:color w:val="262626"/>
                <w:sz w:val="16"/>
              </w:rPr>
              <w:t>Investigação de causa-raiz encerrada sem identificação real do fator primário (RCA superficial).</w:t>
            </w:r>
          </w:p>
        </w:tc>
        <w:tc>
          <w:tcPr>
            <w:tcW w:type="dxa" w:w="1728"/>
            <w:tcMar>
              <w:top w:w="60" w:type="dxa"/>
              <w:bottom w:w="60" w:type="dxa"/>
              <w:left w:w="60" w:type="dxa"/>
              <w:right w:w="60" w:type="dxa"/>
            </w:tcMar>
          </w:tcPr>
          <w:p>
            <w:r>
              <w:rPr>
                <w:color w:val="262626"/>
                <w:sz w:val="16"/>
              </w:rPr>
              <w:t>Recorrência contínua de indisponibilidades graves no serviço.</w:t>
            </w:r>
          </w:p>
        </w:tc>
        <w:tc>
          <w:tcPr>
            <w:tcW w:type="dxa" w:w="2592"/>
            <w:tcMar>
              <w:top w:w="60" w:type="dxa"/>
              <w:bottom w:w="60" w:type="dxa"/>
              <w:left w:w="60" w:type="dxa"/>
              <w:right w:w="60" w:type="dxa"/>
            </w:tcMar>
          </w:tcPr>
          <w:p>
            <w:r>
              <w:rPr>
                <w:color w:val="262626"/>
                <w:sz w:val="16"/>
              </w:rPr>
              <w:t>Obrigação de validação da RCA por Arquiteto Sênior e apresentação de evidências de log/teste.</w:t>
            </w:r>
          </w:p>
        </w:tc>
        <w:tc>
          <w:tcPr>
            <w:tcW w:type="dxa" w:w="1152"/>
            <w:tcMar>
              <w:top w:w="60" w:type="dxa"/>
              <w:bottom w:w="60" w:type="dxa"/>
              <w:left w:w="60" w:type="dxa"/>
              <w:right w:w="60" w:type="dxa"/>
            </w:tcMar>
          </w:tcPr>
          <w:p>
            <w:r>
              <w:rPr>
                <w:color w:val="262626"/>
                <w:sz w:val="16"/>
              </w:rPr>
              <w:t>Por Incidente P1</w:t>
            </w:r>
          </w:p>
        </w:tc>
        <w:tc>
          <w:tcPr>
            <w:tcW w:type="dxa" w:w="1296"/>
            <w:tcMar>
              <w:top w:w="60" w:type="dxa"/>
              <w:bottom w:w="60" w:type="dxa"/>
              <w:left w:w="60" w:type="dxa"/>
              <w:right w:w="60" w:type="dxa"/>
            </w:tcMar>
          </w:tcPr>
          <w:p>
            <w:r>
              <w:rPr>
                <w:color w:val="262626"/>
                <w:sz w:val="16"/>
              </w:rPr>
              <w:t>Relatório RCA homologado anexado ao ticket PRB.</w:t>
            </w:r>
          </w:p>
        </w:tc>
      </w:tr>
      <w:tr>
        <w:trPr>
          <w:cantSplit/>
        </w:trPr>
        <w:tc>
          <w:tcPr>
            <w:tcW w:type="dxa" w:w="2592"/>
            <w:tcMar>
              <w:top w:w="60" w:type="dxa"/>
              <w:bottom w:w="60" w:type="dxa"/>
              <w:left w:w="60" w:type="dxa"/>
              <w:right w:w="60" w:type="dxa"/>
            </w:tcMar>
          </w:tcPr>
          <w:p>
            <w:r>
              <w:rPr>
                <w:color w:val="262626"/>
                <w:sz w:val="16"/>
              </w:rPr>
              <w:t>Workaround temporário inseguro publicado na KEDB (violando políticas de segurança).</w:t>
            </w:r>
          </w:p>
        </w:tc>
        <w:tc>
          <w:tcPr>
            <w:tcW w:type="dxa" w:w="1728"/>
            <w:tcMar>
              <w:top w:w="60" w:type="dxa"/>
              <w:bottom w:w="60" w:type="dxa"/>
              <w:left w:w="60" w:type="dxa"/>
              <w:right w:w="60" w:type="dxa"/>
            </w:tcMar>
          </w:tcPr>
          <w:p>
            <w:r>
              <w:rPr>
                <w:color w:val="262626"/>
                <w:sz w:val="16"/>
              </w:rPr>
              <w:t>Vulnerabilidade exposta e vazamento de dados em produção.</w:t>
            </w:r>
          </w:p>
        </w:tc>
        <w:tc>
          <w:tcPr>
            <w:tcW w:type="dxa" w:w="2592"/>
            <w:tcMar>
              <w:top w:w="60" w:type="dxa"/>
              <w:bottom w:w="60" w:type="dxa"/>
              <w:left w:w="60" w:type="dxa"/>
              <w:right w:w="60" w:type="dxa"/>
            </w:tcMar>
          </w:tcPr>
          <w:p>
            <w:r>
              <w:rPr>
                <w:color w:val="262626"/>
                <w:sz w:val="16"/>
              </w:rPr>
              <w:t>Revisão e aprovação prévia obrigatória do SOC/CISO para Workarounds que contornem regras.</w:t>
            </w:r>
          </w:p>
        </w:tc>
        <w:tc>
          <w:tcPr>
            <w:tcW w:type="dxa" w:w="1152"/>
            <w:tcMar>
              <w:top w:w="60" w:type="dxa"/>
              <w:bottom w:w="60" w:type="dxa"/>
              <w:left w:w="60" w:type="dxa"/>
              <w:right w:w="60" w:type="dxa"/>
            </w:tcMar>
          </w:tcPr>
          <w:p>
            <w:r>
              <w:rPr>
                <w:color w:val="262626"/>
                <w:sz w:val="16"/>
              </w:rPr>
              <w:t>Por Artigo KEDB</w:t>
            </w:r>
          </w:p>
        </w:tc>
        <w:tc>
          <w:tcPr>
            <w:tcW w:type="dxa" w:w="1296"/>
            <w:tcMar>
              <w:top w:w="60" w:type="dxa"/>
              <w:bottom w:w="60" w:type="dxa"/>
              <w:left w:w="60" w:type="dxa"/>
              <w:right w:w="60" w:type="dxa"/>
            </w:tcMar>
          </w:tcPr>
          <w:p>
            <w:r>
              <w:rPr>
                <w:color w:val="262626"/>
                <w:sz w:val="16"/>
              </w:rPr>
              <w:t>Log de aprovação do SOC no workflow do artigo na KEDB.</w:t>
            </w:r>
          </w:p>
        </w:tc>
      </w:tr>
      <w:tr>
        <w:trPr>
          <w:cantSplit/>
        </w:trPr>
        <w:tc>
          <w:tcPr>
            <w:tcW w:type="dxa" w:w="2592"/>
            <w:tcMar>
              <w:top w:w="60" w:type="dxa"/>
              <w:bottom w:w="60" w:type="dxa"/>
              <w:left w:w="60" w:type="dxa"/>
              <w:right w:w="60" w:type="dxa"/>
            </w:tcMar>
          </w:tcPr>
          <w:p>
            <w:r>
              <w:rPr>
                <w:color w:val="262626"/>
                <w:sz w:val="16"/>
              </w:rPr>
              <w:t>Ajuste de causa-raiz aplicado em produção sem registro de RFC (Mudança Não Autorizada).</w:t>
            </w:r>
          </w:p>
        </w:tc>
        <w:tc>
          <w:tcPr>
            <w:tcW w:type="dxa" w:w="1728"/>
            <w:tcMar>
              <w:top w:w="60" w:type="dxa"/>
              <w:bottom w:w="60" w:type="dxa"/>
              <w:left w:w="60" w:type="dxa"/>
              <w:right w:w="60" w:type="dxa"/>
            </w:tcMar>
          </w:tcPr>
          <w:p>
            <w:r>
              <w:rPr>
                <w:color w:val="262626"/>
                <w:sz w:val="16"/>
              </w:rPr>
              <w:t>Instabilidade sistêmica, falha no rollback e não conformidade SOX.</w:t>
            </w:r>
          </w:p>
        </w:tc>
        <w:tc>
          <w:tcPr>
            <w:tcW w:type="dxa" w:w="2592"/>
            <w:tcMar>
              <w:top w:w="60" w:type="dxa"/>
              <w:bottom w:w="60" w:type="dxa"/>
              <w:left w:w="60" w:type="dxa"/>
              <w:right w:w="60" w:type="dxa"/>
            </w:tcMar>
          </w:tcPr>
          <w:p>
            <w:r>
              <w:rPr>
                <w:color w:val="262626"/>
                <w:sz w:val="16"/>
              </w:rPr>
              <w:t>Bloqueio de deploy em produção sem RFC vinculada a ticket PRB aprovada no CAB.</w:t>
            </w:r>
          </w:p>
        </w:tc>
        <w:tc>
          <w:tcPr>
            <w:tcW w:type="dxa" w:w="1152"/>
            <w:tcMar>
              <w:top w:w="60" w:type="dxa"/>
              <w:bottom w:w="60" w:type="dxa"/>
              <w:left w:w="60" w:type="dxa"/>
              <w:right w:w="60" w:type="dxa"/>
            </w:tcMar>
          </w:tcPr>
          <w:p>
            <w:r>
              <w:rPr>
                <w:color w:val="262626"/>
                <w:sz w:val="16"/>
              </w:rPr>
              <w:t>Contínuo</w:t>
            </w:r>
          </w:p>
        </w:tc>
        <w:tc>
          <w:tcPr>
            <w:tcW w:type="dxa" w:w="1296"/>
            <w:tcMar>
              <w:top w:w="60" w:type="dxa"/>
              <w:bottom w:w="60" w:type="dxa"/>
              <w:left w:w="60" w:type="dxa"/>
              <w:right w:w="60" w:type="dxa"/>
            </w:tcMar>
          </w:tcPr>
          <w:p>
            <w:r>
              <w:rPr>
                <w:color w:val="262626"/>
                <w:sz w:val="16"/>
              </w:rPr>
              <w:t>Log da esteira CI/CD integrado ao Módulo GMUD/ITSM.</w:t>
            </w:r>
          </w:p>
        </w:tc>
      </w:tr>
      <w:tr>
        <w:trPr>
          <w:cantSplit/>
        </w:trPr>
        <w:tc>
          <w:tcPr>
            <w:tcW w:type="dxa" w:w="2592"/>
            <w:tcMar>
              <w:top w:w="60" w:type="dxa"/>
              <w:bottom w:w="60" w:type="dxa"/>
              <w:left w:w="60" w:type="dxa"/>
              <w:right w:w="60" w:type="dxa"/>
            </w:tcMar>
          </w:tcPr>
          <w:p>
            <w:r>
              <w:rPr>
                <w:color w:val="262626"/>
                <w:sz w:val="16"/>
              </w:rPr>
              <w:t>Acúmulo de erros conhecidos desatualizados ou incorretos na KEDB.</w:t>
            </w:r>
          </w:p>
        </w:tc>
        <w:tc>
          <w:tcPr>
            <w:tcW w:type="dxa" w:w="1728"/>
            <w:tcMar>
              <w:top w:w="60" w:type="dxa"/>
              <w:bottom w:w="60" w:type="dxa"/>
              <w:left w:w="60" w:type="dxa"/>
              <w:right w:w="60" w:type="dxa"/>
            </w:tcMar>
          </w:tcPr>
          <w:p>
            <w:r>
              <w:rPr>
                <w:color w:val="262626"/>
                <w:sz w:val="16"/>
              </w:rPr>
              <w:t>Service Desk aplica procedimentos errados, aumentando o MTTR.</w:t>
            </w:r>
          </w:p>
        </w:tc>
        <w:tc>
          <w:tcPr>
            <w:tcW w:type="dxa" w:w="2592"/>
            <w:tcMar>
              <w:top w:w="60" w:type="dxa"/>
              <w:bottom w:w="60" w:type="dxa"/>
              <w:left w:w="60" w:type="dxa"/>
              <w:right w:w="60" w:type="dxa"/>
            </w:tcMar>
          </w:tcPr>
          <w:p>
            <w:r>
              <w:rPr>
                <w:color w:val="262626"/>
                <w:sz w:val="16"/>
              </w:rPr>
              <w:t>Revisão semestral automatizada de artigos da KEDB e expiração de artigos obsoletos.</w:t>
            </w:r>
          </w:p>
        </w:tc>
        <w:tc>
          <w:tcPr>
            <w:tcW w:type="dxa" w:w="1152"/>
            <w:tcMar>
              <w:top w:w="60" w:type="dxa"/>
              <w:bottom w:w="60" w:type="dxa"/>
              <w:left w:w="60" w:type="dxa"/>
              <w:right w:w="60" w:type="dxa"/>
            </w:tcMar>
          </w:tcPr>
          <w:p>
            <w:r>
              <w:rPr>
                <w:color w:val="262626"/>
                <w:sz w:val="16"/>
              </w:rPr>
              <w:t>Semestral</w:t>
            </w:r>
          </w:p>
        </w:tc>
        <w:tc>
          <w:tcPr>
            <w:tcW w:type="dxa" w:w="1296"/>
            <w:tcMar>
              <w:top w:w="60" w:type="dxa"/>
              <w:bottom w:w="60" w:type="dxa"/>
              <w:left w:w="60" w:type="dxa"/>
              <w:right w:w="60" w:type="dxa"/>
            </w:tcMar>
          </w:tcPr>
          <w:p>
            <w:r>
              <w:rPr>
                <w:color w:val="262626"/>
                <w:sz w:val="16"/>
              </w:rPr>
              <w:t>Relatório de auditoria e saneamento da KEDB.</w:t>
            </w:r>
          </w:p>
        </w:tc>
      </w:tr>
    </w:tbl>
    <w:p>
      <w:pPr>
        <w:keepNext/>
        <w:spacing w:before="360" w:after="120"/>
      </w:pPr>
      <w:r>
        <w:rPr>
          <w:b/>
          <w:color w:val="002060"/>
          <w:sz w:val="30"/>
        </w:rPr>
        <w:t>14. DOCUMENTOS, FORMULÁRIOS, REGISTROS E FERRAMENTAS</w:t>
      </w:r>
    </w:p>
    <w:p>
      <w:pPr>
        <w:spacing w:after="120" w:line="276" w:lineRule="auto"/>
      </w:pPr>
      <w:r>
        <w:rPr>
          <w:color w:val="262626"/>
          <w:sz w:val="20"/>
        </w:rPr>
        <w:t>A operacionalização da Gestão de Problemas apoia-se no seguinte instrumental documental e tecnológico:</w:t>
      </w:r>
    </w:p>
    <w:p>
      <w:pPr>
        <w:pStyle w:val="ListBullet"/>
        <w:spacing w:after="60" w:line="276" w:lineRule="auto"/>
      </w:pPr>
      <w:r>
        <w:rPr>
          <w:b/>
          <w:color w:val="002060"/>
          <w:sz w:val="19"/>
        </w:rPr>
        <w:t xml:space="preserve">Formulário de Análise de Causa Raiz (RCA): </w:t>
      </w:r>
      <w:r>
        <w:rPr>
          <w:color w:val="262626"/>
          <w:sz w:val="19"/>
        </w:rPr>
        <w:t>Modelo padronizado contendo 5 Porquês, Diagrama de Ishikawa e Plano de Ação Preventivo (Anexo B).</w:t>
      </w:r>
    </w:p>
    <w:p>
      <w:pPr>
        <w:pStyle w:val="ListBullet"/>
        <w:spacing w:after="60" w:line="276" w:lineRule="auto"/>
      </w:pPr>
      <w:r>
        <w:rPr>
          <w:b/>
          <w:color w:val="002060"/>
          <w:sz w:val="19"/>
        </w:rPr>
        <w:t xml:space="preserve">Modelo de Artigo de Erro Conhecido (KEDB): </w:t>
      </w:r>
      <w:r>
        <w:rPr>
          <w:color w:val="262626"/>
          <w:sz w:val="19"/>
        </w:rPr>
        <w:t>Template estruturado para publicação de conhecimento no ITSM (Anexo C).</w:t>
      </w:r>
    </w:p>
    <w:p>
      <w:pPr>
        <w:pStyle w:val="ListBullet"/>
        <w:spacing w:after="60" w:line="276" w:lineRule="auto"/>
      </w:pPr>
      <w:r>
        <w:rPr>
          <w:b/>
          <w:color w:val="002060"/>
          <w:sz w:val="19"/>
        </w:rPr>
        <w:t xml:space="preserve">Módulo Problem Management do ITSM: </w:t>
      </w:r>
      <w:r>
        <w:rPr>
          <w:color w:val="262626"/>
          <w:sz w:val="19"/>
        </w:rPr>
        <w:t>Ferramenta centralizada para gestão do ciclo de vida dos tickets PRB e vinculo com CIs e RFCs.</w:t>
      </w:r>
    </w:p>
    <w:p>
      <w:pPr>
        <w:pStyle w:val="ListBullet"/>
        <w:spacing w:after="60" w:line="276" w:lineRule="auto"/>
      </w:pPr>
      <w:r>
        <w:rPr>
          <w:b/>
          <w:color w:val="002060"/>
          <w:sz w:val="19"/>
        </w:rPr>
        <w:t xml:space="preserve">Relatório de Revisão Pós-Problema (PIR): </w:t>
      </w:r>
      <w:r>
        <w:rPr>
          <w:color w:val="262626"/>
          <w:sz w:val="19"/>
        </w:rPr>
        <w:t>Documento de encerramento e registro de lições aprendidas.</w:t>
      </w:r>
    </w:p>
    <w:p>
      <w:pPr>
        <w:keepNext/>
        <w:spacing w:before="360" w:after="120"/>
      </w:pPr>
      <w:r>
        <w:rPr>
          <w:b/>
          <w:color w:val="002060"/>
          <w:sz w:val="30"/>
        </w:rPr>
        <w:t>15. REQUISITOS DE CONFIGURAÇÃO E INTEGRAÇÃO TECNOLÓGICA</w:t>
      </w:r>
    </w:p>
    <w:p>
      <w:pPr>
        <w:spacing w:after="120" w:line="276" w:lineRule="auto"/>
      </w:pPr>
      <w:r>
        <w:rPr>
          <w:color w:val="262626"/>
          <w:sz w:val="20"/>
        </w:rPr>
        <w:t>Para garantir a automação e a rastreabilidade do processo na ferramenta ITSM, devem ser parametrizados os seguintes requisitos técnicos:</w:t>
      </w:r>
    </w:p>
    <w:p>
      <w:pPr>
        <w:pStyle w:val="ListBullet"/>
        <w:spacing w:after="60" w:line="276" w:lineRule="auto"/>
      </w:pPr>
      <w:r>
        <w:rPr>
          <w:b/>
          <w:color w:val="002060"/>
          <w:sz w:val="19"/>
        </w:rPr>
        <w:t xml:space="preserve">Relação N:N entre Incidentes e Problemas: </w:t>
      </w:r>
      <w:r>
        <w:rPr>
          <w:color w:val="262626"/>
          <w:sz w:val="19"/>
        </w:rPr>
        <w:t>Permitir que múltiplos tickets de Incidentes (INC) sejam vinculados a um único ticket de Problema (PRB).</w:t>
      </w:r>
    </w:p>
    <w:p>
      <w:pPr>
        <w:pStyle w:val="ListBullet"/>
        <w:spacing w:after="60" w:line="276" w:lineRule="auto"/>
      </w:pPr>
      <w:r>
        <w:rPr>
          <w:b/>
          <w:color w:val="002060"/>
          <w:sz w:val="19"/>
        </w:rPr>
        <w:t xml:space="preserve">Automação de Notificação de KEDB para o N1: </w:t>
      </w:r>
      <w:r>
        <w:rPr>
          <w:color w:val="262626"/>
          <w:sz w:val="19"/>
        </w:rPr>
        <w:t>Quando um operador do Service Desk selecionar um CI no atendimento de um Incidente, o ITSM deve exibir em pop-up os artigos de Erro Conhecido (KEDB) ativos vinculados àquele CI.</w:t>
      </w:r>
    </w:p>
    <w:p>
      <w:pPr>
        <w:pStyle w:val="ListBullet"/>
        <w:spacing w:after="60" w:line="276" w:lineRule="auto"/>
      </w:pPr>
      <w:r>
        <w:rPr>
          <w:b/>
          <w:color w:val="002060"/>
          <w:sz w:val="19"/>
        </w:rPr>
        <w:t xml:space="preserve">Integração PRB ➔ GMUD (RFC): </w:t>
      </w:r>
      <w:r>
        <w:rPr>
          <w:color w:val="262626"/>
          <w:sz w:val="19"/>
        </w:rPr>
        <w:t>Botão de ação direta no ticket PRB para gerar uma Solicitação de Mudança (RFC) herdando automaticamente a descrição do CI, causa-raiz e justificativa técnica.</w:t>
      </w:r>
    </w:p>
    <w:p>
      <w:pPr>
        <w:keepNext/>
        <w:spacing w:before="360" w:after="120"/>
      </w:pPr>
      <w:r>
        <w:rPr>
          <w:b/>
          <w:color w:val="002060"/>
          <w:sz w:val="30"/>
        </w:rPr>
        <w:t>16. INDICADORES, FÓRMULAS, FONTES DE DADOS E METAS PROPOSTAS</w:t>
      </w:r>
    </w:p>
    <w:p>
      <w:pPr>
        <w:spacing w:after="120" w:line="276" w:lineRule="auto"/>
      </w:pPr>
      <w:r>
        <w:rPr>
          <w:color w:val="262626"/>
          <w:sz w:val="20"/>
        </w:rPr>
        <w:t>Painel de Indicadores de Desempenho (KPIs) para monitoramento do processo: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592"/>
            <w:shd w:val="clear" w:color="auto" w:fill="002060"/>
            <w:tcMar>
              <w:top w:w="80" w:type="dxa"/>
              <w:bottom w:w="80" w:type="dxa"/>
              <w:left w:w="60" w:type="dxa"/>
              <w:right w:w="60" w:type="dxa"/>
            </w:tcMar>
          </w:tcPr>
          <w:p>
            <w:pPr>
              <w:jc w:val="center"/>
            </w:pPr>
            <w:r>
              <w:rPr>
                <w:b/>
                <w:color w:val="FFFFFF"/>
                <w:sz w:val="17"/>
              </w:rPr>
              <w:t>Indicador (KPI)</w:t>
            </w:r>
          </w:p>
        </w:tc>
        <w:tc>
          <w:tcPr>
            <w:tcW w:type="dxa" w:w="2880"/>
            <w:shd w:val="clear" w:color="auto" w:fill="002060"/>
            <w:tcMar>
              <w:top w:w="80" w:type="dxa"/>
              <w:bottom w:w="80" w:type="dxa"/>
              <w:left w:w="60" w:type="dxa"/>
              <w:right w:w="60" w:type="dxa"/>
            </w:tcMar>
          </w:tcPr>
          <w:p>
            <w:pPr>
              <w:jc w:val="center"/>
            </w:pPr>
            <w:r>
              <w:rPr>
                <w:b/>
                <w:color w:val="FFFFFF"/>
                <w:sz w:val="17"/>
              </w:rPr>
              <w:t>Fórmula de Cálculo</w:t>
            </w:r>
          </w:p>
        </w:tc>
        <w:tc>
          <w:tcPr>
            <w:tcW w:type="dxa" w:w="1584"/>
            <w:shd w:val="clear" w:color="auto" w:fill="002060"/>
            <w:tcMar>
              <w:top w:w="80" w:type="dxa"/>
              <w:bottom w:w="80" w:type="dxa"/>
              <w:left w:w="60" w:type="dxa"/>
              <w:right w:w="60" w:type="dxa"/>
            </w:tcMar>
          </w:tcPr>
          <w:p>
            <w:pPr>
              <w:jc w:val="center"/>
            </w:pPr>
            <w:r>
              <w:rPr>
                <w:b/>
                <w:color w:val="FFFFFF"/>
                <w:sz w:val="17"/>
              </w:rPr>
              <w:t>Fonte de Dados</w:t>
            </w:r>
          </w:p>
        </w:tc>
        <w:tc>
          <w:tcPr>
            <w:tcW w:type="dxa" w:w="1152"/>
            <w:shd w:val="clear" w:color="auto" w:fill="002060"/>
            <w:tcMar>
              <w:top w:w="80" w:type="dxa"/>
              <w:bottom w:w="80" w:type="dxa"/>
              <w:left w:w="60" w:type="dxa"/>
              <w:right w:w="60" w:type="dxa"/>
            </w:tcMar>
          </w:tcPr>
          <w:p>
            <w:pPr>
              <w:jc w:val="center"/>
            </w:pPr>
            <w:r>
              <w:rPr>
                <w:b/>
                <w:color w:val="FFFFFF"/>
                <w:sz w:val="17"/>
              </w:rPr>
              <w:t>Meta Proposta</w:t>
            </w:r>
          </w:p>
        </w:tc>
        <w:tc>
          <w:tcPr>
            <w:tcW w:type="dxa" w:w="1152"/>
            <w:shd w:val="clear" w:color="auto" w:fill="002060"/>
            <w:tcMar>
              <w:top w:w="80" w:type="dxa"/>
              <w:bottom w:w="80" w:type="dxa"/>
              <w:left w:w="60" w:type="dxa"/>
              <w:right w:w="60" w:type="dxa"/>
            </w:tcMar>
          </w:tcPr>
          <w:p>
            <w:pPr>
              <w:jc w:val="center"/>
            </w:pPr>
            <w:r>
              <w:rPr>
                <w:b/>
                <w:color w:val="FFFFFF"/>
                <w:sz w:val="17"/>
              </w:rPr>
              <w:t>Periodicidade</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rPr>
          <w:cantSplit/>
        </w:trPr>
        <w:tc>
          <w:tcPr>
            <w:tcW w:type="dxa" w:w="2592"/>
            <w:tcMar>
              <w:top w:w="60" w:type="dxa"/>
              <w:bottom w:w="60" w:type="dxa"/>
              <w:left w:w="60" w:type="dxa"/>
              <w:right w:w="60" w:type="dxa"/>
            </w:tcMar>
          </w:tcPr>
          <w:p>
            <w:r>
              <w:rPr>
                <w:color w:val="262626"/>
                <w:sz w:val="16"/>
              </w:rPr>
              <w:t>Redução de Incidentes Recorrentes (%)</w:t>
            </w:r>
          </w:p>
        </w:tc>
        <w:tc>
          <w:tcPr>
            <w:tcW w:type="dxa" w:w="2880"/>
            <w:tcMar>
              <w:top w:w="60" w:type="dxa"/>
              <w:bottom w:w="60" w:type="dxa"/>
              <w:left w:w="60" w:type="dxa"/>
              <w:right w:w="60" w:type="dxa"/>
            </w:tcMar>
          </w:tcPr>
          <w:p>
            <w:r>
              <w:rPr>
                <w:color w:val="262626"/>
                <w:sz w:val="16"/>
              </w:rPr>
              <w:t>[(Incid. Recorrentes Mês Anterior - Mês Atual) ÷ Mês Anterior] × 100</w:t>
            </w:r>
          </w:p>
        </w:tc>
        <w:tc>
          <w:tcPr>
            <w:tcW w:type="dxa" w:w="1584"/>
            <w:tcMar>
              <w:top w:w="60" w:type="dxa"/>
              <w:bottom w:w="60" w:type="dxa"/>
              <w:left w:w="60" w:type="dxa"/>
              <w:right w:w="60" w:type="dxa"/>
            </w:tcMar>
          </w:tcPr>
          <w:p>
            <w:r>
              <w:rPr>
                <w:color w:val="262626"/>
                <w:sz w:val="16"/>
              </w:rPr>
              <w:t>Módulo Incidentes / ITSM</w:t>
            </w:r>
          </w:p>
        </w:tc>
        <w:tc>
          <w:tcPr>
            <w:tcW w:type="dxa" w:w="1152"/>
            <w:tcMar>
              <w:top w:w="60" w:type="dxa"/>
              <w:bottom w:w="60" w:type="dxa"/>
              <w:left w:w="60" w:type="dxa"/>
              <w:right w:w="60" w:type="dxa"/>
            </w:tcMar>
          </w:tcPr>
          <w:p>
            <w:r>
              <w:rPr>
                <w:color w:val="262626"/>
                <w:sz w:val="16"/>
              </w:rPr>
              <w:t>≥ 35% de redução</w:t>
            </w:r>
          </w:p>
        </w:tc>
        <w:tc>
          <w:tcPr>
            <w:tcW w:type="dxa" w:w="1152"/>
            <w:tcMar>
              <w:top w:w="60" w:type="dxa"/>
              <w:bottom w:w="60" w:type="dxa"/>
              <w:left w:w="60" w:type="dxa"/>
              <w:right w:w="60" w:type="dxa"/>
            </w:tcMar>
          </w:tcPr>
          <w:p>
            <w:r>
              <w:rPr>
                <w:color w:val="262626"/>
                <w:sz w:val="16"/>
              </w:rPr>
              <w:t>Mensal</w:t>
            </w:r>
          </w:p>
        </w:tc>
      </w:tr>
      <w:tr>
        <w:trPr>
          <w:cantSplit/>
        </w:trPr>
        <w:tc>
          <w:tcPr>
            <w:tcW w:type="dxa" w:w="2592"/>
            <w:tcMar>
              <w:top w:w="60" w:type="dxa"/>
              <w:bottom w:w="60" w:type="dxa"/>
              <w:left w:w="60" w:type="dxa"/>
              <w:right w:w="60" w:type="dxa"/>
            </w:tcMar>
          </w:tcPr>
          <w:p>
            <w:r>
              <w:rPr>
                <w:color w:val="262626"/>
                <w:sz w:val="16"/>
              </w:rPr>
              <w:t>Tempo Médio p/ Diagnóstico de Causa Raiz (MTTRCA)</w:t>
            </w:r>
          </w:p>
        </w:tc>
        <w:tc>
          <w:tcPr>
            <w:tcW w:type="dxa" w:w="2880"/>
            <w:tcMar>
              <w:top w:w="60" w:type="dxa"/>
              <w:bottom w:w="60" w:type="dxa"/>
              <w:left w:w="60" w:type="dxa"/>
              <w:right w:w="60" w:type="dxa"/>
            </w:tcMar>
          </w:tcPr>
          <w:p>
            <w:r>
              <w:rPr>
                <w:color w:val="262626"/>
                <w:sz w:val="16"/>
              </w:rPr>
              <w:t>Soma do tempo de investigação RCA das PRBs ÷ Total de PRBs concluídas</w:t>
            </w:r>
          </w:p>
        </w:tc>
        <w:tc>
          <w:tcPr>
            <w:tcW w:type="dxa" w:w="1584"/>
            <w:tcMar>
              <w:top w:w="60" w:type="dxa"/>
              <w:bottom w:w="60" w:type="dxa"/>
              <w:left w:w="60" w:type="dxa"/>
              <w:right w:w="60" w:type="dxa"/>
            </w:tcMar>
          </w:tcPr>
          <w:p>
            <w:r>
              <w:rPr>
                <w:color w:val="262626"/>
                <w:sz w:val="16"/>
              </w:rPr>
              <w:t>Módulo Problem Management</w:t>
            </w:r>
          </w:p>
        </w:tc>
        <w:tc>
          <w:tcPr>
            <w:tcW w:type="dxa" w:w="1152"/>
            <w:tcMar>
              <w:top w:w="60" w:type="dxa"/>
              <w:bottom w:w="60" w:type="dxa"/>
              <w:left w:w="60" w:type="dxa"/>
              <w:right w:w="60" w:type="dxa"/>
            </w:tcMar>
          </w:tcPr>
          <w:p>
            <w:r>
              <w:rPr>
                <w:color w:val="262626"/>
                <w:sz w:val="16"/>
              </w:rPr>
              <w:t>≤ 5 dias úteis (PRB P1)</w:t>
            </w:r>
          </w:p>
        </w:tc>
        <w:tc>
          <w:tcPr>
            <w:tcW w:type="dxa" w:w="1152"/>
            <w:tcMar>
              <w:top w:w="60" w:type="dxa"/>
              <w:bottom w:w="60" w:type="dxa"/>
              <w:left w:w="60" w:type="dxa"/>
              <w:right w:w="60" w:type="dxa"/>
            </w:tcMar>
          </w:tcPr>
          <w:p>
            <w:r>
              <w:rPr>
                <w:color w:val="262626"/>
                <w:sz w:val="16"/>
              </w:rPr>
              <w:t>Mensal</w:t>
            </w:r>
          </w:p>
        </w:tc>
      </w:tr>
      <w:tr>
        <w:trPr>
          <w:cantSplit/>
        </w:trPr>
        <w:tc>
          <w:tcPr>
            <w:tcW w:type="dxa" w:w="2592"/>
            <w:tcMar>
              <w:top w:w="60" w:type="dxa"/>
              <w:bottom w:w="60" w:type="dxa"/>
              <w:left w:w="60" w:type="dxa"/>
              <w:right w:w="60" w:type="dxa"/>
            </w:tcMar>
          </w:tcPr>
          <w:p>
            <w:r>
              <w:rPr>
                <w:color w:val="262626"/>
                <w:sz w:val="16"/>
              </w:rPr>
              <w:t>Taxa de Cobertura de Erros Conhecidos (KEDB)</w:t>
            </w:r>
          </w:p>
        </w:tc>
        <w:tc>
          <w:tcPr>
            <w:tcW w:type="dxa" w:w="2880"/>
            <w:tcMar>
              <w:top w:w="60" w:type="dxa"/>
              <w:bottom w:w="60" w:type="dxa"/>
              <w:left w:w="60" w:type="dxa"/>
              <w:right w:w="60" w:type="dxa"/>
            </w:tcMar>
          </w:tcPr>
          <w:p>
            <w:r>
              <w:rPr>
                <w:color w:val="262626"/>
                <w:sz w:val="16"/>
              </w:rPr>
              <w:t>(Total de PRBs com Workaround na KEDB ÷ Total de PRBs ativas) × 100</w:t>
            </w:r>
          </w:p>
        </w:tc>
        <w:tc>
          <w:tcPr>
            <w:tcW w:type="dxa" w:w="1584"/>
            <w:tcMar>
              <w:top w:w="60" w:type="dxa"/>
              <w:bottom w:w="60" w:type="dxa"/>
              <w:left w:w="60" w:type="dxa"/>
              <w:right w:w="60" w:type="dxa"/>
            </w:tcMar>
          </w:tcPr>
          <w:p>
            <w:r>
              <w:rPr>
                <w:color w:val="262626"/>
                <w:sz w:val="16"/>
              </w:rPr>
              <w:t>KEDB / ITSM</w:t>
            </w:r>
          </w:p>
        </w:tc>
        <w:tc>
          <w:tcPr>
            <w:tcW w:type="dxa" w:w="1152"/>
            <w:tcMar>
              <w:top w:w="60" w:type="dxa"/>
              <w:bottom w:w="60" w:type="dxa"/>
              <w:left w:w="60" w:type="dxa"/>
              <w:right w:w="60" w:type="dxa"/>
            </w:tcMar>
          </w:tcPr>
          <w:p>
            <w:r>
              <w:rPr>
                <w:color w:val="262626"/>
                <w:sz w:val="16"/>
              </w:rPr>
              <w:t>≥ 90%</w:t>
            </w:r>
          </w:p>
        </w:tc>
        <w:tc>
          <w:tcPr>
            <w:tcW w:type="dxa" w:w="1152"/>
            <w:tcMar>
              <w:top w:w="60" w:type="dxa"/>
              <w:bottom w:w="60" w:type="dxa"/>
              <w:left w:w="60" w:type="dxa"/>
              <w:right w:w="60" w:type="dxa"/>
            </w:tcMar>
          </w:tcPr>
          <w:p>
            <w:r>
              <w:rPr>
                <w:color w:val="262626"/>
                <w:sz w:val="16"/>
              </w:rPr>
              <w:t>Mensal</w:t>
            </w:r>
          </w:p>
        </w:tc>
      </w:tr>
      <w:tr>
        <w:trPr>
          <w:cantSplit/>
        </w:trPr>
        <w:tc>
          <w:tcPr>
            <w:tcW w:type="dxa" w:w="2592"/>
            <w:tcMar>
              <w:top w:w="60" w:type="dxa"/>
              <w:bottom w:w="60" w:type="dxa"/>
              <w:left w:w="60" w:type="dxa"/>
              <w:right w:w="60" w:type="dxa"/>
            </w:tcMar>
          </w:tcPr>
          <w:p>
            <w:r>
              <w:rPr>
                <w:color w:val="262626"/>
                <w:sz w:val="16"/>
              </w:rPr>
              <w:t>Taxa de Resolução Definitiva via GMUD</w:t>
            </w:r>
          </w:p>
        </w:tc>
        <w:tc>
          <w:tcPr>
            <w:tcW w:type="dxa" w:w="2880"/>
            <w:tcMar>
              <w:top w:w="60" w:type="dxa"/>
              <w:bottom w:w="60" w:type="dxa"/>
              <w:left w:w="60" w:type="dxa"/>
              <w:right w:w="60" w:type="dxa"/>
            </w:tcMar>
          </w:tcPr>
          <w:p>
            <w:r>
              <w:rPr>
                <w:color w:val="262626"/>
                <w:sz w:val="16"/>
              </w:rPr>
              <w:t>(Total de PRBs encerrados pós-RFC ÷ Total de PRBs) × 100</w:t>
            </w:r>
          </w:p>
        </w:tc>
        <w:tc>
          <w:tcPr>
            <w:tcW w:type="dxa" w:w="1584"/>
            <w:tcMar>
              <w:top w:w="60" w:type="dxa"/>
              <w:bottom w:w="60" w:type="dxa"/>
              <w:left w:w="60" w:type="dxa"/>
              <w:right w:w="60" w:type="dxa"/>
            </w:tcMar>
          </w:tcPr>
          <w:p>
            <w:r>
              <w:rPr>
                <w:color w:val="262626"/>
                <w:sz w:val="16"/>
              </w:rPr>
              <w:t>Módulo GMUD e PRB</w:t>
            </w:r>
          </w:p>
        </w:tc>
        <w:tc>
          <w:tcPr>
            <w:tcW w:type="dxa" w:w="1152"/>
            <w:tcMar>
              <w:top w:w="60" w:type="dxa"/>
              <w:bottom w:w="60" w:type="dxa"/>
              <w:left w:w="60" w:type="dxa"/>
              <w:right w:w="60" w:type="dxa"/>
            </w:tcMar>
          </w:tcPr>
          <w:p>
            <w:r>
              <w:rPr>
                <w:color w:val="262626"/>
                <w:sz w:val="16"/>
              </w:rPr>
              <w:t>≥ 80%</w:t>
            </w:r>
          </w:p>
        </w:tc>
        <w:tc>
          <w:tcPr>
            <w:tcW w:type="dxa" w:w="1152"/>
            <w:tcMar>
              <w:top w:w="60" w:type="dxa"/>
              <w:bottom w:w="60" w:type="dxa"/>
              <w:left w:w="60" w:type="dxa"/>
              <w:right w:w="60" w:type="dxa"/>
            </w:tcMar>
          </w:tcPr>
          <w:p>
            <w:r>
              <w:rPr>
                <w:color w:val="262626"/>
                <w:sz w:val="16"/>
              </w:rPr>
              <w:t>Trimestral</w:t>
            </w:r>
          </w:p>
        </w:tc>
      </w:tr>
      <w:tr>
        <w:trPr>
          <w:cantSplit/>
        </w:trPr>
        <w:tc>
          <w:tcPr>
            <w:tcW w:type="dxa" w:w="2592"/>
            <w:tcMar>
              <w:top w:w="60" w:type="dxa"/>
              <w:bottom w:w="60" w:type="dxa"/>
              <w:left w:w="60" w:type="dxa"/>
              <w:right w:w="60" w:type="dxa"/>
            </w:tcMar>
          </w:tcPr>
          <w:p>
            <w:r>
              <w:rPr>
                <w:color w:val="262626"/>
                <w:sz w:val="16"/>
              </w:rPr>
              <w:t>Taxa de Reincidência Pós-Fechamento</w:t>
            </w:r>
          </w:p>
        </w:tc>
        <w:tc>
          <w:tcPr>
            <w:tcW w:type="dxa" w:w="2880"/>
            <w:tcMar>
              <w:top w:w="60" w:type="dxa"/>
              <w:bottom w:w="60" w:type="dxa"/>
              <w:left w:w="60" w:type="dxa"/>
              <w:right w:w="60" w:type="dxa"/>
            </w:tcMar>
          </w:tcPr>
          <w:p>
            <w:r>
              <w:rPr>
                <w:color w:val="262626"/>
                <w:sz w:val="16"/>
              </w:rPr>
              <w:t>(PRBs reabertos em até 30 dias pós-PIR ÷ Total de PRBs encerrados) × 100</w:t>
            </w:r>
          </w:p>
        </w:tc>
        <w:tc>
          <w:tcPr>
            <w:tcW w:type="dxa" w:w="1584"/>
            <w:tcMar>
              <w:top w:w="60" w:type="dxa"/>
              <w:bottom w:w="60" w:type="dxa"/>
              <w:left w:w="60" w:type="dxa"/>
              <w:right w:w="60" w:type="dxa"/>
            </w:tcMar>
          </w:tcPr>
          <w:p>
            <w:r>
              <w:rPr>
                <w:color w:val="262626"/>
                <w:sz w:val="16"/>
              </w:rPr>
              <w:t>Módulo Problem Management</w:t>
            </w:r>
          </w:p>
        </w:tc>
        <w:tc>
          <w:tcPr>
            <w:tcW w:type="dxa" w:w="1152"/>
            <w:tcMar>
              <w:top w:w="60" w:type="dxa"/>
              <w:bottom w:w="60" w:type="dxa"/>
              <w:left w:w="60" w:type="dxa"/>
              <w:right w:w="60" w:type="dxa"/>
            </w:tcMar>
          </w:tcPr>
          <w:p>
            <w:r>
              <w:rPr>
                <w:color w:val="262626"/>
                <w:sz w:val="16"/>
              </w:rPr>
              <w:t>0%</w:t>
            </w:r>
          </w:p>
        </w:tc>
        <w:tc>
          <w:tcPr>
            <w:tcW w:type="dxa" w:w="1152"/>
            <w:tcMar>
              <w:top w:w="60" w:type="dxa"/>
              <w:bottom w:w="60" w:type="dxa"/>
              <w:left w:w="60" w:type="dxa"/>
              <w:right w:w="60" w:type="dxa"/>
            </w:tcMar>
          </w:tcPr>
          <w:p>
            <w:r>
              <w:rPr>
                <w:color w:val="262626"/>
                <w:sz w:val="16"/>
              </w:rPr>
              <w:t>Mensal</w:t>
            </w:r>
          </w:p>
        </w:tc>
      </w:tr>
    </w:tbl>
    <w:p>
      <w:pPr>
        <w:keepNext/>
        <w:spacing w:before="360" w:after="120"/>
      </w:pPr>
      <w:r>
        <w:t>17. PLANO DE IMPLANTAÇÃO (ROADMAP INDICATIVO DE 60 DIAS)</w:t>
      </w:r>
    </w:p>
    <w:p>
      <w:pPr>
        <w:spacing w:after="120" w:line="276" w:lineRule="auto"/>
      </w:pPr>
      <w:r>
        <w:rPr>
          <w:color w:val="262626"/>
          <w:sz w:val="20"/>
        </w:rPr>
        <w:t>Cronograma estruturado para implantação em 4 fases sequenciais de 15 dias:</w:t>
      </w:r>
    </w:p>
    <w:p>
      <w:pPr>
        <w:pStyle w:val="ListBullet"/>
        <w:spacing w:after="60" w:line="276" w:lineRule="auto"/>
      </w:pPr>
      <w:r>
        <w:rPr>
          <w:b/>
          <w:color w:val="002060"/>
          <w:sz w:val="19"/>
        </w:rPr>
        <w:t xml:space="preserve">Dias 01 a 15 (Fase 1 - Governança e Configuração ITSM): </w:t>
      </w:r>
      <w:r>
        <w:rPr>
          <w:color w:val="262626"/>
          <w:sz w:val="19"/>
        </w:rPr>
        <w:t>Publicação da Política Corporativa (Anexo A), parametrização dos formulários de PRB e KEDB no ITSM e nomeação do Gestor de Problemas.</w:t>
      </w:r>
    </w:p>
    <w:p>
      <w:pPr>
        <w:pStyle w:val="ListBullet"/>
        <w:spacing w:after="60" w:line="276" w:lineRule="auto"/>
      </w:pPr>
      <w:r>
        <w:rPr>
          <w:b/>
          <w:color w:val="002060"/>
          <w:sz w:val="19"/>
        </w:rPr>
        <w:t xml:space="preserve">Dias 16 a 30 (Fase 2 - Capacitação e Piloto RCA): </w:t>
      </w:r>
      <w:r>
        <w:rPr>
          <w:color w:val="262626"/>
          <w:sz w:val="19"/>
        </w:rPr>
        <w:t>Treinamento das equipes N1, N2 e N3 no padrão RCA (5 Porquês e Ishikawa) e condução piloto de investigação para os últimos 5 incidentes P1 do trimestre.</w:t>
      </w:r>
    </w:p>
    <w:p>
      <w:pPr>
        <w:pStyle w:val="ListBullet"/>
        <w:spacing w:after="60" w:line="276" w:lineRule="auto"/>
      </w:pPr>
      <w:r>
        <w:rPr>
          <w:b/>
          <w:color w:val="002060"/>
          <w:sz w:val="19"/>
        </w:rPr>
        <w:t xml:space="preserve">Dias 31 a 45 (Fase 3 - Saneamento e Carga da KEDB): </w:t>
      </w:r>
      <w:r>
        <w:rPr>
          <w:color w:val="262626"/>
          <w:sz w:val="19"/>
        </w:rPr>
        <w:t>Povoamento inicial da KEDB com os 30 erros conhecidos mais frequentes e ativação dos alertas de suporte ao N1.</w:t>
      </w:r>
    </w:p>
    <w:p>
      <w:pPr>
        <w:pStyle w:val="ListBullet"/>
        <w:spacing w:after="60" w:line="276" w:lineRule="auto"/>
      </w:pPr>
      <w:r>
        <w:rPr>
          <w:b/>
          <w:color w:val="002060"/>
          <w:sz w:val="19"/>
        </w:rPr>
        <w:t xml:space="preserve">Dias 46 a 60 (Fase 4 - Go-Live e Operação Assistida): </w:t>
      </w:r>
      <w:r>
        <w:rPr>
          <w:color w:val="262626"/>
          <w:sz w:val="19"/>
        </w:rPr>
        <w:t>Ativação total do fluxo oficial, integração com o CAB (GMUD) e emissão do primeiro relatório executivo de KPIs do processo.</w:t>
      </w:r>
    </w:p>
    <w:p>
      <w:pPr>
        <w:keepNext/>
        <w:spacing w:before="360" w:after="120"/>
      </w:pPr>
      <w:r>
        <w:rPr>
          <w:b/>
          <w:color w:val="002060"/>
          <w:sz w:val="30"/>
        </w:rPr>
        <w:t>18. PLANO DE COMUNICAÇÃO E CAPACITAÇÃO</w:t>
      </w:r>
    </w:p>
    <w:p>
      <w:pPr>
        <w:spacing w:after="120" w:line="276" w:lineRule="auto"/>
      </w:pPr>
      <w:r>
        <w:rPr>
          <w:color w:val="262626"/>
          <w:sz w:val="20"/>
        </w:rPr>
        <w:t>Estratégia de aculturamento e treinamento para garantir a adoção da engenharia de causa-raiz na organização (Anexo E).</w:t>
      </w:r>
    </w:p>
    <w:p>
      <w:pPr>
        <w:keepNext/>
        <w:spacing w:before="360" w:after="120"/>
      </w:pPr>
      <w:r>
        <w:rPr>
          <w:b/>
          <w:color w:val="002060"/>
          <w:sz w:val="30"/>
        </w:rPr>
        <w:t>19. TESTES, CENÁRIOS E CRITÉRIOS DE ACEITE</w:t>
      </w:r>
    </w:p>
    <w:p>
      <w:pPr>
        <w:spacing w:after="120" w:line="276" w:lineRule="auto"/>
      </w:pPr>
      <w:r>
        <w:rPr>
          <w:color w:val="262626"/>
          <w:sz w:val="20"/>
        </w:rPr>
        <w:t>Cenários de Teste de Validação Própria antes do Go-Live:</w:t>
      </w:r>
    </w:p>
    <w:p>
      <w:pPr>
        <w:pStyle w:val="ListBullet"/>
        <w:spacing w:after="60" w:line="276" w:lineRule="auto"/>
      </w:pPr>
      <w:r>
        <w:rPr>
          <w:b/>
          <w:color w:val="002060"/>
          <w:sz w:val="19"/>
        </w:rPr>
        <w:t xml:space="preserve">Cenário 1 (Abertura Reativa P1): </w:t>
      </w:r>
      <w:r>
        <w:rPr>
          <w:color w:val="262626"/>
          <w:sz w:val="19"/>
        </w:rPr>
        <w:t>Simular o encerramento de um incidente grave no ITSM e verificar se a automação dispara a abertura do ticket PRB no status 'Em Investigação' com dados vinculados.</w:t>
      </w:r>
    </w:p>
    <w:p>
      <w:pPr>
        <w:pStyle w:val="ListBullet"/>
        <w:spacing w:after="60" w:line="276" w:lineRule="auto"/>
      </w:pPr>
      <w:r>
        <w:rPr>
          <w:b/>
          <w:color w:val="002060"/>
          <w:sz w:val="19"/>
        </w:rPr>
        <w:t xml:space="preserve">Cenário 2 (Uso da KEDB pelo N1): </w:t>
      </w:r>
      <w:r>
        <w:rPr>
          <w:color w:val="262626"/>
          <w:sz w:val="19"/>
        </w:rPr>
        <w:t>Simular a abertura de um incidente no Service Desk selecionando um CI com Erro Conhecido ativo e validar se o pop-up com o Workaround é exibido na tela do atendente.</w:t>
      </w:r>
    </w:p>
    <w:p>
      <w:pPr>
        <w:keepNext/>
        <w:spacing w:before="360" w:after="120"/>
      </w:pPr>
      <w:r>
        <w:rPr>
          <w:b/>
          <w:color w:val="002060"/>
          <w:sz w:val="30"/>
        </w:rPr>
        <w:t>20. ENTRADA EM OPERAÇÃO E ESTABILIZAÇÃO</w:t>
      </w:r>
    </w:p>
    <w:p>
      <w:pPr>
        <w:spacing w:after="120" w:line="276" w:lineRule="auto"/>
      </w:pPr>
      <w:r>
        <w:rPr>
          <w:color w:val="262626"/>
          <w:sz w:val="20"/>
        </w:rPr>
        <w:t>Durante os primeiros 30 dias pós Go-Live (Período de Hypercare), o Gestor de Problemas realizará reuniões diárias de 15 minutos (*Daily Huddle*) com o time N3 para acompanhar as investigações em andamento e destravar pendências de testes de Workarounds.</w:t>
      </w:r>
    </w:p>
    <w:p>
      <w:pPr>
        <w:keepNext/>
        <w:spacing w:before="360" w:after="120"/>
      </w:pPr>
      <w:r>
        <w:rPr>
          <w:b/>
          <w:color w:val="002060"/>
          <w:sz w:val="30"/>
        </w:rPr>
        <w:t>21. ROTINAS DE MONITORAMENTO E SUSTENTAÇÃO</w:t>
      </w:r>
    </w:p>
    <w:p>
      <w:pPr>
        <w:spacing w:after="120" w:line="276" w:lineRule="auto"/>
      </w:pPr>
      <w:r>
        <w:rPr>
          <w:color w:val="262626"/>
          <w:sz w:val="20"/>
        </w:rPr>
        <w:t>Ritos Operacionais de Governança do Processo:</w:t>
      </w:r>
    </w:p>
    <w:p>
      <w:pPr>
        <w:pStyle w:val="ListBullet"/>
        <w:spacing w:after="60" w:line="276" w:lineRule="auto"/>
      </w:pPr>
      <w:r>
        <w:rPr>
          <w:b/>
          <w:color w:val="002060"/>
          <w:sz w:val="19"/>
        </w:rPr>
        <w:t xml:space="preserve">Reunião Semanal de Status de Problemas (30 min): </w:t>
      </w:r>
      <w:r>
        <w:rPr>
          <w:color w:val="262626"/>
          <w:sz w:val="19"/>
        </w:rPr>
        <w:t>Alinhamento entre Gestor de Problemas e Líderes N3 para repassar o andamento das RCAs de PRBs P1 e P2.</w:t>
      </w:r>
    </w:p>
    <w:p>
      <w:pPr>
        <w:pStyle w:val="ListBullet"/>
        <w:spacing w:after="60" w:line="276" w:lineRule="auto"/>
      </w:pPr>
      <w:r>
        <w:rPr>
          <w:b/>
          <w:color w:val="002060"/>
          <w:sz w:val="19"/>
        </w:rPr>
        <w:t xml:space="preserve">Auditoria Semestral de Saneamento da KEDB: </w:t>
      </w:r>
      <w:r>
        <w:rPr>
          <w:color w:val="262626"/>
          <w:sz w:val="19"/>
        </w:rPr>
        <w:t>Revisão e limpeza de artigos obsoletos, duplicados ou com procedimentos ultrapassados.</w:t>
      </w:r>
    </w:p>
    <w:p>
      <w:pPr>
        <w:keepNext/>
        <w:spacing w:before="360" w:after="120"/>
      </w:pPr>
      <w:r>
        <w:rPr>
          <w:b/>
          <w:color w:val="002060"/>
          <w:sz w:val="30"/>
        </w:rPr>
        <w:t>22. AUDITORIA, REVISÃO E MELHORIA CONTÍNUA (CSI)</w:t>
      </w:r>
    </w:p>
    <w:p>
      <w:pPr>
        <w:spacing w:after="120" w:line="276" w:lineRule="auto"/>
      </w:pPr>
      <w:r>
        <w:rPr>
          <w:color w:val="262626"/>
          <w:sz w:val="20"/>
        </w:rPr>
        <w:t>Avaliação anual do processo frente aos requisitos da ISO/IEC 20000-1 (Item 8.6.2) e auditoria interna de compliance SOX, alimentando o Registro de Melhoria Contínua (CIR).</w:t>
      </w:r>
    </w:p>
    <w:p>
      <w:pPr>
        <w:keepNext/>
        <w:spacing w:before="360" w:after="120"/>
      </w:pPr>
      <w:r>
        <w:rPr>
          <w:b/>
          <w:color w:val="002060"/>
          <w:sz w:val="30"/>
        </w:rPr>
        <w:t>23. ANEXOS OPERACIONAIS E INSTRUMENTOS PRÁTICOS (KIT TURN-KEY)</w:t>
      </w:r>
    </w:p>
    <w:p>
      <w:pPr>
        <w:spacing w:after="120" w:line="276" w:lineRule="auto"/>
      </w:pPr>
      <w:r>
        <w:rPr>
          <w:color w:val="262626"/>
          <w:sz w:val="20"/>
        </w:rPr>
        <w:t>Abaixo apresentam-se os 5 Anexos Operacionais completos e prontos para uso imediato.</w:t>
      </w:r>
    </w:p>
    <w:p>
      <w:pPr>
        <w:keepNext/>
        <w:spacing w:before="240" w:after="80"/>
      </w:pPr>
      <w:r>
        <w:rPr>
          <w:b/>
          <w:color w:val="4A607A"/>
          <w:sz w:val="25"/>
        </w:rPr>
        <w:t>ANEXO A — MINUTA DA POLÍTICA CORPORATIVA DE GESTÃO DE PROBLEMAS E KEDB</w:t>
      </w:r>
    </w:p>
    <w:tbl>
      <w:tblPr>
        <w:tblW w:type="auto" w:w="0"/>
        <w:jc w:val="center"/>
        <w:tblLayout w:type="fixed"/>
        <w:tblLook w:firstColumn="1" w:firstRow="1" w:lastColumn="0" w:lastRow="0" w:noHBand="0" w:noVBand="1" w:val="04A0"/>
      </w:tblPr>
      <w:tblGrid>
        <w:gridCol w:w="9360"/>
      </w:tblGrid>
      <w:tr>
        <w:tc>
          <w:tcPr>
            <w:tcW w:type="dxa" w:w="9360"/>
            <w:shd w:val="clear" w:color="auto" w:fill="FAFAFA"/>
            <w:tcMar>
              <w:top w:w="140" w:type="dxa"/>
              <w:bottom w:w="140" w:type="dxa"/>
              <w:left w:w="180" w:type="dxa"/>
              <w:right w:w="180" w:type="dxa"/>
            </w:tcMar>
          </w:tcPr>
          <w:p>
            <w:r>
              <w:t>MINUTA DE POLÍTICA PARA AVALIAÇÃO — NÃO APROVADA: POL-TI-008 — GESTÃO DE PROBLEMAS E ERROS CONHECIDOS</w:t>
              <w:br/>
              <w:br/>
              <w:t>1. OBJETIVO E DIRETRIZES GERAIS</w:t>
              <w:br/>
              <w:t>Esta Política estabelece as regras obrigatórias para a investigação de causa-raiz, eliminação de débitos técnicos e manutenção da Base de Erros Conhecidos (KEDB) na TI.</w:t>
              <w:br/>
              <w:br/>
              <w:t>2. OBRIGATORIEDADE DE INVESTIGAÇÃO DE CAUSA RAIZ</w:t>
              <w:br/>
              <w:t>2.1. Todo Incidente Grave (P1) deve ter a sua investigação de Análise de Causa Raiz (RCA) concluída em até 5 dias úteis, produzindo o relatório formal assinado pelo especialista N3 responsável.</w:t>
              <w:br/>
              <w:t>2.2. É expressamente proibido o encerramento de tickets de Problemas (PRB) sem a comprovação técnica da causa fundamental suportada por logs, testes de código ou evidências de infraestrutura.</w:t>
              <w:br/>
              <w:br/>
              <w:t>3. USO E GOVERNANÇA DA KEDB</w:t>
              <w:br/>
              <w:t>3.1. Nenhuma Solução de Contorno (Workaround) pode ser aplicada no ambiente de produção sem que esteja devidamente documentada e aprovada na KEDB corporativa.</w:t>
              <w:br/>
              <w:t>3.2. Workarounds que exijam flexibilização temporária de regras de segurança exigem autorização expressa e formal do CISO registrada no ticket no ITSM.</w:t>
              <w:br/>
              <w:br/>
              <w:t>4. SANÇÕES E PENALIDADES</w:t>
              <w:br/>
              <w:t>A aplicação de alterações definitivas em produção sem o devido registro de Solicitação de Mudança (RFC) aprovada no CAB constitui infração grave às normas corporativas e de compliance SOX.</w:t>
            </w:r>
          </w:p>
        </w:tc>
      </w:tr>
    </w:tbl>
    <w:p>
      <w:pPr>
        <w:spacing w:after="240"/>
      </w:pPr>
    </w:p>
    <w:p>
      <w:pPr>
        <w:keepNext/>
        <w:spacing w:before="240" w:after="80"/>
      </w:pPr>
      <w:r>
        <w:rPr>
          <w:b/>
          <w:color w:val="4A607A"/>
          <w:sz w:val="25"/>
        </w:rPr>
        <w:t>ANEXO B — MODELO PADRÃO DE RELATÓRIO DE ANÁLISE DE CAUSA RAIZ (RCA - 5 PORQUÊS &amp; ISHIKAWA)</w:t>
      </w:r>
    </w:p>
    <w:p>
      <w:pPr>
        <w:spacing w:after="120" w:line="276" w:lineRule="auto"/>
      </w:pPr>
      <w:r>
        <w:rPr>
          <w:color w:val="262626"/>
          <w:sz w:val="20"/>
        </w:rPr>
        <w:t>Este modelo oficial deve ser preenchido pelo especialista N3 ao concluir a investigação técnica de um problema:</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3168"/>
            <w:tcMar>
              <w:top w:w="80" w:type="dxa"/>
              <w:bottom w:w="80" w:type="dxa"/>
              <w:left w:w="80" w:type="dxa"/>
              <w:right w:w="80" w:type="dxa"/>
            </w:tcMar>
            <w:shd w:val="clear" w:color="auto" w:fill="F2F4F7"/>
          </w:tcPr>
          <w:p>
            <w:r>
              <w:rPr>
                <w:b/>
                <w:color w:val="002060"/>
                <w:sz w:val="17"/>
              </w:rPr>
              <w:t>Código do Problema (PRB):</w:t>
            </w:r>
          </w:p>
        </w:tc>
        <w:tc>
          <w:tcPr>
            <w:tcW w:type="dxa" w:w="6192"/>
            <w:tcMar>
              <w:top w:w="80" w:type="dxa"/>
              <w:bottom w:w="80" w:type="dxa"/>
              <w:left w:w="80" w:type="dxa"/>
              <w:right w:w="80" w:type="dxa"/>
            </w:tcMar>
          </w:tcPr>
          <w:p>
            <w:r>
              <w:t>PRB-2026-104</w:t>
              <w:br/>
              <w:t>Exemplo ilustrativo do case simulado; não corresponde a registro real.</w:t>
            </w:r>
          </w:p>
        </w:tc>
      </w:tr>
      <w:tr>
        <w:trPr>
          <w:cantSplit/>
        </w:trPr>
        <w:tc>
          <w:tcPr>
            <w:tcW w:type="dxa" w:w="3168"/>
            <w:tcMar>
              <w:top w:w="80" w:type="dxa"/>
              <w:bottom w:w="80" w:type="dxa"/>
              <w:left w:w="80" w:type="dxa"/>
              <w:right w:w="80" w:type="dxa"/>
            </w:tcMar>
            <w:shd w:val="clear" w:color="auto" w:fill="F2F4F7"/>
          </w:tcPr>
          <w:p>
            <w:r>
              <w:rPr>
                <w:b/>
                <w:color w:val="002060"/>
                <w:sz w:val="17"/>
              </w:rPr>
              <w:t>Incidente Origem / CI Afetado:</w:t>
            </w:r>
          </w:p>
        </w:tc>
        <w:tc>
          <w:tcPr>
            <w:tcW w:type="dxa" w:w="6192"/>
            <w:tcMar>
              <w:top w:w="80" w:type="dxa"/>
              <w:bottom w:w="80" w:type="dxa"/>
              <w:left w:w="80" w:type="dxa"/>
              <w:right w:w="80" w:type="dxa"/>
            </w:tcMar>
          </w:tcPr>
          <w:p>
            <w:r>
              <w:t>INC-8902 / SVR-DB-PROD-01 (Banco de Dados ERP)</w:t>
              <w:br/>
              <w:t>Exemplo ilustrativo do case simulado; não corresponde a registro real.</w:t>
            </w:r>
          </w:p>
        </w:tc>
      </w:tr>
      <w:tr>
        <w:trPr>
          <w:cantSplit/>
        </w:trPr>
        <w:tc>
          <w:tcPr>
            <w:tcW w:type="dxa" w:w="3168"/>
            <w:tcMar>
              <w:top w:w="80" w:type="dxa"/>
              <w:bottom w:w="80" w:type="dxa"/>
              <w:left w:w="80" w:type="dxa"/>
              <w:right w:w="80" w:type="dxa"/>
            </w:tcMar>
            <w:shd w:val="clear" w:color="auto" w:fill="F2F4F7"/>
          </w:tcPr>
          <w:p>
            <w:r>
              <w:rPr>
                <w:b/>
                <w:color w:val="002060"/>
                <w:sz w:val="17"/>
              </w:rPr>
              <w:t>Descrição do Sintoma:</w:t>
            </w:r>
          </w:p>
        </w:tc>
        <w:tc>
          <w:tcPr>
            <w:tcW w:type="dxa" w:w="6192"/>
            <w:tcMar>
              <w:top w:w="80" w:type="dxa"/>
              <w:bottom w:w="80" w:type="dxa"/>
              <w:left w:w="80" w:type="dxa"/>
              <w:right w:w="80" w:type="dxa"/>
            </w:tcMar>
          </w:tcPr>
          <w:p>
            <w:r>
              <w:rPr>
                <w:color w:val="262626"/>
                <w:sz w:val="17"/>
              </w:rPr>
              <w:t>Travamento total do banco de dados com estouro de memória RAM e queda de conexões do ERP.</w:t>
            </w:r>
          </w:p>
        </w:tc>
      </w:tr>
      <w:tr>
        <w:trPr>
          <w:cantSplit/>
        </w:trPr>
        <w:tc>
          <w:tcPr>
            <w:tcW w:type="dxa" w:w="3168"/>
            <w:tcMar>
              <w:top w:w="80" w:type="dxa"/>
              <w:bottom w:w="80" w:type="dxa"/>
              <w:left w:w="80" w:type="dxa"/>
              <w:right w:w="80" w:type="dxa"/>
            </w:tcMar>
            <w:shd w:val="clear" w:color="auto" w:fill="F2F4F7"/>
          </w:tcPr>
          <w:p>
            <w:r>
              <w:rPr>
                <w:b/>
                <w:color w:val="002060"/>
                <w:sz w:val="17"/>
              </w:rPr>
              <w:t>Análise dos 5 Porquês (Técnica Investigativa):</w:t>
            </w:r>
          </w:p>
        </w:tc>
        <w:tc>
          <w:tcPr>
            <w:tcW w:type="dxa" w:w="6192"/>
            <w:tcMar>
              <w:top w:w="80" w:type="dxa"/>
              <w:bottom w:w="80" w:type="dxa"/>
              <w:left w:w="80" w:type="dxa"/>
              <w:right w:w="80" w:type="dxa"/>
            </w:tcMar>
          </w:tcPr>
          <w:p>
            <w:r>
              <w:rPr>
                <w:color w:val="262626"/>
                <w:sz w:val="17"/>
              </w:rPr>
              <w:t>Porquê 1: Por que o banco travou? Porque a memória RAM atingiu 100% de uso.</w:t>
              <w:br/>
              <w:t>Porquê 2: Por que a memória atingiu 100%? Porque o pool de conexões abriu 5.000 instâncias inativas.</w:t>
              <w:br/>
              <w:t>Porquê 3: Por que o pool abriu 5.000 conexões inativas? Porque a aplicação do ERP não executou o fechamento (close_connection).</w:t>
              <w:br/>
              <w:t>Porquê 4: Por que a aplicação não fechou as conexões? Porque a nova versão implantada na release v4.2 continha um bug de vazamento de memória (memory leak).</w:t>
              <w:br/>
              <w:t>Porquê 5 (Causa Raiz): Por que o bug passou para produção? Porque os testes automatizados de carga em homologação não cobriram cenários de alto volume de conexões simultâneas.</w:t>
            </w:r>
          </w:p>
        </w:tc>
      </w:tr>
      <w:tr>
        <w:trPr>
          <w:cantSplit/>
        </w:trPr>
        <w:tc>
          <w:tcPr>
            <w:tcW w:type="dxa" w:w="3168"/>
            <w:tcMar>
              <w:top w:w="80" w:type="dxa"/>
              <w:bottom w:w="80" w:type="dxa"/>
              <w:left w:w="80" w:type="dxa"/>
              <w:right w:w="80" w:type="dxa"/>
            </w:tcMar>
            <w:shd w:val="clear" w:color="auto" w:fill="F2F4F7"/>
          </w:tcPr>
          <w:p>
            <w:r>
              <w:rPr>
                <w:b/>
                <w:color w:val="002060"/>
                <w:sz w:val="17"/>
              </w:rPr>
              <w:t>Diagrama de Ishikawa (Causa Primária):</w:t>
            </w:r>
          </w:p>
        </w:tc>
        <w:tc>
          <w:tcPr>
            <w:tcW w:type="dxa" w:w="6192"/>
            <w:tcMar>
              <w:top w:w="80" w:type="dxa"/>
              <w:bottom w:w="80" w:type="dxa"/>
              <w:left w:w="80" w:type="dxa"/>
              <w:right w:w="80" w:type="dxa"/>
            </w:tcMar>
          </w:tcPr>
          <w:p>
            <w:r>
              <w:rPr>
                <w:color w:val="262626"/>
                <w:sz w:val="17"/>
              </w:rPr>
              <w:t>Mão de Obra/Processo: Ausência de teste de estresse na esteira CI/CD para código de banco de dados.</w:t>
            </w:r>
          </w:p>
        </w:tc>
      </w:tr>
      <w:tr>
        <w:trPr>
          <w:cantSplit/>
        </w:trPr>
        <w:tc>
          <w:tcPr>
            <w:tcW w:type="dxa" w:w="3168"/>
            <w:tcMar>
              <w:top w:w="80" w:type="dxa"/>
              <w:bottom w:w="80" w:type="dxa"/>
              <w:left w:w="80" w:type="dxa"/>
              <w:right w:w="80" w:type="dxa"/>
            </w:tcMar>
            <w:shd w:val="clear" w:color="auto" w:fill="F2F4F7"/>
          </w:tcPr>
          <w:p>
            <w:r>
              <w:rPr>
                <w:b/>
                <w:color w:val="002060"/>
                <w:sz w:val="17"/>
              </w:rPr>
              <w:t>Solução de Contorno (Workaround):</w:t>
            </w:r>
          </w:p>
        </w:tc>
        <w:tc>
          <w:tcPr>
            <w:tcW w:type="dxa" w:w="6192"/>
            <w:tcMar>
              <w:top w:w="80" w:type="dxa"/>
              <w:bottom w:w="80" w:type="dxa"/>
              <w:left w:w="80" w:type="dxa"/>
              <w:right w:w="80" w:type="dxa"/>
            </w:tcMar>
          </w:tcPr>
          <w:p>
            <w:r>
              <w:t>Script automatizado executando limpeza de conexões inativas a cada 4 horas (KB-2026-042).</w:t>
              <w:br/>
              <w:t>Exemplo ilustrativo do case simulado; status não comprova homologação real.</w:t>
            </w:r>
          </w:p>
        </w:tc>
      </w:tr>
      <w:tr>
        <w:trPr>
          <w:cantSplit/>
        </w:trPr>
        <w:tc>
          <w:tcPr>
            <w:tcW w:type="dxa" w:w="3168"/>
            <w:tcMar>
              <w:top w:w="80" w:type="dxa"/>
              <w:bottom w:w="80" w:type="dxa"/>
              <w:left w:w="80" w:type="dxa"/>
              <w:right w:w="80" w:type="dxa"/>
            </w:tcMar>
            <w:shd w:val="clear" w:color="auto" w:fill="F2F4F7"/>
          </w:tcPr>
          <w:p>
            <w:r>
              <w:rPr>
                <w:b/>
                <w:color w:val="002060"/>
                <w:sz w:val="17"/>
              </w:rPr>
              <w:t>Ação Definitiva Recomendada (RFC):</w:t>
            </w:r>
          </w:p>
        </w:tc>
        <w:tc>
          <w:tcPr>
            <w:tcW w:type="dxa" w:w="6192"/>
            <w:tcMar>
              <w:top w:w="80" w:type="dxa"/>
              <w:bottom w:w="80" w:type="dxa"/>
              <w:left w:w="80" w:type="dxa"/>
              <w:right w:w="80" w:type="dxa"/>
            </w:tcMar>
          </w:tcPr>
          <w:p>
            <w:r>
              <w:rPr>
                <w:color w:val="262626"/>
                <w:sz w:val="17"/>
              </w:rPr>
              <w:t>Refatorar a classe Java 'ConnectionManager' na release v4.2.1 e incluir teste de estresse na pipeline (RFC-2026-881).</w:t>
            </w:r>
          </w:p>
        </w:tc>
      </w:tr>
    </w:tbl>
    <w:p>
      <w:pPr>
        <w:spacing w:after="240"/>
      </w:pPr>
    </w:p>
    <w:p>
      <w:pPr>
        <w:keepNext/>
        <w:spacing w:before="240" w:after="80"/>
      </w:pPr>
      <w:r>
        <w:rPr>
          <w:b/>
          <w:color w:val="4A607A"/>
          <w:sz w:val="25"/>
        </w:rPr>
        <w:t>ANEXO C — PADRONIZAÇÃO DE ARTIGO DA BASE DE ERROS CONHECIDOS (KEDB - KB ARTICLE)</w:t>
      </w:r>
    </w:p>
    <w:p>
      <w:pPr>
        <w:spacing w:after="120" w:line="276" w:lineRule="auto"/>
      </w:pPr>
      <w:r>
        <w:rPr>
          <w:color w:val="262626"/>
          <w:sz w:val="20"/>
        </w:rPr>
        <w:t>Estrutura obrigatória para publicação de artigos técnicos no módulo KEDB do ITSM:</w:t>
      </w:r>
    </w:p>
    <w:tbl>
      <w:tblPr>
        <w:tblStyle w:val="TableGrid"/>
        <w:tblW w:type="auto" w:w="0"/>
        <w:jc w:val="center"/>
        <w:tblLayout w:type="fixed"/>
        <w:tblLook w:firstColumn="1" w:firstRow="1" w:lastColumn="0" w:lastRow="0" w:noHBand="0" w:noVBand="1" w:val="04A0"/>
      </w:tblPr>
      <w:tblGrid>
        <w:gridCol w:w="4680"/>
        <w:gridCol w:w="4680"/>
      </w:tblGrid>
      <w:tr>
        <w:trPr>
          <w:cantSplit/>
        </w:trPr>
        <w:tc>
          <w:tcPr>
            <w:tcW w:type="dxa" w:w="3168"/>
            <w:tcMar>
              <w:top w:w="80" w:type="dxa"/>
              <w:bottom w:w="80" w:type="dxa"/>
              <w:left w:w="80" w:type="dxa"/>
              <w:right w:w="80" w:type="dxa"/>
            </w:tcMar>
            <w:shd w:val="clear" w:color="auto" w:fill="F2F4F7"/>
          </w:tcPr>
          <w:p>
            <w:r>
              <w:rPr>
                <w:b/>
                <w:color w:val="002060"/>
                <w:sz w:val="17"/>
              </w:rPr>
              <w:t>ID do Artigo KEDB:</w:t>
            </w:r>
          </w:p>
        </w:tc>
        <w:tc>
          <w:tcPr>
            <w:tcW w:type="dxa" w:w="6192"/>
            <w:tcMar>
              <w:top w:w="80" w:type="dxa"/>
              <w:bottom w:w="80" w:type="dxa"/>
              <w:left w:w="80" w:type="dxa"/>
              <w:right w:w="80" w:type="dxa"/>
            </w:tcMar>
          </w:tcPr>
          <w:p>
            <w:r>
              <w:t>KB-2026-042 (Status: Exemplo de status proposto)</w:t>
              <w:br/>
              <w:t>Exemplo ilustrativo do case simulado; validar antes de executar qualquer procedimento em produção.</w:t>
            </w:r>
          </w:p>
        </w:tc>
      </w:tr>
      <w:tr>
        <w:trPr>
          <w:cantSplit/>
        </w:trPr>
        <w:tc>
          <w:tcPr>
            <w:tcW w:type="dxa" w:w="3168"/>
            <w:tcMar>
              <w:top w:w="80" w:type="dxa"/>
              <w:bottom w:w="80" w:type="dxa"/>
              <w:left w:w="80" w:type="dxa"/>
              <w:right w:w="80" w:type="dxa"/>
            </w:tcMar>
            <w:shd w:val="clear" w:color="auto" w:fill="F2F4F7"/>
          </w:tcPr>
          <w:p>
            <w:r>
              <w:rPr>
                <w:b/>
                <w:color w:val="002060"/>
                <w:sz w:val="17"/>
              </w:rPr>
              <w:t>Título do Artigo:</w:t>
            </w:r>
          </w:p>
        </w:tc>
        <w:tc>
          <w:tcPr>
            <w:tcW w:type="dxa" w:w="6192"/>
            <w:tcMar>
              <w:top w:w="80" w:type="dxa"/>
              <w:bottom w:w="80" w:type="dxa"/>
              <w:left w:w="80" w:type="dxa"/>
              <w:right w:w="80" w:type="dxa"/>
            </w:tcMar>
          </w:tcPr>
          <w:p>
            <w:r>
              <w:rPr>
                <w:color w:val="262626"/>
                <w:sz w:val="17"/>
              </w:rPr>
              <w:t>Workaround para Estouro de Memória e Conexões Inativas no Banco de Dados ERP</w:t>
            </w:r>
          </w:p>
        </w:tc>
      </w:tr>
      <w:tr>
        <w:trPr>
          <w:cantSplit/>
        </w:trPr>
        <w:tc>
          <w:tcPr>
            <w:tcW w:type="dxa" w:w="3168"/>
            <w:tcMar>
              <w:top w:w="80" w:type="dxa"/>
              <w:bottom w:w="80" w:type="dxa"/>
              <w:left w:w="80" w:type="dxa"/>
              <w:right w:w="80" w:type="dxa"/>
            </w:tcMar>
            <w:shd w:val="clear" w:color="auto" w:fill="F2F4F7"/>
          </w:tcPr>
          <w:p>
            <w:r>
              <w:rPr>
                <w:b/>
                <w:color w:val="002060"/>
                <w:sz w:val="17"/>
              </w:rPr>
              <w:t>CIs Vinculados / Serviços Afetados:</w:t>
            </w:r>
          </w:p>
        </w:tc>
        <w:tc>
          <w:tcPr>
            <w:tcW w:type="dxa" w:w="6192"/>
            <w:tcMar>
              <w:top w:w="80" w:type="dxa"/>
              <w:bottom w:w="80" w:type="dxa"/>
              <w:left w:w="80" w:type="dxa"/>
              <w:right w:w="80" w:type="dxa"/>
            </w:tcMar>
          </w:tcPr>
          <w:p>
            <w:r>
              <w:rPr>
                <w:color w:val="262626"/>
                <w:sz w:val="17"/>
              </w:rPr>
              <w:t>SVR-DB-PROD-01 / Serviço de Faturamento ERP</w:t>
            </w:r>
          </w:p>
        </w:tc>
      </w:tr>
      <w:tr>
        <w:trPr>
          <w:cantSplit/>
        </w:trPr>
        <w:tc>
          <w:tcPr>
            <w:tcW w:type="dxa" w:w="3168"/>
            <w:tcMar>
              <w:top w:w="80" w:type="dxa"/>
              <w:bottom w:w="80" w:type="dxa"/>
              <w:left w:w="80" w:type="dxa"/>
              <w:right w:w="80" w:type="dxa"/>
            </w:tcMar>
            <w:shd w:val="clear" w:color="auto" w:fill="F2F4F7"/>
          </w:tcPr>
          <w:p>
            <w:r>
              <w:rPr>
                <w:b/>
                <w:color w:val="002060"/>
                <w:sz w:val="17"/>
              </w:rPr>
              <w:t>Sintomas Identificadores (Service Desk):</w:t>
            </w:r>
          </w:p>
        </w:tc>
        <w:tc>
          <w:tcPr>
            <w:tcW w:type="dxa" w:w="6192"/>
            <w:tcMar>
              <w:top w:w="80" w:type="dxa"/>
              <w:bottom w:w="80" w:type="dxa"/>
              <w:left w:w="80" w:type="dxa"/>
              <w:right w:w="80" w:type="dxa"/>
            </w:tcMar>
          </w:tcPr>
          <w:p>
            <w:r>
              <w:rPr>
                <w:color w:val="262626"/>
                <w:sz w:val="17"/>
              </w:rPr>
              <w:t>Usuários relatam lentidão extrema no ERP seguidos de erro 'ORA-00018: maximum number of sessions exceeded'.</w:t>
            </w:r>
          </w:p>
        </w:tc>
      </w:tr>
      <w:tr>
        <w:trPr>
          <w:cantSplit/>
        </w:trPr>
        <w:tc>
          <w:tcPr>
            <w:tcW w:type="dxa" w:w="3168"/>
            <w:tcMar>
              <w:top w:w="80" w:type="dxa"/>
              <w:bottom w:w="80" w:type="dxa"/>
              <w:left w:w="80" w:type="dxa"/>
              <w:right w:w="80" w:type="dxa"/>
            </w:tcMar>
            <w:shd w:val="clear" w:color="auto" w:fill="F2F4F7"/>
          </w:tcPr>
          <w:p>
            <w:r>
              <w:rPr>
                <w:b/>
                <w:color w:val="002060"/>
                <w:sz w:val="17"/>
              </w:rPr>
              <w:t>Procedimento de Workaround (Passo a Passo N1):</w:t>
            </w:r>
          </w:p>
        </w:tc>
        <w:tc>
          <w:tcPr>
            <w:tcW w:type="dxa" w:w="6192"/>
            <w:tcMar>
              <w:top w:w="80" w:type="dxa"/>
              <w:bottom w:w="80" w:type="dxa"/>
              <w:left w:w="80" w:type="dxa"/>
              <w:right w:w="80" w:type="dxa"/>
            </w:tcMar>
          </w:tcPr>
          <w:p>
            <w:r>
              <w:rPr>
                <w:color w:val="262626"/>
                <w:sz w:val="17"/>
              </w:rPr>
              <w:t>1. Acessar o console do ITSM e navegar até 'Scripts de Automação de Infraestrutura'.</w:t>
              <w:br/>
              <w:t>2. Selecionar o script 'CLR-ERP-SESSIONS' e clicar em 'Executar em Produção'.</w:t>
              <w:br/>
              <w:t>3. Aguardar a mensagem de sucesso 'Connections cleared: 240'.</w:t>
              <w:br/>
              <w:t>4. Orientar o usuário a atualizar a sessão do ERP (F5). O serviço retornará em menos de 2 minutos.</w:t>
            </w:r>
          </w:p>
        </w:tc>
      </w:tr>
      <w:tr>
        <w:trPr>
          <w:cantSplit/>
        </w:trPr>
        <w:tc>
          <w:tcPr>
            <w:tcW w:type="dxa" w:w="3168"/>
            <w:tcMar>
              <w:top w:w="80" w:type="dxa"/>
              <w:bottom w:w="80" w:type="dxa"/>
              <w:left w:w="80" w:type="dxa"/>
              <w:right w:w="80" w:type="dxa"/>
            </w:tcMar>
            <w:shd w:val="clear" w:color="auto" w:fill="F2F4F7"/>
          </w:tcPr>
          <w:p>
            <w:r>
              <w:rPr>
                <w:b/>
                <w:color w:val="002060"/>
                <w:sz w:val="17"/>
              </w:rPr>
              <w:t>Solução Definitiva Planejada:</w:t>
            </w:r>
          </w:p>
        </w:tc>
        <w:tc>
          <w:tcPr>
            <w:tcW w:type="dxa" w:w="6192"/>
            <w:tcMar>
              <w:top w:w="80" w:type="dxa"/>
              <w:bottom w:w="80" w:type="dxa"/>
              <w:left w:w="80" w:type="dxa"/>
              <w:right w:w="80" w:type="dxa"/>
            </w:tcMar>
          </w:tcPr>
          <w:p>
            <w:r>
              <w:rPr>
                <w:color w:val="262626"/>
                <w:sz w:val="17"/>
              </w:rPr>
              <w:t>Aguardando aplicação do patch v4.2.1 agendado via RFC-2026-881 para a janela de 20/10/2026.</w:t>
            </w:r>
          </w:p>
        </w:tc>
      </w:tr>
    </w:tbl>
    <w:p>
      <w:pPr>
        <w:spacing w:after="240"/>
      </w:pPr>
    </w:p>
    <w:p>
      <w:pPr>
        <w:keepNext/>
        <w:spacing w:before="240" w:after="80"/>
      </w:pPr>
      <w:r>
        <w:rPr>
          <w:b/>
          <w:color w:val="4A607A"/>
          <w:sz w:val="25"/>
        </w:rPr>
        <w:t>ANEXO D — DICIONÁRIO E ÁRVORE DE CATEGORIZAÇÃO DE PROBLEMAS E CIs</w:t>
      </w:r>
    </w:p>
    <w:p>
      <w:pPr>
        <w:spacing w:after="120" w:line="276" w:lineRule="auto"/>
      </w:pPr>
      <w:r>
        <w:rPr>
          <w:color w:val="262626"/>
          <w:sz w:val="20"/>
        </w:rPr>
        <w:t>Mapeamento multinível para classificação padronizada de tickets PRB no ITSM: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val="clear" w:color="auto" w:fill="002060"/>
            <w:tcMar>
              <w:top w:w="80" w:type="dxa"/>
              <w:bottom w:w="80" w:type="dxa"/>
              <w:left w:w="60" w:type="dxa"/>
              <w:right w:w="60" w:type="dxa"/>
            </w:tcMar>
          </w:tcPr>
          <w:p>
            <w:pPr>
              <w:jc w:val="center"/>
            </w:pPr>
            <w:r>
              <w:rPr>
                <w:b/>
                <w:color w:val="FFFFFF"/>
                <w:sz w:val="17"/>
              </w:rPr>
              <w:t>Categoria Nível 1</w:t>
            </w:r>
          </w:p>
        </w:tc>
        <w:tc>
          <w:tcPr>
            <w:tcW w:type="dxa" w:w="2592"/>
            <w:shd w:val="clear" w:color="auto" w:fill="002060"/>
            <w:tcMar>
              <w:top w:w="80" w:type="dxa"/>
              <w:bottom w:w="80" w:type="dxa"/>
              <w:left w:w="60" w:type="dxa"/>
              <w:right w:w="60" w:type="dxa"/>
            </w:tcMar>
          </w:tcPr>
          <w:p>
            <w:pPr>
              <w:jc w:val="center"/>
            </w:pPr>
            <w:r>
              <w:rPr>
                <w:b/>
                <w:color w:val="FFFFFF"/>
                <w:sz w:val="17"/>
              </w:rPr>
              <w:t>Subcategoria Nível 2</w:t>
            </w:r>
          </w:p>
        </w:tc>
        <w:tc>
          <w:tcPr>
            <w:tcW w:type="dxa" w:w="2592"/>
            <w:shd w:val="clear" w:color="auto" w:fill="002060"/>
            <w:tcMar>
              <w:top w:w="80" w:type="dxa"/>
              <w:bottom w:w="80" w:type="dxa"/>
              <w:left w:w="60" w:type="dxa"/>
              <w:right w:w="60" w:type="dxa"/>
            </w:tcMar>
          </w:tcPr>
          <w:p>
            <w:pPr>
              <w:jc w:val="center"/>
            </w:pPr>
            <w:r>
              <w:rPr>
                <w:b/>
                <w:color w:val="FFFFFF"/>
                <w:sz w:val="17"/>
              </w:rPr>
              <w:t>Tipo de Item de Configuração (CI)</w:t>
            </w:r>
          </w:p>
        </w:tc>
        <w:tc>
          <w:tcPr>
            <w:tcW w:type="dxa" w:w="2016"/>
            <w:shd w:val="clear" w:color="auto" w:fill="002060"/>
            <w:tcMar>
              <w:top w:w="80" w:type="dxa"/>
              <w:bottom w:w="80" w:type="dxa"/>
              <w:left w:w="60" w:type="dxa"/>
              <w:right w:w="60" w:type="dxa"/>
            </w:tcMar>
          </w:tcPr>
          <w:p>
            <w:pPr>
              <w:jc w:val="center"/>
            </w:pPr>
            <w:r>
              <w:rPr>
                <w:b/>
                <w:color w:val="FFFFFF"/>
                <w:sz w:val="17"/>
              </w:rPr>
              <w:t>Grupo Solucionador N3 Atribuído</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rPr>
          <w:cantSplit/>
        </w:trPr>
        <w:tc>
          <w:tcPr>
            <w:tcW w:type="dxa" w:w="2160"/>
            <w:tcMar>
              <w:top w:w="60" w:type="dxa"/>
              <w:bottom w:w="60" w:type="dxa"/>
              <w:left w:w="60" w:type="dxa"/>
              <w:right w:w="60" w:type="dxa"/>
            </w:tcMar>
          </w:tcPr>
          <w:p>
            <w:r>
              <w:rPr>
                <w:color w:val="262626"/>
                <w:sz w:val="16"/>
              </w:rPr>
              <w:t>Sistemas Corporativos</w:t>
            </w:r>
          </w:p>
        </w:tc>
        <w:tc>
          <w:tcPr>
            <w:tcW w:type="dxa" w:w="2592"/>
            <w:tcMar>
              <w:top w:w="60" w:type="dxa"/>
              <w:bottom w:w="60" w:type="dxa"/>
              <w:left w:w="60" w:type="dxa"/>
              <w:right w:w="60" w:type="dxa"/>
            </w:tcMar>
          </w:tcPr>
          <w:p>
            <w:r>
              <w:rPr>
                <w:color w:val="262626"/>
                <w:sz w:val="16"/>
              </w:rPr>
              <w:t>Software / ERP</w:t>
            </w:r>
          </w:p>
        </w:tc>
        <w:tc>
          <w:tcPr>
            <w:tcW w:type="dxa" w:w="2592"/>
            <w:tcMar>
              <w:top w:w="60" w:type="dxa"/>
              <w:bottom w:w="60" w:type="dxa"/>
              <w:left w:w="60" w:type="dxa"/>
              <w:right w:w="60" w:type="dxa"/>
            </w:tcMar>
          </w:tcPr>
          <w:p>
            <w:r>
              <w:rPr>
                <w:color w:val="262626"/>
                <w:sz w:val="16"/>
              </w:rPr>
              <w:t>Banco de Dados / Módulo Fiscal</w:t>
            </w:r>
          </w:p>
        </w:tc>
        <w:tc>
          <w:tcPr>
            <w:tcW w:type="dxa" w:w="2016"/>
            <w:tcMar>
              <w:top w:w="60" w:type="dxa"/>
              <w:bottom w:w="60" w:type="dxa"/>
              <w:left w:w="60" w:type="dxa"/>
              <w:right w:w="60" w:type="dxa"/>
            </w:tcMar>
          </w:tcPr>
          <w:p>
            <w:r>
              <w:rPr>
                <w:color w:val="262626"/>
                <w:sz w:val="16"/>
              </w:rPr>
              <w:t>Equipe de Sustentação ERP / DBA</w:t>
            </w:r>
          </w:p>
        </w:tc>
      </w:tr>
      <w:tr>
        <w:trPr>
          <w:cantSplit/>
        </w:trPr>
        <w:tc>
          <w:tcPr>
            <w:tcW w:type="dxa" w:w="2160"/>
            <w:tcMar>
              <w:top w:w="60" w:type="dxa"/>
              <w:bottom w:w="60" w:type="dxa"/>
              <w:left w:w="60" w:type="dxa"/>
              <w:right w:w="60" w:type="dxa"/>
            </w:tcMar>
          </w:tcPr>
          <w:p>
            <w:r>
              <w:rPr>
                <w:color w:val="262626"/>
                <w:sz w:val="16"/>
              </w:rPr>
              <w:t>Infraestrutura Nuvem</w:t>
            </w:r>
          </w:p>
        </w:tc>
        <w:tc>
          <w:tcPr>
            <w:tcW w:type="dxa" w:w="2592"/>
            <w:tcMar>
              <w:top w:w="60" w:type="dxa"/>
              <w:bottom w:w="60" w:type="dxa"/>
              <w:left w:w="60" w:type="dxa"/>
              <w:right w:w="60" w:type="dxa"/>
            </w:tcMar>
          </w:tcPr>
          <w:p>
            <w:r>
              <w:rPr>
                <w:color w:val="262626"/>
                <w:sz w:val="16"/>
              </w:rPr>
              <w:t>Cloud / Compute</w:t>
            </w:r>
          </w:p>
        </w:tc>
        <w:tc>
          <w:tcPr>
            <w:tcW w:type="dxa" w:w="2592"/>
            <w:tcMar>
              <w:top w:w="60" w:type="dxa"/>
              <w:bottom w:w="60" w:type="dxa"/>
              <w:left w:w="60" w:type="dxa"/>
              <w:right w:w="60" w:type="dxa"/>
            </w:tcMar>
          </w:tcPr>
          <w:p>
            <w:r>
              <w:rPr>
                <w:color w:val="262626"/>
                <w:sz w:val="16"/>
              </w:rPr>
              <w:t>Instâncias EC2 / Kubernetes / VM</w:t>
            </w:r>
          </w:p>
        </w:tc>
        <w:tc>
          <w:tcPr>
            <w:tcW w:type="dxa" w:w="2016"/>
            <w:tcMar>
              <w:top w:w="60" w:type="dxa"/>
              <w:bottom w:w="60" w:type="dxa"/>
              <w:left w:w="60" w:type="dxa"/>
              <w:right w:w="60" w:type="dxa"/>
            </w:tcMar>
          </w:tcPr>
          <w:p>
            <w:r>
              <w:rPr>
                <w:color w:val="262626"/>
                <w:sz w:val="16"/>
              </w:rPr>
              <w:t>Equipe de Engenharia Cloud / DevOps</w:t>
            </w:r>
          </w:p>
        </w:tc>
      </w:tr>
      <w:tr>
        <w:trPr>
          <w:cantSplit/>
        </w:trPr>
        <w:tc>
          <w:tcPr>
            <w:tcW w:type="dxa" w:w="2160"/>
            <w:tcMar>
              <w:top w:w="60" w:type="dxa"/>
              <w:bottom w:w="60" w:type="dxa"/>
              <w:left w:w="60" w:type="dxa"/>
              <w:right w:w="60" w:type="dxa"/>
            </w:tcMar>
          </w:tcPr>
          <w:p>
            <w:r>
              <w:rPr>
                <w:color w:val="262626"/>
                <w:sz w:val="16"/>
              </w:rPr>
              <w:t>Redes &amp; Conectividade</w:t>
            </w:r>
          </w:p>
        </w:tc>
        <w:tc>
          <w:tcPr>
            <w:tcW w:type="dxa" w:w="2592"/>
            <w:tcMar>
              <w:top w:w="60" w:type="dxa"/>
              <w:bottom w:w="60" w:type="dxa"/>
              <w:left w:w="60" w:type="dxa"/>
              <w:right w:w="60" w:type="dxa"/>
            </w:tcMar>
          </w:tcPr>
          <w:p>
            <w:r>
              <w:rPr>
                <w:color w:val="262626"/>
                <w:sz w:val="16"/>
              </w:rPr>
              <w:t>Segurança de Rede</w:t>
            </w:r>
          </w:p>
        </w:tc>
        <w:tc>
          <w:tcPr>
            <w:tcW w:type="dxa" w:w="2592"/>
            <w:tcMar>
              <w:top w:w="60" w:type="dxa"/>
              <w:bottom w:w="60" w:type="dxa"/>
              <w:left w:w="60" w:type="dxa"/>
              <w:right w:w="60" w:type="dxa"/>
            </w:tcMar>
          </w:tcPr>
          <w:p>
            <w:r>
              <w:rPr>
                <w:color w:val="262626"/>
                <w:sz w:val="16"/>
              </w:rPr>
              <w:t>Firewall / VPN / Roteador Core</w:t>
            </w:r>
          </w:p>
        </w:tc>
        <w:tc>
          <w:tcPr>
            <w:tcW w:type="dxa" w:w="2016"/>
            <w:tcMar>
              <w:top w:w="60" w:type="dxa"/>
              <w:bottom w:w="60" w:type="dxa"/>
              <w:left w:w="60" w:type="dxa"/>
              <w:right w:w="60" w:type="dxa"/>
            </w:tcMar>
          </w:tcPr>
          <w:p>
            <w:r>
              <w:rPr>
                <w:color w:val="262626"/>
                <w:sz w:val="16"/>
              </w:rPr>
              <w:t>Equipe de Redes e Cibersegurança</w:t>
            </w:r>
          </w:p>
        </w:tc>
      </w:tr>
      <w:tr>
        <w:trPr>
          <w:cantSplit/>
        </w:trPr>
        <w:tc>
          <w:tcPr>
            <w:tcW w:type="dxa" w:w="2160"/>
            <w:tcMar>
              <w:top w:w="60" w:type="dxa"/>
              <w:bottom w:w="60" w:type="dxa"/>
              <w:left w:w="60" w:type="dxa"/>
              <w:right w:w="60" w:type="dxa"/>
            </w:tcMar>
          </w:tcPr>
          <w:p>
            <w:r>
              <w:rPr>
                <w:color w:val="262626"/>
                <w:sz w:val="16"/>
              </w:rPr>
              <w:t>Segurança / GRC</w:t>
            </w:r>
          </w:p>
        </w:tc>
        <w:tc>
          <w:tcPr>
            <w:tcW w:type="dxa" w:w="2592"/>
            <w:tcMar>
              <w:top w:w="60" w:type="dxa"/>
              <w:bottom w:w="60" w:type="dxa"/>
              <w:left w:w="60" w:type="dxa"/>
              <w:right w:w="60" w:type="dxa"/>
            </w:tcMar>
          </w:tcPr>
          <w:p>
            <w:r>
              <w:rPr>
                <w:color w:val="262626"/>
                <w:sz w:val="16"/>
              </w:rPr>
              <w:t>Vulnerabilidade de Software</w:t>
            </w:r>
          </w:p>
        </w:tc>
        <w:tc>
          <w:tcPr>
            <w:tcW w:type="dxa" w:w="2592"/>
            <w:tcMar>
              <w:top w:w="60" w:type="dxa"/>
              <w:bottom w:w="60" w:type="dxa"/>
              <w:left w:w="60" w:type="dxa"/>
              <w:right w:w="60" w:type="dxa"/>
            </w:tcMar>
          </w:tcPr>
          <w:p>
            <w:r>
              <w:rPr>
                <w:color w:val="262626"/>
                <w:sz w:val="16"/>
              </w:rPr>
              <w:t>Aplicação Web / API Gateway</w:t>
            </w:r>
          </w:p>
        </w:tc>
        <w:tc>
          <w:tcPr>
            <w:tcW w:type="dxa" w:w="2016"/>
            <w:tcMar>
              <w:top w:w="60" w:type="dxa"/>
              <w:bottom w:w="60" w:type="dxa"/>
              <w:left w:w="60" w:type="dxa"/>
              <w:right w:w="60" w:type="dxa"/>
            </w:tcMar>
          </w:tcPr>
          <w:p>
            <w:r>
              <w:rPr>
                <w:color w:val="262626"/>
                <w:sz w:val="16"/>
              </w:rPr>
              <w:t>Equipe de AppSec / SOC</w:t>
            </w:r>
          </w:p>
        </w:tc>
      </w:tr>
    </w:tbl>
    <w:p>
      <w:pPr>
        <w:spacing w:after="240"/>
      </w:pPr>
    </w:p>
    <w:p>
      <w:pPr>
        <w:keepNext/>
        <w:spacing w:before="240" w:after="80"/>
      </w:pPr>
      <w:r>
        <w:rPr>
          <w:b/>
          <w:color w:val="4A607A"/>
          <w:sz w:val="25"/>
        </w:rPr>
        <w:t>ANEXO E — ROTEIRO DE CAPACITAÇÃO E TREINAMENTO TÉCNICO EM RCA E KEDB</w:t>
      </w:r>
    </w:p>
    <w:p>
      <w:pPr>
        <w:spacing w:after="120" w:line="276" w:lineRule="auto"/>
      </w:pPr>
      <w:r>
        <w:rPr>
          <w:color w:val="262626"/>
          <w:sz w:val="20"/>
        </w:rPr>
        <w:t>Matriz de treinamento operacional para preparação das equipes técnicas:</w:t>
      </w:r>
    </w:p>
    <w:p>
      <w:pPr>
        <w:pStyle w:val="ListBullet"/>
        <w:spacing w:after="60" w:line="276" w:lineRule="auto"/>
      </w:pPr>
      <w:r>
        <w:rPr>
          <w:b/>
          <w:color w:val="002060"/>
          <w:sz w:val="19"/>
        </w:rPr>
        <w:t xml:space="preserve">Módulo 1 (Service Desk N1 - 2h): </w:t>
      </w:r>
      <w:r>
        <w:rPr>
          <w:color w:val="262626"/>
          <w:sz w:val="19"/>
        </w:rPr>
        <w:t>Treinamento em identificação de padrões de chamados, consulta rápida à KEDB, execução de Workarounds e escalonamento para PRB.</w:t>
      </w:r>
    </w:p>
    <w:p>
      <w:pPr>
        <w:pStyle w:val="ListBullet"/>
        <w:spacing w:after="60" w:line="276" w:lineRule="auto"/>
      </w:pPr>
      <w:r>
        <w:rPr>
          <w:b/>
          <w:color w:val="002060"/>
          <w:sz w:val="19"/>
        </w:rPr>
        <w:t xml:space="preserve">Módulo 2 (Especialistas N3 - 4h): </w:t>
      </w:r>
      <w:r>
        <w:rPr>
          <w:color w:val="262626"/>
          <w:sz w:val="19"/>
        </w:rPr>
        <w:t>Oficina prática de Análise de Causa Raiz (RCA) com aplicação dos 5 Porquês, Ishikawa, redação de relatórios e submissão de RFCs no CAB.</w:t>
      </w:r>
    </w:p>
    <w:p>
      <w:pPr>
        <w:pStyle w:val="ListBullet"/>
        <w:spacing w:after="60" w:line="276" w:lineRule="auto"/>
      </w:pPr>
      <w:r>
        <w:rPr>
          <w:b/>
          <w:color w:val="002060"/>
          <w:sz w:val="19"/>
        </w:rPr>
        <w:t xml:space="preserve">Módulo 3 (Gestores e PHOs - 2h): </w:t>
      </w:r>
      <w:r>
        <w:rPr>
          <w:color w:val="262626"/>
          <w:sz w:val="19"/>
        </w:rPr>
        <w:t>Governança do processo, análise de KPIs, gestão do backlog de débitos técnicos e aceitação formal de riscos de engenharia.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7"/>
      </w:rPr>
      <w:t>CONFIDENCIAL — USO CORPORATIVO | ISO/IEC 20000-1 &amp; ITIL v4 COMPLIANT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7"/>
      </w:rPr>
      <w:t>PROJETO 02 — GESTÃO DE PROBLEMAS E KEDB | MANUAL OPERACIONAL DE IMPLEMENTAÇÃO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02 — Gestão de Problemas e KEDB | versão revisada</dc:title>
  <dc:subject>Case simulado; modelo conceitual para adaptação e validação</dc:subject>
  <dc:creator>python-docx</dc:creator>
  <cp:keywords/>
  <dc:description>Revisão editorial com preservação da estrutura original; metas e registros simulados identificados como tais.</dc:description>
  <cp:lastModifiedBy/>
  <cp:revision>1</cp:revision>
  <dcterms:created xsi:type="dcterms:W3CDTF">2013-12-23T23:15:00Z</dcterms:created>
  <dcterms:modified xsi:type="dcterms:W3CDTF">2013-12-23T23:15:00Z</dcterms:modified>
  <cp:category/>
</cp:coreProperties>
</file>