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Arial" w:hAnsi="Arial"/>
          <w:b/>
          <w:color w:val="C5A059"/>
          <w:sz w:val="22"/>
        </w:rPr>
        <w:t>PROGRAMA INTEGRADO DE GOVERNANÇA, SERVIÇOS E SEGURANÇA DE TI</w:t>
      </w:r>
    </w:p>
    <w:p>
      <w:pPr>
        <w:spacing w:after="160"/>
      </w:pPr>
      <w:r>
        <w:rPr>
          <w:rFonts w:ascii="Arial" w:hAnsi="Arial"/>
          <w:b/>
          <w:color w:val="1B365D"/>
          <w:sz w:val="40"/>
        </w:rPr>
        <w:t>PROJETO 03: GESTÃO DE MUDANÇAS E LIBERAÇÕES (GMUD / CHANGE ENABLEMENT)</w:t>
      </w:r>
    </w:p>
    <w:p>
      <w:pPr/>
      <w:r>
        <w:rPr>
          <w:b/>
          <w:color w:val="804000"/>
          <w:sz w:val="18"/>
        </w:rPr>
        <w:t>NOTA DE CONTEXTO — CASE SIMULADO: papéis, metas, SLAs, riscos, aprovações, atas, datas, controles e cronogramas apresentados são propostas ou exemplos ilustrativos. Este arquivo não comprova aprovação, operação, auditoria ou implantação reais. Adaptar ao contexto e validar com as áreas responsáveis antes de adoção.</w:t>
      </w:r>
    </w:p>
    <w:p>
      <w:pPr>
        <w:spacing w:after="360"/>
      </w:pPr>
      <w:r>
        <w:t>Modelo conceitual de referência para adaptação, governança e operação do processo de Mudanças, Liberações (Release Management) e esteira DevSecOps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B365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Código do Documento:</w:t>
            </w:r>
          </w:p>
        </w:tc>
        <w:tc>
          <w:tcPr>
            <w:tcW w:type="dxa" w:w="61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1E1E"/>
                <w:sz w:val="19"/>
              </w:rPr>
              <w:t>MAN-GMU-003-v2.0</w:t>
            </w:r>
          </w:p>
        </w:tc>
      </w:tr>
      <w:tr>
        <w:tc>
          <w:tcPr>
            <w:tcW w:type="dxa" w:w="3168"/>
            <w:shd w:fill="1B365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Normas de Referência:</w:t>
            </w:r>
          </w:p>
        </w:tc>
        <w:tc>
          <w:tcPr>
            <w:tcW w:type="dxa" w:w="61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1E1E"/>
                <w:sz w:val="19"/>
              </w:rPr>
              <w:t>ISO/IEC 20000-1 (8.5.2/8.5.3) | ITIL v4 | COBIT 5 (BAI06/BAI07) | ISO 27001 (A.8.32) | SOX ITGCs</w:t>
            </w:r>
          </w:p>
        </w:tc>
      </w:tr>
      <w:tr>
        <w:tc>
          <w:tcPr>
            <w:tcW w:type="dxa" w:w="3168"/>
            <w:shd w:fill="1B365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Classificação / Aprovabilidade:</w:t>
            </w:r>
          </w:p>
        </w:tc>
        <w:tc>
          <w:tcPr>
            <w:tcW w:type="dxa" w:w="61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Case simulado | Modelo conceitual | Pendente de validação organizacional</w:t>
            </w:r>
          </w:p>
        </w:tc>
      </w:tr>
      <w:tr>
        <w:tc>
          <w:tcPr>
            <w:tcW w:type="dxa" w:w="3168"/>
            <w:shd w:fill="1B365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Data de Vigência / Revisão:</w:t>
            </w:r>
          </w:p>
        </w:tc>
        <w:tc>
          <w:tcPr>
            <w:tcW w:type="dxa" w:w="619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Data de revisão do arquivo: 26/10/2026 — vigência real a definir após aprovação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b/>
                <w:color w:val="1B365D"/>
                <w:sz w:val="22"/>
              </w:rPr>
              <w:t>📌 PROPÓSITO DESTE MANUAL OPERACIONAL DE GMUD</w:t>
              <w:br/>
            </w:r>
            <w:r>
              <w:rPr>
                <w:color w:val="323232"/>
                <w:sz w:val="20"/>
              </w:rPr>
              <w:t>Este documento estabelece o modelo profissional, rigoroso e auditável de Gestão de Mudanças e Liberações (GMUD / Change Enablement) para ambientes de TI corporativos. O objetivo central é maximizar a taxa de sucesso de mudanças na infraestrutura, sistemas e nuvem (≥ 95%), mitigar indisponibilidades não planejadas decorrentes de alterações (alcançando zero incidentes P1 causados por mudanças não testadas) e atender com plenitude às exigências regulatórias e de auditoria de SOX (ITGC Change Control), ABNT NBR ISO/IEC 20000-1:2020 e ABNT NBR ISO/IEC 27001:2022.</w:t>
            </w:r>
          </w:p>
        </w:tc>
      </w:tr>
    </w:tbl>
    <w:p/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1. Identificação e Controle Documental</w:t>
      </w:r>
    </w:p>
    <w:p>
      <w:r>
        <w:t>Este manual propõe um modelo de referência para a Gestão de Mudanças e Liberações (GMUD). Alterações em produção devem seguir controles definidos e aprovados pela organização. Este documento, por si só, não constitui política oficial nem comprova aprovação ou implantação real.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1440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160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Autor/Papel</w:t>
            </w:r>
          </w:p>
        </w:tc>
        <w:tc>
          <w:tcPr>
            <w:tcW w:type="dxa" w:w="2160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Aprovador/Papel</w:t>
            </w:r>
          </w:p>
        </w:tc>
        <w:tc>
          <w:tcPr>
            <w:tcW w:type="dxa" w:w="2448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Descrição das Alterações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rPr>
                <w:sz w:val="17"/>
              </w:rPr>
              <w:t>1.0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7"/>
              </w:rPr>
              <w:t>15/01/2025</w:t>
            </w:r>
          </w:p>
        </w:tc>
        <w:tc>
          <w:tcPr>
            <w:tcW w:type="dxa" w:w="2160"/>
          </w:tcPr>
          <w:p>
            <w:r>
              <w:t>Papel editorial ilustrativo</w:t>
            </w:r>
          </w:p>
        </w:tc>
        <w:tc>
          <w:tcPr>
            <w:tcW w:type="dxa" w:w="2160"/>
          </w:tcPr>
          <w:p>
            <w:r>
              <w:t>Pendente de validação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7"/>
              </w:rPr>
              <w:t>Elaboração inicial da versão executiva do processo de GMUD.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after="0"/>
            </w:pPr>
            <w:r>
              <w:rPr>
                <w:sz w:val="17"/>
              </w:rPr>
              <w:t>1.1</w:t>
            </w:r>
          </w:p>
        </w:tc>
        <w:tc>
          <w:tcPr>
            <w:tcW w:type="dxa" w:w="1440"/>
            <w:shd w:fill="F9FAFB"/>
          </w:tcPr>
          <w:p>
            <w:pPr>
              <w:spacing w:after="0"/>
            </w:pPr>
            <w:r>
              <w:rPr>
                <w:sz w:val="17"/>
              </w:rPr>
              <w:t>10/11/2025</w:t>
            </w:r>
          </w:p>
        </w:tc>
        <w:tc>
          <w:tcPr>
            <w:tcW w:type="dxa" w:w="2160"/>
            <w:shd w:fill="F9FAFB"/>
          </w:tcPr>
          <w:p>
            <w:r>
              <w:t>Papel editorial ilustrativo</w:t>
            </w:r>
          </w:p>
        </w:tc>
        <w:tc>
          <w:tcPr>
            <w:tcW w:type="dxa" w:w="2160"/>
            <w:shd w:fill="F9FAFB"/>
          </w:tcPr>
          <w:p>
            <w:r>
              <w:t>Pendente de validação</w:t>
            </w:r>
          </w:p>
        </w:tc>
        <w:tc>
          <w:tcPr>
            <w:tcW w:type="dxa" w:w="2448"/>
            <w:shd w:fill="F9FAFB"/>
          </w:tcPr>
          <w:p>
            <w:pPr>
              <w:spacing w:after="0"/>
            </w:pPr>
            <w:r>
              <w:rPr>
                <w:sz w:val="17"/>
              </w:rPr>
              <w:t>Inclusão dos controles SOX ITGCs e esteira automatizada CI/CD.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rPr>
                <w:sz w:val="17"/>
              </w:rPr>
              <w:t>2.0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7"/>
              </w:rPr>
              <w:t>14/10/2026</w:t>
            </w:r>
          </w:p>
        </w:tc>
        <w:tc>
          <w:tcPr>
            <w:tcW w:type="dxa" w:w="2160"/>
          </w:tcPr>
          <w:p>
            <w:r>
              <w:t>Papel editorial ilustrativo</w:t>
            </w:r>
          </w:p>
        </w:tc>
        <w:tc>
          <w:tcPr>
            <w:tcW w:type="dxa" w:w="2160"/>
          </w:tcPr>
          <w:p>
            <w:r>
              <w:t>Pendente de validação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7"/>
              </w:rPr>
              <w:t>Reestruturação integral para Manual Operacional 'Turn-Key' com 23 capítulos, 5 POPs detalhados nos 20 itens e 5 Anexos operacionais completos.</w:t>
            </w:r>
          </w:p>
        </w:tc>
      </w:tr>
    </w:tbl>
    <w:p/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2. Sumário Executivo</w:t>
      </w:r>
    </w:p>
    <w:p>
      <w:r>
        <w:t>A realização de alterações em ambientes de TI sem o devido controle, teste e autorização representa a maior causa isolada de indisponibilidades graves (Incidentes P1/P2), brechas de segurança cibernética e não conformidades em auditorias SOX/ISO. A Gestão de Mudanças e Liberações (GMUD) atua como o 'portão de controle de qualidade e integridade' (Quality Gate) da organização.</w:t>
      </w:r>
    </w:p>
    <w:p>
      <w:r>
        <w:t>Através da implementação deste programa, a organização atinge um modelo operacional maduro, equilibrando a agilidade exigida pelo negócio e pelas equipes de desenvolvimento (DevOps/Agile) com a estabilidade, segurança e rastreabilidade requeridas pela governança corporativa.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b/>
                <w:color w:val="1B365D"/>
                <w:sz w:val="22"/>
              </w:rPr>
              <w:t>📌 METAS E INDICADORES DE IMPACTO EXECUTIVO DE GMUD</w:t>
              <w:br/>
            </w:r>
            <w:r>
              <w:rPr>
                <w:color w:val="323232"/>
                <w:sz w:val="20"/>
              </w:rPr>
              <w:t>• Taxa de Sucesso de Mudanças (Change Success Rate): ≥ 95% de mudanças implantadas sem gerar incidentes ou necessidade de rollback.</w:t>
              <w:br/>
              <w:t>• Mudanças Emergenciais / Não Planejadas: ≤ 5% do volume total de RFCs submetidas no mês.</w:t>
              <w:br/>
              <w:t>• Incidentes Graves (P1) Causados por Mudança: ZERO tolerância para incidentes decorrentes de falha de teste ou ausência de validação no CAB.</w:t>
              <w:br/>
              <w:t>• Conformidade SOX / ISO 27001 (Change Control): 100% das mudanças em produção com rastreabilidade completa (Aprovação + Evidência de Teste + Rollback).</w:t>
            </w:r>
          </w:p>
        </w:tc>
      </w:tr>
    </w:tbl>
    <w:p/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3. Objetivos e Resultados Esperados</w:t>
      </w:r>
    </w:p>
    <w:p>
      <w:r>
        <w:t>O Projeto de Gestão de Mudanças e Liberações possui os seguintes objetivos estratégicos e operacionais expressos de forma quantitativa e auditável:</w:t>
      </w:r>
    </w:p>
    <w:p>
      <w:pPr>
        <w:pStyle w:val="ListBullet"/>
        <w:spacing w:after="60"/>
      </w:pPr>
      <w:r>
        <w:rPr>
          <w:b/>
          <w:color w:val="1B365D"/>
        </w:rPr>
        <w:t xml:space="preserve">Garantir a Estabilidade Operacional: </w:t>
      </w:r>
      <w:r>
        <w:t>Assegurar que todas as alterações em ambientes produtivos sejam avaliadas quanto aos seus riscos, impactos cruzados e dependências antes de sua execução.</w:t>
      </w:r>
    </w:p>
    <w:p>
      <w:pPr>
        <w:pStyle w:val="ListBullet"/>
        <w:spacing w:after="60"/>
      </w:pPr>
      <w:r>
        <w:rPr>
          <w:b/>
          <w:color w:val="1B365D"/>
        </w:rPr>
        <w:t xml:space="preserve">Proteger a Integridade dos Dados e da Segurança: </w:t>
      </w:r>
      <w:r>
        <w:t>Validar que nenhuma liberação introduza vulnerabilidades conhecidas, quebra de segregação de funções (SoD) ou violações de privacidade (LGPD).</w:t>
      </w:r>
    </w:p>
    <w:p>
      <w:pPr>
        <w:pStyle w:val="ListBullet"/>
        <w:spacing w:after="60"/>
      </w:pPr>
      <w:r>
        <w:rPr>
          <w:b/>
          <w:color w:val="1B365D"/>
        </w:rPr>
        <w:t xml:space="preserve">Padronizar e Automatizar Mudanças Frequentes: </w:t>
      </w:r>
      <w:r>
        <w:t>Estabelecer um catálogo robusto de Mudanças Padrão (Pre-approved Standard Changes) para acelerar entregas rotineiras sem burocracia desnecessária.</w:t>
      </w:r>
    </w:p>
    <w:p>
      <w:pPr>
        <w:pStyle w:val="ListBullet"/>
        <w:spacing w:after="60"/>
      </w:pPr>
      <w:r>
        <w:rPr>
          <w:b/>
          <w:color w:val="1B365D"/>
        </w:rPr>
        <w:t xml:space="preserve">Assegurar a Prontidão de Liberação (Release Readiness): </w:t>
      </w:r>
      <w:r>
        <w:t>Garantir que os pacotes de software e infraestrutura passem por ambientes de homologação (Staging/QA) idênticos ao de produção antes do deployment.</w:t>
      </w:r>
    </w:p>
    <w:p>
      <w:pPr>
        <w:pStyle w:val="ListBullet"/>
        <w:spacing w:after="60"/>
      </w:pPr>
      <w:r>
        <w:rPr>
          <w:b/>
          <w:color w:val="1B365D"/>
        </w:rPr>
        <w:t xml:space="preserve">Atender Exigências de Compliance e Auditoria: </w:t>
      </w:r>
      <w:r>
        <w:t>Fornecer trilhas de auditoria imutáveis ligando o código-fonte, a solicitação de mudança (RFC), os resultados de testes automatizados, a ata de aprovação do CAB e os registros de deploy.</w:t>
      </w: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4. Escopo, Limites, Premissas e Exclusões</w:t>
      </w:r>
    </w:p>
    <w:p>
      <w:r>
        <w:t>A abrangência da Gestão de Mudanças e Liberações cobre todos os elementos de tecnologia da informação que sustentam os serviços de negócio da organização.</w:t>
      </w:r>
    </w:p>
    <w:p>
      <w:pPr>
        <w:keepNext/>
        <w:spacing w:before="280" w:after="120"/>
      </w:pPr>
      <w:r>
        <w:rPr>
          <w:rFonts w:ascii="Arial" w:hAnsi="Arial"/>
          <w:b/>
          <w:color w:val="4A5568"/>
          <w:sz w:val="26"/>
        </w:rPr>
        <w:t>4.1. Escopo Inclusivo (O que ESTÁ coberto por GMUD)</w:t>
      </w:r>
    </w:p>
    <w:p>
      <w:pPr>
        <w:pStyle w:val="ListBullet"/>
        <w:spacing w:after="40"/>
      </w:pPr>
      <w:r>
        <w:t>Sistemas de Informação e Software: Alterações em código-fonte, releases de ERP (SAP, TOTVS), CRM, portais web, APIs e microserviços.</w:t>
      </w:r>
    </w:p>
    <w:p>
      <w:pPr>
        <w:pStyle w:val="ListBullet"/>
        <w:spacing w:after="40"/>
      </w:pPr>
      <w:r>
        <w:t>Infraestrutura de Rede e Telecom: Reconfiguração de roteadores, switches, firewalls, VPNs, balanceadores de carga, DNS e regras de proxy.</w:t>
      </w:r>
    </w:p>
    <w:p>
      <w:pPr>
        <w:pStyle w:val="ListBullet"/>
        <w:spacing w:after="40"/>
      </w:pPr>
      <w:r>
        <w:t>Ambientes Multi-Cloud e On-Premise: Alterações em instâncias AWS, Azure, GCP, clusters Kubernetes, Docker, servidores físicos e hipervisores VMware.</w:t>
      </w:r>
    </w:p>
    <w:p>
      <w:pPr>
        <w:pStyle w:val="ListBullet"/>
        <w:spacing w:after="40"/>
      </w:pPr>
      <w:r>
        <w:t>Bancos de Dados e DDLs: Alterações de schema, criação/alteração de tabelas, procedimentos armazenados, triggers e atualizações de SGBD (Oracle, SQL Server, PostgreSQL).</w:t>
      </w:r>
    </w:p>
    <w:p>
      <w:pPr>
        <w:pStyle w:val="ListBullet"/>
        <w:spacing w:after="40"/>
      </w:pPr>
      <w:r>
        <w:t>Segurança da Informação: Modificação de políticas de acesso (IAM/Active Directory), regras de WAF, políticas de antivírus e certificados digitais SSL/TLS.</w:t>
      </w:r>
    </w:p>
    <w:p>
      <w:pPr>
        <w:pStyle w:val="ListBullet"/>
        <w:spacing w:after="40"/>
      </w:pPr>
      <w:r>
        <w:t>Instalações Físicas de TI: Alterações no Data Center, sistemas de no-break, geradores, climatização e cabeamento estruturado.</w:t>
      </w:r>
    </w:p>
    <w:p>
      <w:pPr>
        <w:keepNext/>
        <w:spacing w:before="280" w:after="120"/>
      </w:pPr>
      <w:r>
        <w:rPr>
          <w:rFonts w:ascii="Arial" w:hAnsi="Arial"/>
          <w:b/>
          <w:color w:val="4A5568"/>
          <w:sz w:val="26"/>
        </w:rPr>
        <w:t>4.2. Exclusões do Escopo (O que NÃO é coberto por GMUD)</w:t>
      </w:r>
    </w:p>
    <w:p>
      <w:pPr>
        <w:pStyle w:val="ListBullet"/>
        <w:spacing w:after="40"/>
      </w:pPr>
      <w:r>
        <w:t>Atividades de Manutenção Preventiva e Rotina Operacional sem Impacto: Troca de fitas de backup, substituição de suprimentos de impressão e reboot preventivo programado de estações de trabalho.</w:t>
      </w:r>
    </w:p>
    <w:p>
      <w:pPr>
        <w:pStyle w:val="ListBullet"/>
        <w:spacing w:after="40"/>
      </w:pPr>
      <w:r>
        <w:t>Atendimento de Incidentes Sem Alteração de Configuração: Reinício de serviços (restart de pools de aplicação) como medida pontual de contorno para restauração imediata.</w:t>
      </w:r>
    </w:p>
    <w:p>
      <w:pPr>
        <w:pStyle w:val="ListBullet"/>
        <w:spacing w:after="40"/>
      </w:pPr>
      <w:r>
        <w:t>Desenvolvimento e Testes isolados no ambiente Dev/QA: Modificações realizadas estritamente em ambientes de desenvolvimento sem qualquer conectividade ou impacto com produção.</w:t>
      </w: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5. Referências e Requisitos Aplicáveis</w:t>
      </w:r>
    </w:p>
    <w:p>
      <w:r>
        <w:t>A arquitetura técnica deste projeto cita os seguintes referenciais de governança, ITSM, segurança e controle interno. Verificar edição, aplicabilidade e correspondência exata das cláusulas/controles antes de uso normativo, contratual ou de auditoria: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Norma / Framework</w:t>
            </w:r>
          </w:p>
        </w:tc>
        <w:tc>
          <w:tcPr>
            <w:tcW w:type="dxa" w:w="2448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Item / Cláusula de Referência</w:t>
            </w:r>
          </w:p>
        </w:tc>
        <w:tc>
          <w:tcPr>
            <w:tcW w:type="dxa" w:w="4320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Requisito / Diretriz Aplicada em GMUD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ABNT NBR ISO/IEC 20000-1:2020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7"/>
              </w:rPr>
              <w:t>Cláusulas 8.5.2 (Gestão de Mudanças) e 8.5.3 (Gestão de Liberações)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7"/>
              </w:rPr>
              <w:t>Exigência formal de aprovação prévia, avaliação de risco, plano de restauração (rollback) e controle de pacotes de liberação antes da implantação em produção.</w:t>
            </w:r>
          </w:p>
        </w:tc>
      </w:tr>
      <w:tr>
        <w:tc>
          <w:tcPr>
            <w:tcW w:type="dxa" w:w="2592"/>
            <w:shd w:fill="F9FAFB"/>
          </w:tcPr>
          <w:p>
            <w:pPr>
              <w:spacing w:after="0"/>
            </w:pPr>
            <w:r>
              <w:rPr>
                <w:sz w:val="17"/>
              </w:rPr>
              <w:t>ITIL v4 Framework</w:t>
            </w:r>
          </w:p>
        </w:tc>
        <w:tc>
          <w:tcPr>
            <w:tcW w:type="dxa" w:w="2448"/>
            <w:shd w:fill="F9FAFB"/>
          </w:tcPr>
          <w:p>
            <w:pPr>
              <w:spacing w:after="0"/>
            </w:pPr>
            <w:r>
              <w:rPr>
                <w:sz w:val="17"/>
              </w:rPr>
              <w:t>Change Enablement &amp; Release Management Practices</w:t>
            </w:r>
          </w:p>
        </w:tc>
        <w:tc>
          <w:tcPr>
            <w:tcW w:type="dxa" w:w="4320"/>
            <w:shd w:fill="F9FAFB"/>
          </w:tcPr>
          <w:p>
            <w:pPr>
              <w:spacing w:after="0"/>
            </w:pPr>
            <w:r>
              <w:rPr>
                <w:sz w:val="17"/>
              </w:rPr>
              <w:t>Foco em balancear velocidade e estabilidade, descentralização de aprovações via Mudanças Padrão, atuação estratégica do CAB e automação de pipelines.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COBIT 5 / COBIT 2019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7"/>
              </w:rPr>
              <w:t>Domínio BAI06 (Manage Changes) e BAI07 (Manage Acceptance and Transition)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7"/>
              </w:rPr>
              <w:t>Estabelecimento de mecanismos de controle para garantir que mudanças atendam às necessidades do negócio com risco aceitável e rastreabilidade.</w:t>
            </w:r>
          </w:p>
        </w:tc>
      </w:tr>
      <w:tr>
        <w:tc>
          <w:tcPr>
            <w:tcW w:type="dxa" w:w="2592"/>
            <w:shd w:fill="F9FAFB"/>
          </w:tcPr>
          <w:p>
            <w:pPr>
              <w:spacing w:after="0"/>
            </w:pPr>
            <w:r>
              <w:rPr>
                <w:sz w:val="17"/>
              </w:rPr>
              <w:t>ABNT NBR ISO/IEC 27001:2022</w:t>
            </w:r>
          </w:p>
        </w:tc>
        <w:tc>
          <w:tcPr>
            <w:tcW w:type="dxa" w:w="2448"/>
            <w:shd w:fill="F9FAFB"/>
          </w:tcPr>
          <w:p>
            <w:pPr>
              <w:spacing w:after="0"/>
            </w:pPr>
            <w:r>
              <w:rPr>
                <w:sz w:val="17"/>
              </w:rPr>
              <w:t>Anexo A - Controle A.8.32 (Gestão de Mudanças)</w:t>
            </w:r>
          </w:p>
        </w:tc>
        <w:tc>
          <w:tcPr>
            <w:tcW w:type="dxa" w:w="4320"/>
            <w:shd w:fill="F9FAFB"/>
          </w:tcPr>
          <w:p>
            <w:pPr>
              <w:spacing w:after="0"/>
            </w:pPr>
            <w:r>
              <w:rPr>
                <w:sz w:val="17"/>
              </w:rPr>
              <w:t>Obrigatoriedade de avaliar os impactos de segurança da informação antes de autorizar qualquer alteração em sistemas ou infraestrutura.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SOX (Sarbanes-Oxley Act) - ITGC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7"/>
              </w:rPr>
              <w:t>Controle Interno de TI: Change Control &amp; Segregation of Duties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7"/>
              </w:rPr>
              <w:t>Exigência de segregação estrita entre quem desenvolve e quem aplica o código em produção, com evidência imutável de aprovação e teste.</w:t>
            </w:r>
          </w:p>
        </w:tc>
      </w:tr>
    </w:tbl>
    <w:p/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6. Fundamentos e Terminologia</w:t>
      </w:r>
    </w:p>
    <w:p>
      <w:r>
        <w:t>Para fins deste manual, adotam-se as seguintes definições formais alinhadas aos padrões de mercado:</w:t>
      </w:r>
    </w:p>
    <w:p>
      <w:pPr>
        <w:pStyle w:val="ListBullet"/>
        <w:spacing w:after="60"/>
      </w:pPr>
      <w:r>
        <w:rPr>
          <w:b/>
          <w:color w:val="1B365D"/>
        </w:rPr>
        <w:t xml:space="preserve">RFC (Request for Change / Requisição de Mudança): </w:t>
      </w:r>
      <w:r>
        <w:t>Documento ou registro formal no sistema ITSM contendo a descrição detalhada, justificativa de negócio, plano de execução, análise de risco, testes de homologação e plano de rollback para uma alteração proposta.</w:t>
      </w:r>
    </w:p>
    <w:p>
      <w:pPr>
        <w:pStyle w:val="ListBullet"/>
        <w:spacing w:after="60"/>
      </w:pPr>
      <w:r>
        <w:rPr>
          <w:b/>
          <w:color w:val="1B365D"/>
        </w:rPr>
        <w:t xml:space="preserve">Mudança Padrão (Standard Change): </w:t>
      </w:r>
      <w:r>
        <w:t>Mudança de baixo risco, pré-autorizada, recorrente, com procedimento de execução bem estabelecido e histórico comprovado de sucesso (ex.: criação de conta de usuário, expansão de disco pré-formatado).</w:t>
      </w:r>
    </w:p>
    <w:p>
      <w:pPr>
        <w:pStyle w:val="ListBullet"/>
        <w:spacing w:after="60"/>
      </w:pPr>
      <w:r>
        <w:rPr>
          <w:b/>
          <w:color w:val="1B365D"/>
        </w:rPr>
        <w:t xml:space="preserve">Mudança Normal (Normal Change): </w:t>
      </w:r>
      <w:r>
        <w:t>Mudança que segue o fluxo regular de avaliação, análise de impacto pelo CAB, agendamento em janela homologada e aprovação formal antes da implementação.</w:t>
      </w:r>
    </w:p>
    <w:p>
      <w:pPr>
        <w:pStyle w:val="ListBullet"/>
        <w:spacing w:after="60"/>
      </w:pPr>
      <w:r>
        <w:rPr>
          <w:b/>
          <w:color w:val="1B365D"/>
        </w:rPr>
        <w:t xml:space="preserve">Mudança Emergencial (Emergency Change): </w:t>
      </w:r>
      <w:r>
        <w:t>Mudança crítica necessária para restaurar imediatamente um serviço parado (Incidente P1) ou corrigir uma vulnerabilidade de segurança explorada ativamente. Analisada pelo Comitê Emergencial (ECAB).</w:t>
      </w:r>
    </w:p>
    <w:p>
      <w:pPr>
        <w:pStyle w:val="ListBullet"/>
        <w:spacing w:after="60"/>
      </w:pPr>
      <w:r>
        <w:rPr>
          <w:b/>
          <w:color w:val="1B365D"/>
        </w:rPr>
        <w:t xml:space="preserve">CAB (Change Advisory Board / Comitê Consultivo de Mudanças): </w:t>
      </w:r>
      <w:r>
        <w:t>Grupo multidisciplinar responsável por avaliar os aspectos operacionais, de negócio, de riscos e financeiros das mudanças normais propostas.</w:t>
      </w:r>
    </w:p>
    <w:p>
      <w:pPr>
        <w:pStyle w:val="ListBullet"/>
        <w:spacing w:after="60"/>
      </w:pPr>
      <w:r>
        <w:rPr>
          <w:b/>
          <w:color w:val="1B365D"/>
        </w:rPr>
        <w:t xml:space="preserve">ECAB (Emergency CAB): </w:t>
      </w:r>
      <w:r>
        <w:t>Subconjunto reduzido de membros do CAB com autoridade para deliberar e aprovar mudanças emergenciais de forma ágil 24x7.</w:t>
      </w:r>
    </w:p>
    <w:p>
      <w:pPr>
        <w:pStyle w:val="ListBullet"/>
        <w:spacing w:after="60"/>
      </w:pPr>
      <w:r>
        <w:rPr>
          <w:b/>
          <w:color w:val="1B365D"/>
        </w:rPr>
        <w:t xml:space="preserve">Release Package (Pacote de Liberação): </w:t>
      </w:r>
      <w:r>
        <w:t>Conjunto consolidado de um ou mais itens de configuração (código, artefatos, scripts de banco, documentação) liberados juntos para implantação.</w:t>
      </w:r>
    </w:p>
    <w:p>
      <w:pPr>
        <w:pStyle w:val="ListBullet"/>
        <w:spacing w:after="60"/>
      </w:pPr>
      <w:r>
        <w:rPr>
          <w:b/>
          <w:color w:val="1B365D"/>
        </w:rPr>
        <w:t xml:space="preserve">Plano de Rollback (Plano de Retorno): </w:t>
      </w:r>
      <w:r>
        <w:t>Conjunto documentado e testado de instruções para reverter totalmente a mudança e restaurar o estado original do ambiente caso ocorra falha na implantação.</w:t>
      </w: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7. Diagnóstico da Situação Atual</w:t>
      </w:r>
    </w:p>
    <w:p>
      <w:r>
        <w:t>A avaliação de maturidade realizada no acervo de TI revelou que a ausência de um processo formalizado de GMUD gera fragilidades operacionais graves conhecidas no mercado como 'Síndrome do Deploy de Sexta-Feira'. Os principais gargalos identificados incluem:</w:t>
      </w:r>
    </w:p>
    <w:p>
      <w:pPr>
        <w:pStyle w:val="ListBullet"/>
        <w:spacing w:after="60"/>
      </w:pPr>
      <w:r>
        <w:t>Execução de 'Mudanças no Pelo': Alterações realizadas diretamente no ambiente de produção por técnicos ou desenvolvedores sem registro prévio, homologação ou aprovação.</w:t>
      </w:r>
    </w:p>
    <w:p>
      <w:pPr>
        <w:pStyle w:val="ListBullet"/>
        <w:spacing w:after="60"/>
      </w:pPr>
      <w:r>
        <w:t>Ausência de Avaliação de Impacto Cruzado: Mudanças aplicadas na infraestrutura (ex.: atualização de versão do banco de dados) que causam a parada inopinada de sistemas de negócios essenciais.</w:t>
      </w:r>
    </w:p>
    <w:p>
      <w:pPr>
        <w:pStyle w:val="ListBullet"/>
        <w:spacing w:after="60"/>
      </w:pPr>
      <w:r>
        <w:t>Falta de Planos de Rollback Validados: Ocorrência de falhas durante a janela de implantação em que a equipe não possui um procedimento de reversão, prolongando a indisponibilidade por horas.</w:t>
      </w:r>
    </w:p>
    <w:p>
      <w:pPr>
        <w:pStyle w:val="ListBullet"/>
        <w:spacing w:after="60"/>
      </w:pPr>
      <w:r>
        <w:t>Violacão de Segregação de Funções (SoD): Desenvolvedores com permissão de acesso administrativo para publicar códigos diretamente nos servidores de produção, gerando apontamentos críticos de auditoria SOX.</w:t>
      </w:r>
    </w:p>
    <w:p>
      <w:pPr>
        <w:pStyle w:val="ListBullet"/>
        <w:spacing w:after="60"/>
      </w:pPr>
      <w:r>
        <w:t>Conflito de Janelas de Mudança: Múltiplas equipes aplicando alterações simultâneas no mesmo servidor ou rede sem coordenação, dificultando a identificação da causa raiz em caso de incidente.</w:t>
      </w: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8. Requisitos e Modelo Operacional Desejado</w:t>
      </w:r>
    </w:p>
    <w:p>
      <w:r>
        <w:t>O modelo operacional de GMUD estabelece o conceito de 'Portão de Controle Qualificado' (Quality Gate) alinhado às práticas de DevSecOps e Governança Tradicional. As premissas arquiteturais da solução compreendem: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b/>
                <w:color w:val="1B365D"/>
                <w:sz w:val="22"/>
              </w:rPr>
              <w:t>📌 PILARES DO MODELO OPERACIONAL DE GMUD</w:t>
              <w:br/>
            </w:r>
            <w:r>
              <w:rPr>
                <w:color w:val="323232"/>
                <w:sz w:val="20"/>
              </w:rPr>
              <w:t>1. Segregação Absoluta de Ambientes: Ambientes de Desenvolvimento, Homologação/Staging e Produção fisicamente e logicamente separados com credenciais distintas.</w:t>
              <w:br/>
              <w:t>2. Automação da Esteira DevSecOps: Mudanças de software devem trafegar por pipelines CI/CD automatizadas contendo verificações de segurança (SAST/DAST) e testes unitários/integrados.</w:t>
              <w:br/>
              <w:t>3. Governança Centrada no Risco: As exigências de documentação e aprovação são proporcionais ao risco da alteração (Mudanças Padrão possuem aprovação automática; Mudanças Normais Críticas exigem deliberação do CAB).</w:t>
              <w:br/>
              <w:t>4. Rastreabilidade End-to-End: Vínculo obrigatório no sistema ITSM relacionando a RFC ao item da CMDB, ao commit no repositório de código (Git), ao log do pipeline e à ata de aprovação do CAB.</w:t>
            </w:r>
          </w:p>
        </w:tc>
      </w:tr>
    </w:tbl>
    <w:p/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9. Papéis, Responsabilidades e Matriz RACI</w:t>
      </w:r>
    </w:p>
    <w:p>
      <w:r>
        <w:t>A condução da Gestão de Mudanças exige clareza absoluta na distribuição de responsabilidades entre as equipes envolvidas: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600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Atividade / Etapa do Processo</w:t>
            </w:r>
          </w:p>
        </w:tc>
        <w:tc>
          <w:tcPr>
            <w:tcW w:type="dxa" w:w="1440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Requisitante / Dev</w:t>
            </w:r>
          </w:p>
        </w:tc>
        <w:tc>
          <w:tcPr>
            <w:tcW w:type="dxa" w:w="1440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Gerente de Mudanças</w:t>
            </w:r>
          </w:p>
        </w:tc>
        <w:tc>
          <w:tcPr>
            <w:tcW w:type="dxa" w:w="1440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CAB / ECAB</w:t>
            </w:r>
          </w:p>
        </w:tc>
        <w:tc>
          <w:tcPr>
            <w:tcW w:type="dxa" w:w="1440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Equipe de Operações/Deploy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sz w:val="17"/>
              </w:rPr>
              <w:t>Abertura e Documentação da RFC (com Rollback)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rPr>
                <w:sz w:val="17"/>
              </w:rPr>
              <w:t>A / R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rPr>
                <w:sz w:val="17"/>
              </w:rPr>
              <w:t>I</w:t>
            </w:r>
          </w:p>
        </w:tc>
      </w:tr>
      <w:tr>
        <w:tc>
          <w:tcPr>
            <w:tcW w:type="dxa" w:w="3600"/>
            <w:shd w:fill="F9FAFB"/>
          </w:tcPr>
          <w:p>
            <w:pPr>
              <w:spacing w:after="0"/>
            </w:pPr>
            <w:r>
              <w:rPr>
                <w:sz w:val="17"/>
              </w:rPr>
              <w:t>Avaliação de Risco, Impacto e Testes em QA</w:t>
            </w:r>
          </w:p>
        </w:tc>
        <w:tc>
          <w:tcPr>
            <w:tcW w:type="dxa" w:w="1440"/>
            <w:shd w:fill="F9FAFB"/>
          </w:tcPr>
          <w:p>
            <w:pPr>
              <w:spacing w:after="0"/>
              <w:jc w:val="center"/>
            </w:pPr>
            <w:r>
              <w:rPr>
                <w:sz w:val="17"/>
              </w:rPr>
              <w:t>A / R</w:t>
            </w:r>
          </w:p>
        </w:tc>
        <w:tc>
          <w:tcPr>
            <w:tcW w:type="dxa" w:w="1440"/>
            <w:shd w:fill="F9FAFB"/>
          </w:tcPr>
          <w:p>
            <w:pPr>
              <w:spacing w:after="0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shd w:fill="F9FAFB"/>
          </w:tcPr>
          <w:p>
            <w:pPr>
              <w:spacing w:after="0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type="dxa" w:w="1440"/>
            <w:shd w:fill="F9FAFB"/>
          </w:tcPr>
          <w:p>
            <w:pPr>
              <w:spacing w:after="0"/>
              <w:jc w:val="center"/>
            </w:pPr>
            <w:r>
              <w:rPr>
                <w:sz w:val="17"/>
              </w:rPr>
              <w:t>C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sz w:val="17"/>
              </w:rPr>
              <w:t>Análise Técnica e Triagem no ITSM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rPr>
                <w:sz w:val="17"/>
              </w:rPr>
              <w:t>A / R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rPr>
                <w:sz w:val="17"/>
              </w:rPr>
              <w:t>I</w:t>
            </w:r>
          </w:p>
        </w:tc>
      </w:tr>
      <w:tr>
        <w:tc>
          <w:tcPr>
            <w:tcW w:type="dxa" w:w="3600"/>
            <w:shd w:fill="F9FAFB"/>
          </w:tcPr>
          <w:p>
            <w:pPr>
              <w:spacing w:after="0"/>
            </w:pPr>
            <w:r>
              <w:rPr>
                <w:sz w:val="17"/>
              </w:rPr>
              <w:t>Deliberação e Aprovação da Mudança (CAB)</w:t>
            </w:r>
          </w:p>
        </w:tc>
        <w:tc>
          <w:tcPr>
            <w:tcW w:type="dxa" w:w="1440"/>
            <w:shd w:fill="F9FAFB"/>
          </w:tcPr>
          <w:p>
            <w:pPr>
              <w:spacing w:after="0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type="dxa" w:w="1440"/>
            <w:shd w:fill="F9FAFB"/>
          </w:tcPr>
          <w:p>
            <w:pPr>
              <w:spacing w:after="0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  <w:shd w:fill="F9FAFB"/>
          </w:tcPr>
          <w:p>
            <w:pPr>
              <w:spacing w:after="0"/>
              <w:jc w:val="center"/>
            </w:pPr>
            <w:r>
              <w:rPr>
                <w:sz w:val="17"/>
              </w:rPr>
              <w:t>A / R</w:t>
            </w:r>
          </w:p>
        </w:tc>
        <w:tc>
          <w:tcPr>
            <w:tcW w:type="dxa" w:w="1440"/>
            <w:shd w:fill="F9FAFB"/>
          </w:tcPr>
          <w:p>
            <w:pPr>
              <w:spacing w:after="0"/>
              <w:jc w:val="center"/>
            </w:pPr>
            <w:r>
              <w:rPr>
                <w:sz w:val="17"/>
              </w:rPr>
              <w:t>I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sz w:val="17"/>
              </w:rPr>
              <w:t>Execução da Mudança na Janela Homologada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rPr>
                <w:sz w:val="17"/>
              </w:rPr>
              <w:t>A / R</w:t>
            </w:r>
          </w:p>
        </w:tc>
      </w:tr>
      <w:tr>
        <w:tc>
          <w:tcPr>
            <w:tcW w:type="dxa" w:w="3600"/>
            <w:shd w:fill="F9FAFB"/>
          </w:tcPr>
          <w:p>
            <w:pPr>
              <w:spacing w:after="0"/>
            </w:pPr>
            <w:r>
              <w:rPr>
                <w:sz w:val="17"/>
              </w:rPr>
              <w:t>Verificação Pós-Mudança (PIR) e Encerramento</w:t>
            </w:r>
          </w:p>
        </w:tc>
        <w:tc>
          <w:tcPr>
            <w:tcW w:type="dxa" w:w="1440"/>
            <w:shd w:fill="F9FAFB"/>
          </w:tcPr>
          <w:p>
            <w:pPr>
              <w:spacing w:after="0"/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type="dxa" w:w="1440"/>
            <w:shd w:fill="F9FAFB"/>
          </w:tcPr>
          <w:p>
            <w:pPr>
              <w:spacing w:after="0"/>
              <w:jc w:val="center"/>
            </w:pPr>
            <w:r>
              <w:rPr>
                <w:sz w:val="17"/>
              </w:rPr>
              <w:t>A / R</w:t>
            </w:r>
          </w:p>
        </w:tc>
        <w:tc>
          <w:tcPr>
            <w:tcW w:type="dxa" w:w="1440"/>
            <w:shd w:fill="F9FAFB"/>
          </w:tcPr>
          <w:p>
            <w:pPr>
              <w:spacing w:after="0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type="dxa" w:w="1440"/>
            <w:shd w:fill="F9FAFB"/>
          </w:tcPr>
          <w:p>
            <w:pPr>
              <w:spacing w:after="0"/>
              <w:jc w:val="center"/>
            </w:pPr>
            <w:r>
              <w:rPr>
                <w:sz w:val="17"/>
              </w:rPr>
              <w:t>C</w:t>
            </w:r>
          </w:p>
        </w:tc>
      </w:tr>
    </w:tbl>
    <w:p/>
    <w:p>
      <w:r>
        <w:t>Legenda RACI: R = Responsável pela Execução (Responsible); A = Aprovador Final (Accountable); C = Consultado (Consulted); I = Informado (Informed).</w:t>
      </w: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10. Fluxo Detalhado do Processo</w:t>
      </w:r>
    </w:p>
    <w:p>
      <w:r>
        <w:t>O ciclo de vida de uma mudança compreende 7 etapas sequenciais obrigatórias que garantem a adequada governança desde a concepção até a pós-implantação:</w:t>
      </w:r>
    </w:p>
    <w:p>
      <w:pPr>
        <w:pStyle w:val="ListBullet"/>
        <w:spacing w:after="60"/>
      </w:pPr>
      <w:r>
        <w:rPr>
          <w:b/>
          <w:color w:val="1B365D"/>
        </w:rPr>
        <w:t xml:space="preserve">Etapa 1: Solicitação e Registro da RFC: </w:t>
      </w:r>
      <w:r>
        <w:t>O requisitante abre o chamado no sistema ITSM preenchendo todos os campos obrigatórios (justificativa, plano de execução, plano de testes, janela e plano de rollback).</w:t>
      </w:r>
    </w:p>
    <w:p>
      <w:pPr>
        <w:pStyle w:val="ListBullet"/>
        <w:spacing w:after="60"/>
      </w:pPr>
      <w:r>
        <w:rPr>
          <w:b/>
          <w:color w:val="1B365D"/>
        </w:rPr>
        <w:t xml:space="preserve">Etapa 2: Análise Técnica e Validação Inicial: </w:t>
      </w:r>
      <w:r>
        <w:t>O Gerente de Mudanças analisa a completude do chamado, valida a classificação (Padrão, Normal, Emergencial) e verifica conflitos na agenda de mudanças (Forward Schedule of Changes - FSC).</w:t>
      </w:r>
    </w:p>
    <w:p>
      <w:pPr>
        <w:pStyle w:val="ListBullet"/>
        <w:spacing w:after="60"/>
      </w:pPr>
      <w:r>
        <w:rPr>
          <w:b/>
          <w:color w:val="1B365D"/>
        </w:rPr>
        <w:t xml:space="preserve">Etapa 3: Avaliação de Risco e Testes de QA: </w:t>
      </w:r>
      <w:r>
        <w:t>A mudança é submetida a testes em ambiente de homologação. A matriz de risco calcula automaticamente a pontuação baseada em impacto x complexidade.</w:t>
      </w:r>
    </w:p>
    <w:p>
      <w:pPr>
        <w:pStyle w:val="ListBullet"/>
        <w:spacing w:after="60"/>
      </w:pPr>
      <w:r>
        <w:rPr>
          <w:b/>
          <w:color w:val="1B365D"/>
        </w:rPr>
        <w:t xml:space="preserve">Etapa 4: Deliberação do Comitê de Mudanças (CAB): </w:t>
      </w:r>
      <w:r>
        <w:t>Para Mudanças Normais, o CAB analisa a RFC na reunião semanal e delibera entre Aprovado, Rejeitado, Pendente ou Cancelado. Mudanças Emergenciais vão para o ECAB.</w:t>
      </w:r>
    </w:p>
    <w:p>
      <w:pPr>
        <w:pStyle w:val="ListBullet"/>
        <w:spacing w:after="60"/>
      </w:pPr>
      <w:r>
        <w:rPr>
          <w:b/>
          <w:color w:val="1B365D"/>
        </w:rPr>
        <w:t xml:space="preserve">Etapa 5: Planejamento e Comunicação de Liberação: </w:t>
      </w:r>
      <w:r>
        <w:t>O pacote de liberação (Release Package) é preparado e a janela de manutenção é comunicada às partes interessadas e usuários do negócio.</w:t>
      </w:r>
    </w:p>
    <w:p>
      <w:pPr>
        <w:pStyle w:val="ListBullet"/>
        <w:spacing w:after="60"/>
      </w:pPr>
      <w:r>
        <w:rPr>
          <w:b/>
          <w:color w:val="1B365D"/>
        </w:rPr>
        <w:t xml:space="preserve">Etapa 6: Implantação e Verificação Pós-Mudança: </w:t>
      </w:r>
      <w:r>
        <w:t>A mudança é executada estritamente dentro da janela autorizada. Realiza-se o teste de fumaça (Smoke Test). Em caso de falha, aciona-se o Rollback imediato.</w:t>
      </w:r>
    </w:p>
    <w:p>
      <w:pPr>
        <w:pStyle w:val="ListBullet"/>
        <w:spacing w:after="60"/>
      </w:pPr>
      <w:r>
        <w:rPr>
          <w:b/>
          <w:color w:val="1B365D"/>
        </w:rPr>
        <w:t xml:space="preserve">Etapa 7: Revisão Pós-Implantação (PIR) e Encerramento: </w:t>
      </w:r>
      <w:r>
        <w:t>Validação final do funcionamento, atualização do status do CI na CMDB e encerramento formal do chamado no ITSM.</w:t>
      </w: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11. Procedimentos Operacionais Passo a Passo (POPs)</w:t>
      </w:r>
    </w:p>
    <w:p>
      <w:r>
        <w:t>Nesta seção, apresentam-se os 5 Procedimentos Operacionais Padrão (POPs) essenciais para a operação contínua de GMUD, redigidos no padrão completo de detalhamento com todos os 20 itens operacionais explicativos.</w:t>
      </w:r>
    </w:p>
    <w:p>
      <w:pPr>
        <w:keepNext/>
        <w:spacing w:before="280" w:after="120"/>
      </w:pPr>
      <w:r>
        <w:rPr>
          <w:rFonts w:ascii="Arial" w:hAnsi="Arial"/>
          <w:b/>
          <w:color w:val="4A5568"/>
          <w:sz w:val="26"/>
        </w:rPr>
        <w:t>POP-GMU-001: Submissão, Triagem e Categorização de RFCs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1. Identificador e Nome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POP-GMU-001: Submissão, Triagem e Categorização de RFCs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2. Objetivo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Garantir o correto preenchimento, triagem e categorização de todas as Requisições de Mudança (RFC) abertas no sistema ITSM.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3. Responsável pela Execução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Requisitante da Mudança (Desenvolvedor, Analista de Infra/Segurança) e Gerente de Mudanças.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4. Aprovador e Consultado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Aprovador: Gerente de Mudanças | Consultado: Líder Técnico do Sistema e CISO.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5. Pré-requisitos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Possuir usuário ativo no sistema ITSM e projeto/sistema devidamente cadastrado na CMDB.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6. Entradas Necessárias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Necessidade de negócio, correção de bug, atualização normativa ou evolução tecnológica.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7. Ferramenta e Recursos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Módulo de Mudanças do ITSM (Jira Service Management / ServiceNow) e Repositório Git.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8. Instruções Numeradas de Execução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1. Acessar o Portal de TI no ITSM e selecionar 'Nova RFC'.</w:t>
              <w:br/>
              <w:t>2. Informar o Título Claro e a Justificativa de Negócio.</w:t>
              <w:br/>
              <w:t>3. Selecionar o Item de Configuração (CI) afetado na CMDB.</w:t>
              <w:br/>
              <w:t>4. Selecionar o Tipo de Mudança (Padrão, Normal ou Emergencial).</w:t>
              <w:br/>
              <w:t>5. Anexar as evidências de teste de homologação (Evidência QA/Staging).</w:t>
              <w:br/>
              <w:t>6. Preencher os campos do Plano de Execução e Plano de Rollback.</w:t>
              <w:br/>
              <w:t>7. Submeter a RFC até o prazo limite (Lead Time de 72h antes do CAB para Mudanças Normais).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9. Perguntas de Verificação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A RFC possui plano de rollback aplicável? O CI afetado foi identificado corretamente? Há evidências de teste anexadas?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10. Regras de Negócio e Decisões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RFCs abertas sem plano de rollback ou sem evidência de testes em QA são rejeitadas automaticamente pelo sistema.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11. Exceções e Caminhos Alternativos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Caso trate-se de uma Mudança Padrão pré-aprovada, a aprovação é concedida automaticamente via sistema sem necessidade de passar pelo CAB.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12. Prazos e SLA de Atendimento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Triagem do Gerente de Mudanças em até 24 horas após a submissão.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13. Saídas e Registros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RFC registrada no ITSM com status 'Em Análise de Risco' e ID único gerado (ex.: RFC-2026-089).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14. Evidências Auditáveis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Registro do chamado com carimbo de data/hora, histórico de alterações e anexos de teste.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15. Controles Aplicáveis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Controle SOX ITGC Change Request &amp; Controle ISO 27001 A.8.32.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16. Critérios de Conclusão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RFC preenchida integralmente e avançada para a fase de avaliação de risco.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17. Indicadores Relacionados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Taxa de RFCs Rejeitadas por Incompletude (Alvo ≤ 5%).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18. Interfaces com Outros Processos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Interface com Gestão de Ativos/CMDB (Etapa 7) e Gestão de Problemas (Etapa 2).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19. Tratamento de Falhas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Se o requisitante não corrigir as pendências em até 48h, a RFC é cancelada automaticamente.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20. Exemplo Prático de Aplicação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Solicitação de atualização da versão do PHP no servidor web de e-commerce da empresa.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4A5568"/>
          <w:sz w:val="26"/>
        </w:rPr>
        <w:t>POP-GMU-002: Avaliação de Impacto, Análise de Risco e Plano de Rollback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1. Identificador e Nome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POP-GMU-002: Avaliação de Impacto, Análise de Risco e Plano de Rollback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2. Objetivo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Analisar tecnicamente os riscos de uma mudança normal, mensurar seu impacto no negócio e validar o procedimento de retorno (rollback).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3. Responsável pela Execução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Líder Técnico, Arquiteto de Soluções, Analista de Segurança da Informação e Gerente de Mudanças.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4. Aprovador e Consultado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Aprovador: Gerente de Mudanças | Consultado: Especialistas dos Sistemas Interligados.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5. Pré-requisitos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RFC devidamente triada no POP-GMU-001.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6. Entradas Necessárias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Dados da RFC, mapa de dependências da CMDB e relatório de testes de carga/segurança.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7. Ferramenta e Recursos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Matriz de Cálculo de Risco no ITSM, CMDB e ambiente de homologação (Staging).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8. Instruções Numeradas de Execução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1. Analisar a topologia do CI afetado na CMDB e identificar sistemas dependentes.</w:t>
              <w:br/>
              <w:t>2. Preencher o Questionário de Avaliação de Risco no ITSM (Avaliando: Complexidade, Abrangência de Usuários, Redundância e Tempo de Downtime).</w:t>
              <w:br/>
              <w:t>3. Verificar se a mudança afeta dados pessoais (LGPD) ou controles financeiros (SOX).</w:t>
              <w:br/>
              <w:t>4. Exigir o procedimento de Rollback passo a passo e validar se o tempo estimado de rollback cabe dentro da janela de manutenção.</w:t>
              <w:br/>
              <w:t>5. Emitir o Parecer Técnico de Risco (Baixo, Médio, Alto, Crítico) e anexar à RFC.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9. Perguntas de Verificação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Se a mudança falhar no meio da execução, o rollback consegue restaurar o serviço dentro da janela de manutenção sem perda de dados?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10. Regras de Negócio e Decisões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Mudanças classificadas com Risco Crítico exigem simulação prévia obrigatória do rollback em ambiente de homologação.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11. Exceções e Caminhos Alternativos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Se o rollback não for tecnicamente viável (ex.: migração irrestritível de banco de dados), exige-se um Plano de Contingência/Contenção aprovado pelo CISO.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12. Prazos e SLA de Atendimento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Conclusão da análise técnica de risco até 48 horas antes da reunião do CAB.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13. Saídas e Registros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Parecer de Risco emitido e RFC atualizada para status 'Aguardando Aprovação do CAB'.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14. Evidências Auditáveis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Questionário de Risco respondido e assinado eletronicamente pelo Líder Técnico no ITSM.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15. Controles Aplicáveis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Controle ISO 27001 A.8.32 (Impact Assessment) e COBIT 5 BAI06.02.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16. Critérios de Conclusão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Análise de risco concluída e viabilidade técnica de rollback comprovada.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17. Indicadores Relacionados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Acurácia no Diagnóstico de Risco (% de mudanças sem riscos não previstos).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18. Interfaces com Outros Processos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Interface com Gestão da Segurança da Informação (SGSI / ISO 27001) e Gestão de Continuidade (ITSCM).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19. Tratamento de Falhas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Se o parecer técnico for desfavorável, a RFC retorna ao requisitante para adequação arquitetural.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20. Exemplo Prático de Aplicação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Análise de risco para migração do banco de dados Oracle de servidor físico On-Premise para AWS RDS.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4A5568"/>
          <w:sz w:val="26"/>
        </w:rPr>
        <w:t>POP-GMU-003: Convocação, Condução e Deliberação do Comitê de Mudanças (CAB / ECAB)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1. Identificador e Nome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POP-GMU-003: Convocação, Condução e Deliberação do Comitê de Mudanças (CAB / ECAB)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2. Objetivo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Avaliar colegiadamente as solicitações de mudança de médio e alto risco, ponderando seus impactos no negócio e deliberando formalmente sua autorização.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3. Responsável pela Execução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Presidente do CAB (Gerente de Mudanças), Membros do CAB (Representantes de Infra, Sistemas, Segurança, Negócio, Operações) e ECAB.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4. Aprovador e Consultado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Aprovador: Presidente do CAB | Consultado: Diretores das Áreas de Negócio Afetadas.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5. Pré-requisitos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RFCs com análise de risco concluída (POP-GMU-002) e pauta enviada com 24h de antecedência.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6. Entradas Necessárias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Pauta do CAB e relatórios de RFCs em análise.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7. Ferramenta e Recursos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Sistema ITSM (Painel do CAB), Sala de Reunião / Teams e Agenda de Mudanças (FSC).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8. Instruções Numeradas de Execução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1. Abrir a sessão semanal do CAB e verificar o quórum mínimo obrigatório.</w:t>
              <w:br/>
              <w:t>2. O Requisitante apresenta sucintamente a RFC, o plano de execução e o rollback.</w:t>
              <w:br/>
              <w:t>3. Os membros do CAB realizam questionamentos sobre impactos cruzados e janelas de concorrência.</w:t>
              <w:br/>
              <w:t>4. O CISO valida os aspectos de segurança e compliance.</w:t>
              <w:br/>
              <w:t>5. O Presidente colhe os votos dos membros do CAB.</w:t>
              <w:br/>
              <w:t>6. Registrar a deliberação no ITSM (Aprovado, Rejeitado, Suspenso para Ajustes).</w:t>
              <w:br/>
              <w:t>7. Publicar a Agenda Oficial de Mudanças (FSC) para toda a TI e Operações.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9. Perguntas de Verificação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Há concordância entre a TI e a Área de Negócio sobre a janela de manutenção proposta?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10. Regras de Negócio e Decisões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Aprovação exige unanimidade dos membros votantes em relação a aspectos de segurança e estabilidade.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11. Exceções e Caminhos Alternativos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Em caso de Mudança Emergencial, o ECAB é convocado virtualmente com deliberação expressa em até 2 horas.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12. Prazos e SLA de Atendimento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Reuniões semanais ordinárias do CAB (ex.: Terça-feira às 14h) com duração máxima de 60 minutos.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13. Saídas e Registros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Ata da Reunião do CAB anexada ao ITSM e RFCs alteradas para status 'Aprovada para Implantação'.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14. Evidências Auditáveis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Ata de Reunião com lista de presença, registro de votos e gravação da sessão Teams.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15. Controles Aplicáveis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Controle SOX ITGC Change Authorization &amp; ISO 20000-1 Cláusula 8.5.2.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16. Critérios de Conclusão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RFCs deliberadas formalmente e registradas no sistema com autorização de execução.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17. Indicadores Relacionados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Índice de Aprovação do CAB (%) e Frequência de Convocação do ECAB.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18. Interfaces com Outros Processos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Interface com Gestão do Nível de Serviço / Catálogo (SLM) e Comunicação Corporativa.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19. Tratamento de Falhas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Se não houver quórum mínimo no CAB, as RFCs críticas são deliberadas individualmente via aprovação emergencial do CIO.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20. Exemplo Prático de Aplicação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Deliberação do CAB sobre a implantação da nova versão do portal de Internet Banking.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4A5568"/>
          <w:sz w:val="26"/>
        </w:rPr>
        <w:t>POP-GMU-004: Planejamento, Pacote de Liberação (Release) e Testes de Aceite (UAT)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1. Identificador e Nome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POP-GMU-004: Planejamento, Pacote de Liberação (Release) e Testes de Aceite (UAT)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2. Objetivo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Empacotar os artefatos aprovados, garantir a integridade dos arquivos e conduzir os testes de aceite de usuário (UAT) antes do deploy.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3. Responsável pela Execução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Release Manager, Equipe de DevSecOps, Analista de QA e Usuários Homologadores.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4. Aprovador e Consultado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Aprovador: Release Manager | Consultado: Gestor de Negócio Dono do Processo.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5. Pré-requisitos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RFC aprovada pelo CAB (POP-GMU-003).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6. Entradas Necessárias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Código-fonte aprovado, scripts SQL, pacotes compilados e plano de implantação.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7. Ferramenta e Recursos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Repositório de Artefatos (Nexus/JFrog), Jenkins/Azure DevOps, SonarQube e ITSM.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8. Instruções Numeradas de Execução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1. Consolidar os artefatos autorizados no Pacote de Liberação (Release Package vX.Y.Z).</w:t>
              <w:br/>
              <w:t>2. Executar a varredura automática de qualidade de código e vulnerabilidades (SonarQube/SAST).</w:t>
              <w:br/>
              <w:t>3. Disponibilizar o pacote no ambiente de Homologação (Staging).</w:t>
              <w:br/>
              <w:t>4. Acompanhar a execução dos Testes de Aceite do Usuário (UAT).</w:t>
              <w:br/>
              <w:t>5. Colher o Aceite Formal assinado pelo Key User do Negócio.</w:t>
              <w:br/>
              <w:t>6. Travar o Pacote de Liberação no repositório imutável (Tag de Release no Git).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9. Perguntas de Verificação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O aceite do usuário (UAT) foi assinado formalmente? A varredura de código aprovou a release sem vulnerabilidades críticas?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10. Regras de Negócio e Decisões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É terminantemente proibido alterar qualquer arquivo dentro do Pacote de Liberação após a concessão do Aceite de UAT.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11. Exceções e Caminhos Alternativos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Em correções emergencias (Hotfix), o UAT pode ser simplificado mediante autorização expressa do Dono do Produto (PO).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12. Prazos e SLA de Atendimento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Empacotamento e trava do release até 12 horas antes da janela de implantação.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13. Saídas e Registros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Release Package homologado, Termo de Aceite de UAT anexado e tag de release publicada.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14. Evidências Auditáveis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Relatório do SonarQube (Zero vulnerabilidades High/Critical), Termo de Aceite UAT assinado e hash SHA-256 do pacote.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15. Controles Aplicáveis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Controle ISO 27001 A.8.28 (Secure Coding) e SOX ITGC Pre-Implementation Testing.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16. Critérios de Conclusão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Pacote congelado e pronto para implantação pela equipe de operações.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17. Indicadores Relacionados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Taxa de Defeitos Encontrados em UAT vs. Produção.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18. Interfaces com Outros Processos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Interface com Gestão de Qualidade/Testes e Gestão de Configuração (CMDB).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19. Tratamento de Falhas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Se o UAT falhar, a release é abortada e a RFC retorna ao status 'Em Desenvolvimento'.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20. Exemplo Prático de Aplicação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Geração do pacote v3.2.0 do aplicativo móvel contendo a nova funcionalidade de PIX Copia e Cola.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4A5568"/>
          <w:sz w:val="26"/>
        </w:rPr>
        <w:t>POP-GMU-005: Execução da Implantação (Deployment), Verificação Pós-Mudança (PIR) e Rollback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1. Identificador e Nome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POP-GMU-005: Execução da Implantação (Deployment), Verificação Pós-Mudança (PIR) e Rollback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2. Objetivo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Executar a implantação da mudança no ambiente produtivo dentro da janela autorizada, realizar a verificação de funcionamento e acionar o rollback em caso de anomalia.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3. Responsável pela Execução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Equipe de Operações de TI / SysAdmins, Engenheiro de DevOps, Service Desk N1 e Requisitante.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4. Aprovador e Consultado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Aprovador: Gerente de Mudanças | Consultado: Incident Manager e CISO.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5. Pré-requisitos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Pacote de Liberação travado (POP-GMU-004), janela de manutenção iniciada e equipe de sobreaviso pronta.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6. Entradas Necessárias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Roteiro de Implantação (Checklist de Deploy), Código/Artefatos e Roteiro de Rollback.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7. Ferramenta e Recursos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Pipeline de Deploy (Ansible/Terraform/Azure Pipelines), Ferramentas de APM (Dynatrace/Datadog) e ITSM.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8. Instruções Numeradas de Execução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1. Registrar o início da janela e o status 'Em Execução' na RFC no ITSM.</w:t>
              <w:br/>
              <w:t>2. Executar o backup de segurança dos dados e estado atual (Snapshot pré-deploy).</w:t>
              <w:br/>
              <w:t>3. Aplicar os artefatos em produção conforme o roteiro homologado.</w:t>
              <w:br/>
              <w:t>4. Executar os Testes de Fumaça (Smoke Tests) para validar os serviços vitais.</w:t>
              <w:br/>
              <w:t>5. SE OS TESTES PASSAREM: Confirmar a estabilização, atualizar a CMDB e encerrar a janela.</w:t>
              <w:br/>
              <w:t>6. SE OS TESTES FALHAREM OU O TEMPO LIMITE DA JANELA FOR ATINGIDO: Acionar imediatamente o Plano de Rollback, restaurar o snapshot pré-deploy, validar o retorno do ambiente e registrar a falha na RFC.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9. Perguntas de Verificação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O Smoke Test aprovou 100% das funções vitais? A janela de manutenção ainda possui margem de tempo segura para rollback se necessário?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10. Regras de Negócio e Decisões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Atingido o 'Ponto de Não Retorno' (Drop-dead Time) sem sucesso nos testes, a execução da mudança DEVE ser abortada e o Rollback aplicado imediatamente.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11. Exceções e Caminhos Alternativos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Em implantações com arquitetura Blue-Green ou Feature Toggles, a reversão é realizada instantaneamente com a virada do roteador/chaveador de tráfego.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12. Prazos e SLA de Atendimento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Execução adstrita ao horário exato autorizado na janela de manutenção (ex.: Domingo das 01h às 05h).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13. Saídas e Registros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Mudança Implantada com Sucesso OU Rollback Executado; Registro de PIR (Post-Implementation Review) preenchido no ITSM.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14. Evidências Auditáveis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Logs do pipeline de deploy, resultado do Smoke Test automatizado e atualização do CI na CMDB.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15. Controles Aplicáveis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Controle SOX ITGC Production Deployment &amp; ISO 27001 A.8.32.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16. Critérios de Conclusão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Serviço totalmente restabelecido e operando com estabilidade no ambiente produtivo.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17. Indicadores Relacionados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Taxa de Sucesso em Implantação (%) e Frequência de Rollbacks (%).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18. Interfaces com Outros Processos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Interface com Gestão de Incidentes (Etapa 1) e Gestão de Ativos/CMDB (Etapa 7).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19. Tratamento de Falhas</w:t>
            </w:r>
          </w:p>
        </w:tc>
        <w:tc>
          <w:tcPr>
            <w:tcW w:type="dxa" w:w="6192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Se o Rollback falhar, o processo escala imediatamente para Incidente P1 conforme o POP-INC-005 e abre-se Sala de Crise.</w:t>
            </w:r>
          </w:p>
        </w:tc>
      </w:tr>
      <w:tr>
        <w:tc>
          <w:tcPr>
            <w:tcW w:type="dxa" w:w="3168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20. Exemplo Prático de Aplicação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1E1E"/>
                <w:sz w:val="17"/>
              </w:rPr>
              <w:t>Implantação da nova versão do sistema de faturamento na nuvem AWS durante a janela de domingo de madrugada.</w:t>
            </w:r>
          </w:p>
        </w:tc>
      </w:tr>
    </w:tbl>
    <w:p/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12. Regras de Negócio, Decisões, Exceções e Escalonamentos</w:t>
      </w:r>
    </w:p>
    <w:p>
      <w:r>
        <w:t>As regras institucionais de GMUD devem ser seguidas de forma estrita por todas as equipes tecnológicas:</w:t>
      </w:r>
    </w:p>
    <w:p>
      <w:pPr>
        <w:pStyle w:val="ListBullet"/>
        <w:spacing w:after="60"/>
      </w:pPr>
      <w:r>
        <w:rPr>
          <w:b/>
          <w:color w:val="1B365D"/>
        </w:rPr>
        <w:t xml:space="preserve">Proibição do Deploy sem RFC: </w:t>
      </w:r>
      <w:r>
        <w:t>Nenhuma alteração em ambiente de produção pode ser executada sem um chamado de RFC aprovado no sistema ITSM. O descumprimento é tratado como infração gravíssima de segurança.</w:t>
      </w:r>
    </w:p>
    <w:p>
      <w:pPr>
        <w:pStyle w:val="ListBullet"/>
        <w:spacing w:after="60"/>
      </w:pPr>
      <w:r>
        <w:rPr>
          <w:b/>
          <w:color w:val="1B365D"/>
        </w:rPr>
        <w:t xml:space="preserve">Regra da Segregação de Funções (SoD): </w:t>
      </w:r>
      <w:r>
        <w:t>O profissional que desenvolveu ou solicitou a mudança NÃO PODE ter a permissão de aprovação no CAB e nem a credencial para executar a publicação em produção.</w:t>
      </w:r>
    </w:p>
    <w:p>
      <w:pPr>
        <w:pStyle w:val="ListBullet"/>
        <w:spacing w:after="60"/>
      </w:pPr>
      <w:r>
        <w:rPr>
          <w:b/>
          <w:color w:val="1B365D"/>
        </w:rPr>
        <w:t xml:space="preserve">Período de Congelamento de Mudanças (Change Freeze): </w:t>
      </w:r>
      <w:r>
        <w:t>Durante datas críticas para o negócio (ex.: Black Friday, fechamento contábil mensal e balanço anual), proíbe-se a execução de Mudanças Normais. Apenas correções de emergência (ECAB) são permitidas.</w:t>
      </w:r>
    </w:p>
    <w:p>
      <w:pPr>
        <w:pStyle w:val="ListBullet"/>
        <w:spacing w:after="60"/>
      </w:pPr>
      <w:r>
        <w:rPr>
          <w:b/>
          <w:color w:val="1B365D"/>
        </w:rPr>
        <w:t xml:space="preserve">Janela de Manutenção Padrão: </w:t>
      </w:r>
      <w:r>
        <w:t>Mudanças de alto impacto devem ser alocadas prioritariamente nas janelas de menor uso dos sistemas (ex.: Madrugadas de finais de semana).</w:t>
      </w:r>
    </w:p>
    <w:p>
      <w:pPr>
        <w:pStyle w:val="ListBullet"/>
        <w:spacing w:after="60"/>
      </w:pPr>
      <w:r>
        <w:rPr>
          <w:b/>
          <w:color w:val="1B365D"/>
        </w:rPr>
        <w:t xml:space="preserve">Tempo Limite de Reversão (Drop-dead Time): </w:t>
      </w:r>
      <w:r>
        <w:t>Cada RFC deve definir a hora exata em que, se a implantação não for concluída, o rollback deve ser iniciado compulsoriamente para garantir a entrega do sistema antes do início do expediente.</w:t>
      </w: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13. Riscos, Controles (RCSA) e Evidências Auditáveis</w:t>
      </w:r>
    </w:p>
    <w:p>
      <w:r>
        <w:t>O processo de GMUD incorpora a seguinte Matriz de Riscos e Controles (RCSA) estruturada para atendimento pleno às auditorias SOX e ISO 27001: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Risco Mapeado</w:t>
            </w:r>
          </w:p>
        </w:tc>
        <w:tc>
          <w:tcPr>
            <w:tcW w:type="dxa" w:w="3168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Controle Preventivo / Detectivo</w:t>
            </w:r>
          </w:p>
        </w:tc>
        <w:tc>
          <w:tcPr>
            <w:tcW w:type="dxa" w:w="1152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Frequência</w:t>
            </w:r>
          </w:p>
        </w:tc>
        <w:tc>
          <w:tcPr>
            <w:tcW w:type="dxa" w:w="2448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Evidência Auditável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Mudança executada sem aprovação prévia em produção.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Bloqueio de credenciais diretas nos servidores + Logs de auditoria no pipeline.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7"/>
              </w:rPr>
              <w:t>Contínuo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7"/>
              </w:rPr>
              <w:t>Relatório de divergências entre deploys e RFCs aprovadas.</w:t>
            </w:r>
          </w:p>
        </w:tc>
      </w:tr>
      <w:tr>
        <w:tc>
          <w:tcPr>
            <w:tcW w:type="dxa" w:w="2592"/>
            <w:shd w:fill="F9FAFB"/>
          </w:tcPr>
          <w:p>
            <w:pPr>
              <w:spacing w:after="0"/>
            </w:pPr>
            <w:r>
              <w:rPr>
                <w:sz w:val="17"/>
              </w:rPr>
              <w:t>Implantação de código com bugs que causam parada de serviço.</w:t>
            </w:r>
          </w:p>
        </w:tc>
        <w:tc>
          <w:tcPr>
            <w:tcW w:type="dxa" w:w="3168"/>
            <w:shd w:fill="F9FAFB"/>
          </w:tcPr>
          <w:p>
            <w:pPr>
              <w:spacing w:after="0"/>
            </w:pPr>
            <w:r>
              <w:rPr>
                <w:sz w:val="17"/>
              </w:rPr>
              <w:t>Obrigatoriedade de testes de homologação (UAT) e aprovação de QA antes do deploy.</w:t>
            </w:r>
          </w:p>
        </w:tc>
        <w:tc>
          <w:tcPr>
            <w:tcW w:type="dxa" w:w="1152"/>
            <w:shd w:fill="F9FAFB"/>
          </w:tcPr>
          <w:p>
            <w:pPr>
              <w:spacing w:after="0"/>
            </w:pPr>
            <w:r>
              <w:rPr>
                <w:sz w:val="17"/>
              </w:rPr>
              <w:t>Por Mudança</w:t>
            </w:r>
          </w:p>
        </w:tc>
        <w:tc>
          <w:tcPr>
            <w:tcW w:type="dxa" w:w="2448"/>
            <w:shd w:fill="F9FAFB"/>
          </w:tcPr>
          <w:p>
            <w:pPr>
              <w:spacing w:after="0"/>
            </w:pPr>
            <w:r>
              <w:rPr>
                <w:sz w:val="17"/>
              </w:rPr>
              <w:t>Termo de Aceite de UAT e relatório de cobertura de testes.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Perda de dados em falha de migração sem capacidade de reversão.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Exigência de Snapshot/Backup pré-deploy e validação do Plano de Rollback.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7"/>
              </w:rPr>
              <w:t>Por Mudança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7"/>
              </w:rPr>
              <w:t>Log de validação do backup e teste de rollback assinado.</w:t>
            </w:r>
          </w:p>
        </w:tc>
      </w:tr>
      <w:tr>
        <w:tc>
          <w:tcPr>
            <w:tcW w:type="dxa" w:w="2592"/>
            <w:shd w:fill="F9FAFB"/>
          </w:tcPr>
          <w:p>
            <w:pPr>
              <w:spacing w:after="0"/>
            </w:pPr>
            <w:r>
              <w:rPr>
                <w:sz w:val="17"/>
              </w:rPr>
              <w:t>Violação de segregação de funções (Desenvolvedor aplicando em produção).</w:t>
            </w:r>
          </w:p>
        </w:tc>
        <w:tc>
          <w:tcPr>
            <w:tcW w:type="dxa" w:w="3168"/>
            <w:shd w:fill="F9FAFB"/>
          </w:tcPr>
          <w:p>
            <w:pPr>
              <w:spacing w:after="0"/>
            </w:pPr>
            <w:r>
              <w:rPr>
                <w:sz w:val="17"/>
              </w:rPr>
              <w:t>Configuração de perfis de acesso no ITSM/GitLab e automação via ferramenta de deploy.</w:t>
            </w:r>
          </w:p>
        </w:tc>
        <w:tc>
          <w:tcPr>
            <w:tcW w:type="dxa" w:w="1152"/>
            <w:shd w:fill="F9FAFB"/>
          </w:tcPr>
          <w:p>
            <w:pPr>
              <w:spacing w:after="0"/>
            </w:pPr>
            <w:r>
              <w:rPr>
                <w:sz w:val="17"/>
              </w:rPr>
              <w:t>Diário</w:t>
            </w:r>
          </w:p>
        </w:tc>
        <w:tc>
          <w:tcPr>
            <w:tcW w:type="dxa" w:w="2448"/>
            <w:shd w:fill="F9FAFB"/>
          </w:tcPr>
          <w:p>
            <w:pPr>
              <w:spacing w:after="0"/>
            </w:pPr>
            <w:r>
              <w:rPr>
                <w:sz w:val="17"/>
              </w:rPr>
              <w:t>Trilha de auditoria (Audit Trail) provando a separação do usuário requisitante e executor.</w:t>
            </w:r>
          </w:p>
        </w:tc>
      </w:tr>
    </w:tbl>
    <w:p/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14. Documentos, Formulários, Registros e Ferramentas</w:t>
      </w:r>
    </w:p>
    <w:p>
      <w:r>
        <w:t>A operação unificada de GMUD fundamenta-se nos seguintes instrumentos e tecnologias:</w:t>
      </w:r>
    </w:p>
    <w:p>
      <w:pPr>
        <w:pStyle w:val="ListBullet"/>
        <w:spacing w:after="40"/>
      </w:pPr>
      <w:r>
        <w:t>Sistema de Gestão de Serviços de TI (ITSM): Jira Service Management / ServiceNow para fluxo de RFCs, deliberação do CAB e histórico.</w:t>
      </w:r>
    </w:p>
    <w:p>
      <w:pPr>
        <w:pStyle w:val="ListBullet"/>
        <w:spacing w:after="40"/>
      </w:pPr>
      <w:r>
        <w:t>Repositórios de Código-Fonte e Controle de Versão: GitLab Enterprise / GitHub Enterprise com bloqueio de branch 'main/production'.</w:t>
      </w:r>
    </w:p>
    <w:p>
      <w:pPr>
        <w:pStyle w:val="ListBullet"/>
        <w:spacing w:after="40"/>
      </w:pPr>
      <w:r>
        <w:t>Esteira de CI/CD e Automação: Azure DevOps, Jenkins, GitLab CI e Ansible para execução automatizada de deployments.</w:t>
      </w:r>
    </w:p>
    <w:p>
      <w:pPr>
        <w:pStyle w:val="ListBullet"/>
        <w:spacing w:after="40"/>
      </w:pPr>
      <w:r>
        <w:t>Ferramentas de Qualidade e Segurança de Código: SonarQube (Análise Estática - SAST) e Fortify/Veracode.</w:t>
      </w:r>
    </w:p>
    <w:p>
      <w:pPr>
        <w:pStyle w:val="ListBullet"/>
        <w:spacing w:after="40"/>
      </w:pPr>
      <w:r>
        <w:t>Módulo de Configuração (CMDB): Mapeamento automático dos Itens de Configuração (CIs) afetados pelas mudanças.</w:t>
      </w: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15. Requisitos de Configuração e Integração Tecnológica</w:t>
      </w:r>
    </w:p>
    <w:p>
      <w:r>
        <w:t>Para viabilizar a rastreabilidade automatizada e eliminar gargalos manuais, exige-se a integração sistêmica entre a esteira de desenvolvimento e o sistema ITSM: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b/>
                <w:color w:val="1B365D"/>
                <w:sz w:val="22"/>
              </w:rPr>
              <w:t>📌 INTEGRAÇÃO DEVTOMATION &amp; QUALITY GATES</w:t>
              <w:br/>
            </w:r>
            <w:r>
              <w:rPr>
                <w:color w:val="323232"/>
                <w:sz w:val="20"/>
              </w:rPr>
              <w:t>• Trava Automática de Pipeline (CI/CD Quality Gate): A ferramenta de deploy (Jenkins/Azure DevOps) deve consultar a API do ITSM antes de iniciar a publicação. Se a RFC correspondente não estiver no status 'Aprovada para Implantação' e dentro da janela de tempo autorizada, o pipeline Cancela a execução automaticamente.</w:t>
              <w:br/>
              <w:t>• Fechamento Automático de Chamado: Após o deployment com sucesso e aprovação nos Smoke Tests, a ferramenta de CI/CD envia um Webhook ao ITSM atualizando o status da RFC para 'Implantada' e anexando os logs do deploy.</w:t>
            </w:r>
          </w:p>
        </w:tc>
      </w:tr>
    </w:tbl>
    <w:p/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16. Indicadores, Fórmulas, Fontes de Dados e Metas Propostas</w:t>
      </w:r>
    </w:p>
    <w:p>
      <w:r>
        <w:t>O desempenho da Gestão de Mudanças é avaliado mensalmente pelos seguintes Indicadores Chave de Desempenho (KPIs):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Indicador (KPI)</w:t>
            </w:r>
          </w:p>
        </w:tc>
        <w:tc>
          <w:tcPr>
            <w:tcW w:type="dxa" w:w="3168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Fórmula de Cálculo</w:t>
            </w:r>
          </w:p>
        </w:tc>
        <w:tc>
          <w:tcPr>
            <w:tcW w:type="dxa" w:w="1440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Meta Proposta</w:t>
            </w:r>
          </w:p>
        </w:tc>
        <w:tc>
          <w:tcPr>
            <w:tcW w:type="dxa" w:w="2160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Fonte dos Dados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Taxa de Sucesso em Mudanças (%)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(Nº Mudanças Bem Sucedidas / Total de Mudanças Executadas) * 100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7"/>
              </w:rPr>
              <w:t>≥ 95%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Relatório do ITSM</w:t>
            </w:r>
          </w:p>
        </w:tc>
      </w:tr>
      <w:tr>
        <w:tc>
          <w:tcPr>
            <w:tcW w:type="dxa" w:w="2592"/>
            <w:shd w:fill="F9FAFB"/>
          </w:tcPr>
          <w:p>
            <w:pPr>
              <w:spacing w:after="0"/>
            </w:pPr>
            <w:r>
              <w:rPr>
                <w:sz w:val="17"/>
              </w:rPr>
              <w:t>Percentual de Mudanças Emergenciais (%)</w:t>
            </w:r>
          </w:p>
        </w:tc>
        <w:tc>
          <w:tcPr>
            <w:tcW w:type="dxa" w:w="3168"/>
            <w:shd w:fill="F9FAFB"/>
          </w:tcPr>
          <w:p>
            <w:pPr>
              <w:spacing w:after="0"/>
            </w:pPr>
            <w:r>
              <w:rPr>
                <w:sz w:val="17"/>
              </w:rPr>
              <w:t>(Nº de RFCs Emergenciais / Total de RFCs Executadas) * 100</w:t>
            </w:r>
          </w:p>
        </w:tc>
        <w:tc>
          <w:tcPr>
            <w:tcW w:type="dxa" w:w="1440"/>
            <w:shd w:fill="F9FAFB"/>
          </w:tcPr>
          <w:p>
            <w:pPr>
              <w:spacing w:after="0"/>
            </w:pPr>
            <w:r>
              <w:rPr>
                <w:sz w:val="17"/>
              </w:rPr>
              <w:t>≤ 5%</w:t>
            </w:r>
          </w:p>
        </w:tc>
        <w:tc>
          <w:tcPr>
            <w:tcW w:type="dxa" w:w="2160"/>
            <w:shd w:fill="F9FAFB"/>
          </w:tcPr>
          <w:p>
            <w:pPr>
              <w:spacing w:after="0"/>
            </w:pPr>
            <w:r>
              <w:rPr>
                <w:sz w:val="17"/>
              </w:rPr>
              <w:t>Módulo de Mudanças ITSM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Incidentes P1 Causados por Mudança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Contagem absoluta de Incidentes P1 cuja causa raiz foi uma mudança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7"/>
              </w:rPr>
              <w:t>ZERO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Gestão de Incidentes &amp; Problemas</w:t>
            </w:r>
          </w:p>
        </w:tc>
      </w:tr>
      <w:tr>
        <w:tc>
          <w:tcPr>
            <w:tcW w:type="dxa" w:w="2592"/>
            <w:shd w:fill="F9FAFB"/>
          </w:tcPr>
          <w:p>
            <w:pPr>
              <w:spacing w:after="0"/>
            </w:pPr>
            <w:r>
              <w:rPr>
                <w:sz w:val="17"/>
              </w:rPr>
              <w:t>Taxa de Execução de Rollback (%)</w:t>
            </w:r>
          </w:p>
        </w:tc>
        <w:tc>
          <w:tcPr>
            <w:tcW w:type="dxa" w:w="3168"/>
            <w:shd w:fill="F9FAFB"/>
          </w:tcPr>
          <w:p>
            <w:pPr>
              <w:spacing w:after="0"/>
            </w:pPr>
            <w:r>
              <w:rPr>
                <w:sz w:val="17"/>
              </w:rPr>
              <w:t>(Nº de Mudanças que Exigiram Rollback / Total Executado) * 100</w:t>
            </w:r>
          </w:p>
        </w:tc>
        <w:tc>
          <w:tcPr>
            <w:tcW w:type="dxa" w:w="1440"/>
            <w:shd w:fill="F9FAFB"/>
          </w:tcPr>
          <w:p>
            <w:pPr>
              <w:spacing w:after="0"/>
            </w:pPr>
            <w:r>
              <w:rPr>
                <w:sz w:val="17"/>
              </w:rPr>
              <w:t>≤ 3%</w:t>
            </w:r>
          </w:p>
        </w:tc>
        <w:tc>
          <w:tcPr>
            <w:tcW w:type="dxa" w:w="2160"/>
            <w:shd w:fill="F9FAFB"/>
          </w:tcPr>
          <w:p>
            <w:pPr>
              <w:spacing w:after="0"/>
            </w:pPr>
            <w:r>
              <w:rPr>
                <w:sz w:val="17"/>
              </w:rPr>
              <w:t>Relatórios de Deploy / ITSM</w:t>
            </w:r>
          </w:p>
        </w:tc>
      </w:tr>
    </w:tbl>
    <w:p/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17. Plano de Implantação (Roadmap de 60 Dias)</w:t>
      </w:r>
    </w:p>
    <w:p>
      <w:r>
        <w:t>Cronograma indicativo do processo de GMUD: 4 fases ao longo de 60 dias, conforme as etapas descritas abaixo. Os prazos são estimativas sujeitas a ajuste conforme escopo, recursos, dependências e cenário real; não substituem os 90 dias previstos para a implantação inicial do programa nem o horizonte de até 18 meses para evolução e maturação.</w:t>
      </w: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18. Plano de Comunicação e Capacitação</w:t>
      </w:r>
    </w:p>
    <w:p>
      <w:r>
        <w:t>Realização de workshops obrigatórios para desenvolvedores, analistas de infraestrutura e gestores de negócios, reforçando a cultura de responsabilidade em deploys e o preenchimento correto das RFCs.</w:t>
      </w: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19. Testes, Cenários e Critérios de Aceite</w:t>
      </w:r>
    </w:p>
    <w:p>
      <w:r>
        <w:t>Realização de testes simulados de homologação de RFCs no ITSM, simulação de reunião emergencial do ECAB com deliberação em menos de 1 hora e teste de travamento automático de pipeline CI/CD sem RFC aprovada.</w:t>
      </w: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20. Entrada em Operação e Estabilização (Hypercare)</w:t>
      </w:r>
    </w:p>
    <w:p>
      <w:r>
        <w:t>Período de 30 dias de acompanhamento intensivo pré e pós-CAB, com presença do especialista de GRC para orientar os requisitantes e tirar dúvidas operacionais.</w:t>
      </w: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21. Rotinas de Monitoramento e Sustentação</w:t>
      </w:r>
    </w:p>
    <w:p>
      <w:r>
        <w:t>Reuniões mensais de análise crítica dos indicadores de mudanças entre o Gerente de Mudanças, CISO e Líderes de Desenvolvimento.</w:t>
      </w: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22. Auditoria, Revisão e Melhoria Contínua (CSI)</w:t>
      </w:r>
    </w:p>
    <w:p>
      <w:r>
        <w:t>Auditoria trimestral por amostragem verificando a aderência das mudanças aos controles SOX e ISO 27001, alimentando o Registro de Melhoria Contínua (CIR).</w:t>
      </w: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23. Anexos Operacionais Práticos (Kits Turn-Key)</w:t>
      </w:r>
    </w:p>
    <w:p>
      <w:r>
        <w:t>Apresentam-se a seguir os 5 Anexos Operacionais redigidos em texto integral e modelos prontos para uso imediato.</w:t>
      </w:r>
    </w:p>
    <w:p>
      <w:pPr>
        <w:keepNext/>
        <w:spacing w:before="280" w:after="120"/>
      </w:pPr>
      <w:r>
        <w:rPr>
          <w:rFonts w:ascii="Arial" w:hAnsi="Arial"/>
          <w:b/>
          <w:color w:val="4A5568"/>
          <w:sz w:val="26"/>
        </w:rPr>
        <w:t>ANEXO A — Minuta da Política Corporativa de Gestão de Mudanças e Liberações (POL-TI-003)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r>
              <w:t>📌 MINUTA DA POLÍTICA CORPORATIVA DE GMUD — PARA AVALIAÇÃO, NÃO APROVADA</w:t>
              <w:br/>
              <w:t>POLÍTICA CORPORATIVA DE GESTÃO DE MUDANÇAS E LIBERAÇÕES</w:t>
              <w:br/>
              <w:t>CÓDIGO: POL-TI-003 | VERSÃO: 2.0 | APROVAÇÃO: DIRETORIA DE TI &amp; CISO</w:t>
              <w:br/>
              <w:br/>
              <w:t>1. OBJETIVO: Estabelecer as diretrizes obrigatórias para a proposição, avaliação, autorização, execução e revisão de todas as alterações nos ambientes de Tecnologia da Informação da Organização.</w:t>
              <w:br/>
              <w:br/>
              <w:t>2. ABRANGÊNCIA: Esta política aplica-se a todos os colaboradores, prestadores de serviços, consultores e fornecedores que atuem na sustentação, desenvolvimento ou manutenção de sistemas e infraestrutura de TI.</w:t>
              <w:br/>
              <w:br/>
              <w:t>3. DIRETRIZES GERAIS:</w:t>
              <w:br/>
              <w:t>3.1. É estritamente proibida a execução de qualquer alteração no ambiente produtivo sem o prévio registro e aprovação de uma Requisição de Mudança (RFC) no sistema ITSM oficial.</w:t>
              <w:br/>
              <w:t>3.2. Todas as mudanças normais devem possuir plano de testes homologado em ambiente de Staging e um Plano de Rollback detalhado e exequível dentro da janela de manutenção.</w:t>
              <w:br/>
              <w:t>3.3. Aplica-se compulsoriamente a Regra de Segregação de Funções (SoD): nenhum profissional pode aprovar a própria solicitação de mudança ou ter privilégios para publicar códigos que desenvolveu sem validação independente.</w:t>
              <w:br/>
              <w:t>3.4. Mudanças Emergenciais devem restringir-se estritamente à restauração de indisponibilidades graves (P1) ou contenção de vulnerabilidades críticas, sujeitas à deliberação do ECAB e auditoria a posteriori em até 24h.</w:t>
              <w:br/>
              <w:br/>
              <w:t>4. PENALIDADES: O descumprimento intencional desta política, incluindo a execução de 'mudanças não autorizadas' em produção, constitui falta grave passível de sanções disciplinares conforme o Código de Conduta e a legislação trabalhista vigente.</w:t>
              <w:br/>
              <w:br/>
              <w:t>5. VIGÊNCIA: Esta política entra em vigor na data de sua publicação, revogando disposições em contrário.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4A5568"/>
          <w:sz w:val="26"/>
        </w:rPr>
        <w:t>ANEXO B — Formulário/Template de Request for Change (RFC) e Checklist de Prontidão de Liberação</w:t>
      </w:r>
    </w:p>
    <w:p>
      <w:r>
        <w:t>Modelo de campos obrigatórios que constituem o formulário de abertura de RFC no sistema ITSM: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1. Título da Mudança:</w:t>
            </w:r>
          </w:p>
        </w:tc>
        <w:tc>
          <w:tcPr>
            <w:tcW w:type="dxa" w:w="6048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Descrição sucinta e clara da alteração (ex.: Atualização do Engine do SGBD PostgreSQL).</w:t>
            </w:r>
          </w:p>
        </w:tc>
      </w:tr>
      <w:tr>
        <w:tc>
          <w:tcPr>
            <w:tcW w:type="dxa" w:w="3312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2. Justificativa de Negócio:</w:t>
            </w:r>
          </w:p>
        </w:tc>
        <w:tc>
          <w:tcPr>
            <w:tcW w:type="dxa" w:w="6048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Qual benefício ou correção a mudança traz para a organização?</w:t>
            </w:r>
          </w:p>
        </w:tc>
      </w:tr>
      <w:tr>
        <w:tc>
          <w:tcPr>
            <w:tcW w:type="dxa" w:w="3312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3. Tipo de Mudança:</w:t>
            </w:r>
          </w:p>
        </w:tc>
        <w:tc>
          <w:tcPr>
            <w:tcW w:type="dxa" w:w="6048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[  ] Padrão (Pre-approved)   [  ] Normal   [  ] Emergencial</w:t>
            </w:r>
          </w:p>
        </w:tc>
      </w:tr>
      <w:tr>
        <w:tc>
          <w:tcPr>
            <w:tcW w:type="dxa" w:w="3312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4. Itens de Configuração (CIs):</w:t>
            </w:r>
          </w:p>
        </w:tc>
        <w:tc>
          <w:tcPr>
            <w:tcW w:type="dxa" w:w="6048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Selecione o servidor, banco de dados ou sistema afetado cadastrado na CMDB.</w:t>
            </w:r>
          </w:p>
        </w:tc>
      </w:tr>
      <w:tr>
        <w:tc>
          <w:tcPr>
            <w:tcW w:type="dxa" w:w="3312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5. Roteiro de Execução (Passo a Passo):</w:t>
            </w:r>
          </w:p>
        </w:tc>
        <w:tc>
          <w:tcPr>
            <w:tcW w:type="dxa" w:w="6048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Descreva detalhadamente os comandos e procedimentos técnicos a serem executados.</w:t>
            </w:r>
          </w:p>
        </w:tc>
      </w:tr>
      <w:tr>
        <w:tc>
          <w:tcPr>
            <w:tcW w:type="dxa" w:w="3312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6. Plano de Rollback (Reversão):</w:t>
            </w:r>
          </w:p>
        </w:tc>
        <w:tc>
          <w:tcPr>
            <w:tcW w:type="dxa" w:w="6048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Procedimento exato para retornar o ambiente ao estado anterior em caso de falha.</w:t>
            </w:r>
          </w:p>
        </w:tc>
      </w:tr>
      <w:tr>
        <w:tc>
          <w:tcPr>
            <w:tcW w:type="dxa" w:w="3312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7. Evidência de Testes em QA:</w:t>
            </w:r>
          </w:p>
        </w:tc>
        <w:tc>
          <w:tcPr>
            <w:tcW w:type="dxa" w:w="6048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Anexar relatório de testes de homologação e aprovação de UAT do usuário.</w:t>
            </w:r>
          </w:p>
        </w:tc>
      </w:tr>
      <w:tr>
        <w:tc>
          <w:tcPr>
            <w:tcW w:type="dxa" w:w="3312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8. Janela Proposta:</w:t>
            </w:r>
          </w:p>
        </w:tc>
        <w:tc>
          <w:tcPr>
            <w:tcW w:type="dxa" w:w="6048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Data e horário de início e término pretendidos para a manutenção.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4A5568"/>
          <w:sz w:val="26"/>
        </w:rPr>
        <w:t>ANEXO C — Regimento Interno, Pauta Padrão e Ata do Comitê de Mudanças (CAB)</w:t>
      </w:r>
    </w:p>
    <w:p>
      <w:r>
        <w:t>Regulamento de funcionamento e modelo oficial de Ata de Deliberação do CAB: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r>
              <w:t>📌 MODELO ILUSTRATIVO — ATA DE DELIBERAÇÃO DO COMITÊ DE MUDANÇAS (CAB)</w:t>
              <w:br/>
              <w:t>REUNIÃO DO CAB Nº [preencher]</w:t>
              <w:br/>
              <w:t>DATA: [preencher após reunião real] | HORÁRIO: 14:00 às 15:00 | LOCAL: Teams / Sala do CAB</w:t>
              <w:br/>
              <w:t>PRESIDENTE: Gerente de Mudanças | MEMBROS PRESENTES: Infra, Dev, Segurança, Negócio, Ops</w:t>
              <w:br/>
              <w:br/>
              <w:t>DELIBERAÇÕES DA PAUTA:</w:t>
              <w:br/>
              <w:t>1. RFC-2026-104 (Migração de Cluster Kubernetes AWS): APROVADA por unanimidade. Janela autorizada para Domingo das 01h às 04h. Plano de Rollback validado.</w:t>
              <w:br/>
              <w:t>2. RFC-2026-108 (Nova funcionalidade no Portal de Vendas): REJEITADA. Falta de evidência anexada de testes de carga em ambiente de homologação.</w:t>
              <w:br/>
              <w:t>3. RFC-2026-112 (Atualização de Regras no Firewall da DMZ): APROVADA COM RESSALVAS. Exigida a presença da equipe de SI em sobreaviso durante o deploy.</w:t>
              <w:br/>
              <w:br/>
              <w:t>ENCERRAMENTO: Aprovada a Agenda Oficial de Mudanças (FSC). Ata assinada eletronicamente pelos presentes.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4A5568"/>
          <w:sz w:val="26"/>
        </w:rPr>
        <w:t>ANEXO D — Matriz de Avaliação de Risco de Mudança e Catálogo de Mudanças Padrão</w:t>
      </w:r>
    </w:p>
    <w:p>
      <w:r>
        <w:t>Cálculo pontuado do nível de risco da mudança e lista de mudanças pré-autorizadas: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Pontuação de Risco</w:t>
            </w:r>
          </w:p>
        </w:tc>
        <w:tc>
          <w:tcPr>
            <w:tcW w:type="dxa" w:w="2160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Nível de Risco</w:t>
            </w:r>
          </w:p>
        </w:tc>
        <w:tc>
          <w:tcPr>
            <w:tcW w:type="dxa" w:w="2880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Exigência de Aprovação</w:t>
            </w:r>
          </w:p>
        </w:tc>
        <w:tc>
          <w:tcPr>
            <w:tcW w:type="dxa" w:w="2160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Lead Time Mínimo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1 a 4 Pontos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Risco Baixo (Padrão)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Aprovação Automática no ITSM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Imediato</w:t>
            </w:r>
          </w:p>
        </w:tc>
      </w:tr>
      <w:tr>
        <w:tc>
          <w:tcPr>
            <w:tcW w:type="dxa" w:w="2160"/>
            <w:shd w:fill="F9FAFB"/>
          </w:tcPr>
          <w:p>
            <w:pPr>
              <w:spacing w:after="0"/>
            </w:pPr>
            <w:r>
              <w:rPr>
                <w:sz w:val="17"/>
              </w:rPr>
              <w:t>5 a 9 Pontos</w:t>
            </w:r>
          </w:p>
        </w:tc>
        <w:tc>
          <w:tcPr>
            <w:tcW w:type="dxa" w:w="2160"/>
            <w:shd w:fill="F9FAFB"/>
          </w:tcPr>
          <w:p>
            <w:pPr>
              <w:spacing w:after="0"/>
            </w:pPr>
            <w:r>
              <w:rPr>
                <w:sz w:val="17"/>
              </w:rPr>
              <w:t>Risco Médio (Normal)</w:t>
            </w:r>
          </w:p>
        </w:tc>
        <w:tc>
          <w:tcPr>
            <w:tcW w:type="dxa" w:w="2880"/>
            <w:shd w:fill="F9FAFB"/>
          </w:tcPr>
          <w:p>
            <w:pPr>
              <w:spacing w:after="0"/>
            </w:pPr>
            <w:r>
              <w:rPr>
                <w:sz w:val="17"/>
              </w:rPr>
              <w:t>Aprovação do Gerente de Mudanças / Líder Técnico</w:t>
            </w:r>
          </w:p>
        </w:tc>
        <w:tc>
          <w:tcPr>
            <w:tcW w:type="dxa" w:w="2160"/>
            <w:shd w:fill="F9FAFB"/>
          </w:tcPr>
          <w:p>
            <w:pPr>
              <w:spacing w:after="0"/>
            </w:pPr>
            <w:r>
              <w:rPr>
                <w:sz w:val="17"/>
              </w:rPr>
              <w:t>48 Horas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10 a 14 Pontos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Risco Alto (Normal)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Deliberação e Aprovação do CAB Semanal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72 Horas</w:t>
            </w:r>
          </w:p>
        </w:tc>
      </w:tr>
      <w:tr>
        <w:tc>
          <w:tcPr>
            <w:tcW w:type="dxa" w:w="2160"/>
            <w:shd w:fill="F9FAFB"/>
          </w:tcPr>
          <w:p>
            <w:pPr>
              <w:spacing w:after="0"/>
            </w:pPr>
            <w:r>
              <w:rPr>
                <w:sz w:val="17"/>
              </w:rPr>
              <w:t>15 a 20 Pontos</w:t>
            </w:r>
          </w:p>
        </w:tc>
        <w:tc>
          <w:tcPr>
            <w:tcW w:type="dxa" w:w="2160"/>
            <w:shd w:fill="F9FAFB"/>
          </w:tcPr>
          <w:p>
            <w:pPr>
              <w:spacing w:after="0"/>
            </w:pPr>
            <w:r>
              <w:rPr>
                <w:sz w:val="17"/>
              </w:rPr>
              <w:t>Risco Crítico (Normal)</w:t>
            </w:r>
          </w:p>
        </w:tc>
        <w:tc>
          <w:tcPr>
            <w:tcW w:type="dxa" w:w="2880"/>
            <w:shd w:fill="F9FAFB"/>
          </w:tcPr>
          <w:p>
            <w:pPr>
              <w:spacing w:after="0"/>
            </w:pPr>
            <w:r>
              <w:rPr>
                <w:sz w:val="17"/>
              </w:rPr>
              <w:t>Aprovação do CAB + Avaliação do CISO &amp; CIO</w:t>
            </w:r>
          </w:p>
        </w:tc>
        <w:tc>
          <w:tcPr>
            <w:tcW w:type="dxa" w:w="2160"/>
            <w:shd w:fill="F9FAFB"/>
          </w:tcPr>
          <w:p>
            <w:pPr>
              <w:spacing w:after="0"/>
            </w:pPr>
            <w:r>
              <w:rPr>
                <w:sz w:val="17"/>
              </w:rPr>
              <w:t>7 Dias</w:t>
            </w:r>
          </w:p>
        </w:tc>
      </w:tr>
    </w:tbl>
    <w:p/>
    <w:p>
      <w:r>
        <w:t>Exemplos do Catálogo de Mudanças Padrão Pré-Aprovadas (Pre-approved Standard Changes):</w:t>
        <w:br/>
        <w:t>1. STD-GMU-001: Expansão de volume de disco pré-alocado em servidores virtuais sem reinicialização.</w:t>
        <w:br/>
        <w:t>2. STD-GMU-002: Aplicação de patches de segurança de nível baixo/médio em estações de trabalho de usuários.</w:t>
        <w:br/>
        <w:t>3. STD-GMU-003: Renovação de certificados digitais SSL/TLS com o mesmo nome de domínio e chave privada.</w:t>
      </w:r>
    </w:p>
    <w:p>
      <w:pPr>
        <w:keepNext/>
        <w:spacing w:before="280" w:after="120"/>
      </w:pPr>
      <w:r>
        <w:rPr>
          <w:rFonts w:ascii="Arial" w:hAnsi="Arial"/>
          <w:b/>
          <w:color w:val="4A5568"/>
          <w:sz w:val="26"/>
        </w:rPr>
        <w:t>ANEXO E — Roteiro de Capacitação, Treinamento e Onboarding em GMUD</w:t>
      </w:r>
    </w:p>
    <w:p>
      <w:r>
        <w:t>Estrutura do plano de capacitação prática para garantia da cultura corporativa de governança em mudanças: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Público-Alvo</w:t>
            </w:r>
          </w:p>
        </w:tc>
        <w:tc>
          <w:tcPr>
            <w:tcW w:type="dxa" w:w="2592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Módulo de Treinamento</w:t>
            </w:r>
          </w:p>
        </w:tc>
        <w:tc>
          <w:tcPr>
            <w:tcW w:type="dxa" w:w="1440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Carga Horária</w:t>
            </w:r>
          </w:p>
        </w:tc>
        <w:tc>
          <w:tcPr>
            <w:tcW w:type="dxa" w:w="3168"/>
            <w:shd w:fill="1B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Objetivo Prático do Treinamento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Desenvolvedores &amp; DevOps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DevSecOps &amp; GMUD na Esteira CI/CD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7"/>
              </w:rPr>
              <w:t>3 Horas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Capacitar no preenchimento automatizado de RFCs e trava de pipelines.</w:t>
            </w:r>
          </w:p>
        </w:tc>
      </w:tr>
      <w:tr>
        <w:tc>
          <w:tcPr>
            <w:tcW w:type="dxa" w:w="2160"/>
            <w:shd w:fill="F9FAFB"/>
          </w:tcPr>
          <w:p>
            <w:pPr>
              <w:spacing w:after="0"/>
            </w:pPr>
            <w:r>
              <w:rPr>
                <w:sz w:val="17"/>
              </w:rPr>
              <w:t>Membros do CAB &amp; Lideranças</w:t>
            </w:r>
          </w:p>
        </w:tc>
        <w:tc>
          <w:tcPr>
            <w:tcW w:type="dxa" w:w="2592"/>
            <w:shd w:fill="F9FAFB"/>
          </w:tcPr>
          <w:p>
            <w:pPr>
              <w:spacing w:after="0"/>
            </w:pPr>
            <w:r>
              <w:rPr>
                <w:sz w:val="17"/>
              </w:rPr>
              <w:t>Análise de Risco, SoD e Deliberação no CAB</w:t>
            </w:r>
          </w:p>
        </w:tc>
        <w:tc>
          <w:tcPr>
            <w:tcW w:type="dxa" w:w="1440"/>
            <w:shd w:fill="F9FAFB"/>
          </w:tcPr>
          <w:p>
            <w:pPr>
              <w:spacing w:after="0"/>
            </w:pPr>
            <w:r>
              <w:rPr>
                <w:sz w:val="17"/>
              </w:rPr>
              <w:t>2 Horas</w:t>
            </w:r>
          </w:p>
        </w:tc>
        <w:tc>
          <w:tcPr>
            <w:tcW w:type="dxa" w:w="3168"/>
            <w:shd w:fill="F9FAFB"/>
          </w:tcPr>
          <w:p>
            <w:pPr>
              <w:spacing w:after="0"/>
            </w:pPr>
            <w:r>
              <w:rPr>
                <w:sz w:val="17"/>
              </w:rPr>
              <w:t>Alinhar critérios de avaliação de risco e tomada de decisão colegiada.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SysAdmins &amp; Operações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Execução de Deploy, Janela e Rollback de Emergência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7"/>
              </w:rPr>
              <w:t>2 Horas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7"/>
              </w:rPr>
              <w:t>Treinar o cumprimento de janelas, testes de fumaça e protocolo de reversão.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7"/>
      </w:rPr>
      <w:t>Projeto 03: Gestão de Mudanças e Liberações (GMUD) — Uso Corporativo e Auditável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PROGRAMA INTEGRADO DE GOVERNANÇA DE TI | MANUALL DE GMUD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03 — Gestão de Mudanças e Liberações | versão revisada</dc:title>
  <dc:subject>Case simulado; modelo conceitual para adaptação e validação</dc:subject>
  <dc:creator>python-docx</dc:creator>
  <cp:keywords/>
  <dc:description>Revisão editorial: qualificações de case simulado, aprovações fictícias e minuta de política/ata; estrutura original preservada.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