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i w:val="0"/>
          <w:color w:val="1F4E79"/>
          <w:sz w:val="40"/>
        </w:rPr>
        <w:t>PROJETO 04: GESTÃO DE NÍVEL DE SERVIÇO (SLM) E CATÁLOGO DE SERVIÇOS</w:t>
      </w:r>
    </w:p>
    <w:p>
      <w:pPr/>
      <w:r>
        <w:rPr>
          <w:b/>
          <w:color w:val="804000"/>
          <w:sz w:val="18"/>
        </w:rPr>
        <w:t>NOTA DE CONTEXTO — CASE SIMULADO: diagnósticos, metas (incluindo SLA ≥ 98%, cobertura de catálogo e CSAT/XLA), SLAs exemplificativos, papéis e cronogramas são hipóteses ou propostas. Não representam desempenho medido, acordos assinados, aprovação institucional, auditoria ou implantação reais. Validar baseline, criticidade, capacidade, custos e compromissos com as áreas responsáveis.</w:t>
      </w:r>
    </w:p>
    <w:p>
      <w:pPr>
        <w:spacing w:before="0" w:after="360"/>
      </w:pPr>
      <w:r>
        <w:t>Modelo conceitual de referência para Gestão de Nível de Serviço, Catálogo de Serviços, SLAs/OLAs/UCs e métricas de experiência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Código do Documento: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MAN-PROJ-004-SLM-v2.0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Frameworks de Referência: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ISO/IEC 20000-1:2020 (8.2.1/8.2.2), ITIL v4 (SLM &amp; Service Catalog), COBIT 5 (APO09), ISO 27001 (A.5.20), SOX ITGCs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Público-Alvo: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CIO, Service Level Managers, BRMs, Service Owners, Analysts, Auditores e Gestores de Negócio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Classificação / Status: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Confidencial Corporativo / Modelo conceitual — pendente de validação organizacional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DECLARAÇÃO DE PROPÓSITO E ESCOPO EXECUTIVO</w:t>
              <w:br/>
            </w:r>
            <w:r>
              <w:rPr>
                <w:rFonts w:ascii="Arial" w:hAnsi="Arial"/>
                <w:b w:val="0"/>
                <w:i/>
                <w:color w:val="333333"/>
                <w:sz w:val="19"/>
              </w:rPr>
              <w:t>Este manual estabelece a metodologia completa e autossuficiente para a estruturação do Catálogo de Serviços de TI (Visão de Negócio e Técnica) e para a pactuação, monitoramento e gestão contínua dos Acordos de Nível de Serviço (SLAs), Acordos de Nível Operacional (OLAs) e Contratos de Apoio (UCs). O objetivo central é alinhar rigorosamente a entrega de tecnologia ao valor esperado pelo negócio, eliminando o 'Efeito Melancia' (SLAs técnicos verdes com percepção vermelha no negócio) e provendo total rastreabilidade auditável para conformidade ISO/IEC 20000-1 e SOX.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1. Identificação e Controle Documental</w:t>
      </w:r>
    </w:p>
    <w:p>
      <w:pPr>
        <w:spacing w:before="0" w:after="120" w:line="276" w:lineRule="auto"/>
      </w:pPr>
      <w:r>
        <w:t>Este documento propõe um modelo de referência para o Programa Integrado de Governança, Serviços e Segurança de TI. A adoção, revisão e distribuição deverão seguir os mecanismos de informação documentada que a organização definir e aprovar; este arquivo não constitui, por si só, norma institucional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Versão</w:t>
            </w:r>
          </w:p>
        </w:tc>
        <w:tc>
          <w:tcPr>
            <w:tcW w:type="dxa" w:w="144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Data</w:t>
            </w:r>
          </w:p>
        </w:tc>
        <w:tc>
          <w:tcPr>
            <w:tcW w:type="dxa" w:w="316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Descrição da Alteração</w:t>
            </w:r>
          </w:p>
        </w:tc>
        <w:tc>
          <w:tcPr>
            <w:tcW w:type="dxa" w:w="1872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Autor</w:t>
            </w:r>
          </w:p>
        </w:tc>
        <w:tc>
          <w:tcPr>
            <w:tcW w:type="dxa" w:w="172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Aprovador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v1.0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15/01/2026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Elaboração inicial do projeto de SLM e Catálogo.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Papel editorial ilustrativo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Pendente de validação organizacional</w:t>
            </w:r>
          </w:p>
        </w:tc>
      </w:tr>
      <w:tr>
        <w:tc>
          <w:tcPr>
            <w:tcW w:type="dxa" w:w="115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v1.1</w:t>
            </w:r>
          </w:p>
        </w:tc>
        <w:tc>
          <w:tcPr>
            <w:tcW w:type="dxa" w:w="144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10/05/2026</w:t>
            </w:r>
          </w:p>
        </w:tc>
        <w:tc>
          <w:tcPr>
            <w:tcW w:type="dxa" w:w="316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Revisão e alinhamento com métricas de XLAs e COBIT 5 APO09.</w:t>
            </w:r>
          </w:p>
        </w:tc>
        <w:tc>
          <w:tcPr>
            <w:tcW w:type="dxa" w:w="187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Papel editorial ilustrativo</w:t>
            </w:r>
          </w:p>
        </w:tc>
        <w:tc>
          <w:tcPr>
            <w:tcW w:type="dxa" w:w="172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Pendente de validação organizacional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v2.0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14/10/2026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Reconstrução integral em formato Manual Turn-Key com 23 Capítulos, POPs e Anexos.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Papel editorial ilustrativo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Pendente de validação organizacional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2. Sumário Executivo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 Gestão de Nível de Serviço (SLM) e a Gestão do Catálogo de Serviços representam a espinha dorsal do alinhamento entre a Tecnologia da Informação e as operações do negócio. Histórica e operacionalmente, organizações de médio e grande porte enfrentam um descompasso crítico: relatórios de TI exibem metas operacionais 99% cumpridas, enquanto diretores de negócio relatam insatisfação generalizada, indisponibilidades não registradas e lentidão em processos vitais. Esse fenômeno — denominado 'Efeito Melancia' — decorre da medição isolada de métricas técnicas de infraestrutura (uptime de servidor, ping de rede) sem conexão com a jornada e os resultados de negócio.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Este manual soluciona esse desalinhar estrutural ao instituir um Catálogo de Serviços de TI em duas camadas integradas (Visão de Negócio e Visão Técnica) e ao disciplinar o ciclo de vida completo dos SLAs, OLAs e UCs, integrando indicadores de experiência (XLAs). Com isso, garante-se total transparência financeira, operacional e regulatória.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3. Objetivos e Resultados Esperados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 implementação formal do Projeto 04 visa atingir metas quantitativas e qualitativas rigorosamente auditáveis: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Taxa de Cumprimento de SLA (SLA Compliance Rate ≥ 98%): </w:t>
      </w:r>
      <w:r>
        <w:rPr>
          <w:rFonts w:ascii="Arial" w:hAnsi="Arial"/>
          <w:b w:val="0"/>
          <w:i w:val="0"/>
          <w:color w:val="333333"/>
          <w:sz w:val="20"/>
        </w:rPr>
        <w:t>Garantir que no mínimo 98% dos serviços críticos declarados no Catálogo operem estritamente dentro dos parâmetros de SLA pactuados com as unidades de negócio.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Cobertura Integral do Catálogo de Serviços (100%): </w:t>
      </w:r>
      <w:r>
        <w:rPr>
          <w:rFonts w:ascii="Arial" w:hAnsi="Arial"/>
          <w:b w:val="0"/>
          <w:i w:val="0"/>
          <w:color w:val="333333"/>
          <w:sz w:val="20"/>
        </w:rPr>
        <w:t>Publicar e manter atualizado 100% do portfólio de serviços de TI consumidos pela organização, discriminando responsáveis, custos, SLAs padrão e requisitos de segurança.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Eliminação do Efeito Melancia (Zero Brechas SLA/XLA): </w:t>
      </w:r>
      <w:r>
        <w:rPr>
          <w:rFonts w:ascii="Arial" w:hAnsi="Arial"/>
          <w:b w:val="0"/>
          <w:i w:val="0"/>
          <w:color w:val="333333"/>
          <w:sz w:val="20"/>
        </w:rPr>
        <w:t>Erradicar a insatisfação oculta promovendo o alinhamento de 100% dos SLAs técnicos às metas de experiência (XLAs) e aos processos críticos de negócio (VBFs - Vital Business Functions).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Blindagem de Dependências (100% de Rastreabilidade SLA x OLA x UC): </w:t>
      </w:r>
      <w:r>
        <w:rPr>
          <w:rFonts w:ascii="Arial" w:hAnsi="Arial"/>
          <w:b w:val="0"/>
          <w:i w:val="0"/>
          <w:color w:val="333333"/>
          <w:sz w:val="20"/>
        </w:rPr>
        <w:t>Assegurar que 100% dos Acordos de Nível Operacional (OLAs internos com N2/N3) e Contratos de Apoio (UCs com fornecedores terceiros) possuam metas tempo-resposta/solução mais estritas que os SLAs finais.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Satisfação do Negócio (CSAT/NPS do SLM ≥ 90%): </w:t>
      </w:r>
      <w:r>
        <w:rPr>
          <w:rFonts w:ascii="Arial" w:hAnsi="Arial"/>
          <w:b w:val="0"/>
          <w:i w:val="0"/>
          <w:color w:val="333333"/>
          <w:sz w:val="20"/>
        </w:rPr>
        <w:t>Alcançar pontuação média igual ou superior a 4,5/5,0 nas pesquisas de percepção e satisfação conduzidas trimestralmente com os gestores das áreas de negócio.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4. Escopo, Limites, Premissas e Exclusões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 abrangência deste projeto aplica-se transversalmente a todas as unidades de negócio, diretorias e subsidiárias da organização, cobrindo o ecossistema tecnológico completo: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Escopo Inclusivo: </w:t>
      </w:r>
      <w:r>
        <w:rPr>
          <w:rFonts w:ascii="Arial" w:hAnsi="Arial"/>
          <w:b w:val="0"/>
          <w:i w:val="0"/>
          <w:color w:val="333333"/>
          <w:sz w:val="20"/>
        </w:rPr>
        <w:t>Aplica-se a todos os serviços de TI entregues internamente ou por terceiros, englobando aplicações corporativas (ERP, CRM), infraestrutura On-Premise, ambientes Multi-Cloud (IaaS/PaaS/SaaS), redes, comunicações unificadas, segurança cibernética e suporte ao usuário final (Service Desk).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Exclusões Declaradas: </w:t>
      </w:r>
      <w:r>
        <w:rPr>
          <w:rFonts w:ascii="Arial" w:hAnsi="Arial"/>
          <w:b w:val="0"/>
          <w:i w:val="0"/>
          <w:color w:val="333333"/>
          <w:sz w:val="20"/>
        </w:rPr>
        <w:t>Serviços em fase de pesquisa, prototipação ou viabilidade pré-projeto (portfólio de pipeline) não possuem SLAs operacionais vigentes até sua transição formal para o Catálogo Ativo. Não cobre acordos pessoais ou informais firmados fora das instâncias do SLM e do ITSM.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Premissas e Restrições: </w:t>
      </w:r>
      <w:r>
        <w:rPr>
          <w:rFonts w:ascii="Arial" w:hAnsi="Arial"/>
          <w:b w:val="0"/>
          <w:i w:val="0"/>
          <w:color w:val="333333"/>
          <w:sz w:val="20"/>
        </w:rPr>
        <w:t>Disponibilidade de infraestrutura básica de utilidades (energia elétrica da concessionária, saneamento básico) e links de telecomunicação de última milha em localidades remotas sem viabilidade de redundância técnica, cujos impactos são geridos estritamente no âmbito da Continuidade de Negócios (ITSCM).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5. Referências e Requisitos Aplicáveis</w:t>
      </w:r>
    </w:p>
    <w:p>
      <w:pPr>
        <w:spacing w:before="0" w:after="120" w:line="276" w:lineRule="auto"/>
      </w:pPr>
      <w:r>
        <w:t>O desenho conceitual cita os referenciais normativos e frameworks abaixo como referências de trabalho. Confirmar edição, aplicabilidade e correspondência exata das cláusulas/controles antes de uso normativo, contratual ou de auditoria: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Norma / Framework</w:t>
            </w:r>
          </w:p>
        </w:tc>
        <w:tc>
          <w:tcPr>
            <w:tcW w:type="dxa" w:w="216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Cláusula / Item</w:t>
            </w:r>
          </w:p>
        </w:tc>
        <w:tc>
          <w:tcPr>
            <w:tcW w:type="dxa" w:w="432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 / Relevância Prática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ABNT NBR ISO/IEC 20000-1:2020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Cláusulas 8.2.1, 8.2.2 e 8.2.3</w:t>
            </w:r>
          </w:p>
        </w:tc>
        <w:tc>
          <w:tcPr>
            <w:tcW w:type="dxa" w:w="43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Exige a gestão formal do Catálogo de Serviços, pactuação de SLAs e monitoramento de desempenho e contratos de apoio.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ITIL v4 / ITIL v3 Service Design</w:t>
            </w:r>
          </w:p>
        </w:tc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SLM &amp; Service Catalog Practices</w:t>
            </w:r>
          </w:p>
        </w:tc>
        <w:tc>
          <w:tcPr>
            <w:tcW w:type="dxa" w:w="432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Fornece as melhores práticas para estruturação da visão de negócio/técnica e alinhamento do Service Value Chain.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COBIT 5 / COBIT 2019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Domínio APO09 (Manage Service Agreements)</w:t>
            </w:r>
          </w:p>
        </w:tc>
        <w:tc>
          <w:tcPr>
            <w:tcW w:type="dxa" w:w="43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Estabelece os controles de governança para estruturação de acordos de serviço, revisão de desempenho e custos.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ABNT NBR ISO/IEC 27001:2022</w:t>
            </w:r>
          </w:p>
        </w:tc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Anexo A.5.20 (Segurança em Serviços de TI)</w:t>
            </w:r>
          </w:p>
        </w:tc>
        <w:tc>
          <w:tcPr>
            <w:tcW w:type="dxa" w:w="432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Exige a inclusão explicita de requisitos e cláusulas de segurança da informação em todos os SLAs e contratos (UCs).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Sarbanes-Oxley Act (SOX) / ITGC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Controles de Monitoramento e SLA</w:t>
            </w:r>
          </w:p>
        </w:tc>
        <w:tc>
          <w:tcPr>
            <w:tcW w:type="dxa" w:w="43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Exige evidências auditáveis do cumprimento de disponibilidade e integridade de sistemas financeiros que impactam demonstrações.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6. Fundamentos e Terminologia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Para fins de padronização corporativa e eliminação de ambiguidades, adotam-se as seguintes definições fundamentais: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Acordo de Nível de Serviço (SLA - Service Level Agreement): </w:t>
      </w:r>
      <w:r>
        <w:rPr>
          <w:rFonts w:ascii="Arial" w:hAnsi="Arial"/>
          <w:b w:val="0"/>
          <w:i w:val="0"/>
          <w:color w:val="333333"/>
          <w:sz w:val="20"/>
        </w:rPr>
        <w:t>Documento assinado entre o Provedor de TI e o Cliente de Negócio, formalizando as metas de desempenho (disponibilidade, tempo de resposta, MTTR, janelas de manutenção) e responsabilidades mútuas.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Acordo de Nível Operacional (OLA - Operational Level Agreement): </w:t>
      </w:r>
      <w:r>
        <w:rPr>
          <w:rFonts w:ascii="Arial" w:hAnsi="Arial"/>
          <w:b w:val="0"/>
          <w:i w:val="0"/>
          <w:color w:val="333333"/>
          <w:sz w:val="20"/>
        </w:rPr>
        <w:t>Acordo interno firmado entre o Gestor de SLM e equipes técnicas internas (ex: Infraestrutura, Banco de Dados, Sistemas), estabelecendo metas operacionais necessárias para sustentar o SLA final.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Contrato de Apoio (UC - Underpinning Contract): </w:t>
      </w:r>
      <w:r>
        <w:rPr>
          <w:rFonts w:ascii="Arial" w:hAnsi="Arial"/>
          <w:b w:val="0"/>
          <w:i w:val="0"/>
          <w:color w:val="333333"/>
          <w:sz w:val="20"/>
        </w:rPr>
        <w:t>Contrato juridicamente vinculativo firmado com um fornecedor externo de TI (ex: operadora de nuvem, consultoria, link de dados), cujas metas sustentam direta ou indiretamente os SLAs da organização.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Catálogo de Serviços: </w:t>
      </w:r>
      <w:r>
        <w:rPr>
          <w:rFonts w:ascii="Arial" w:hAnsi="Arial"/>
          <w:b w:val="0"/>
          <w:i w:val="0"/>
          <w:color w:val="333333"/>
          <w:sz w:val="20"/>
        </w:rPr>
        <w:t>Repositório estruturado contendo informações precisas e atualizadas sobre todos os serviços de TI operacionais e disponíveis para ativação.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Acordo de Nível de Experiência (XLA - Experience Level Agreement): </w:t>
      </w:r>
      <w:r>
        <w:rPr>
          <w:rFonts w:ascii="Arial" w:hAnsi="Arial"/>
          <w:b w:val="0"/>
          <w:i w:val="0"/>
          <w:color w:val="333333"/>
          <w:sz w:val="20"/>
        </w:rPr>
        <w:t>Indicadores e acordos focados na experiência do usuário e no resultado efetivo do negócio, complementando as métricas técnicas do SLA tradicional.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Efeito Melancia (Watermelon Effect): </w:t>
      </w:r>
      <w:r>
        <w:rPr>
          <w:rFonts w:ascii="Arial" w:hAnsi="Arial"/>
          <w:b w:val="0"/>
          <w:i w:val="0"/>
          <w:color w:val="333333"/>
          <w:sz w:val="20"/>
        </w:rPr>
        <w:t>Metáfora que descreve a situação em que os indicadores do SLA técnico aparentam conformidade ('verde por fora'), porém a experiência do cliente e a operação do negócio sofrem paralisações veladas ('vermelho por dentro').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7. Diagnóstico da Situação Atual</w:t>
      </w:r>
    </w:p>
    <w:p>
      <w:pPr>
        <w:spacing w:before="0" w:after="120" w:line="276" w:lineRule="auto"/>
      </w:pPr>
      <w:r>
        <w:t>Premissa diagnóstica do case simulado: os pontos abaixo representam fragilidades hipotéticas típicas de ambientes em transição para uma TI orientada a serviços; devem ser confirmados por levantamento real antes de serem tratados como achados.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1. Ausência de Visão por Serviços: </w:t>
      </w:r>
      <w:r>
        <w:rPr>
          <w:rFonts w:ascii="Arial" w:hAnsi="Arial"/>
          <w:b w:val="0"/>
          <w:i w:val="0"/>
          <w:color w:val="333333"/>
          <w:sz w:val="20"/>
        </w:rPr>
        <w:t>Inexistência de um Catálogo de Serviços de TI padronizado. As solicitações são abertas de forma genérica no ITSM ('Problema no Sistema' ou 'Erro de Rede'), impedindo a medição precisa do tempo de atendimento por serviço corporativo.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2. SLAs Fictícios e Unilaterais: </w:t>
      </w:r>
      <w:r>
        <w:rPr>
          <w:rFonts w:ascii="Arial" w:hAnsi="Arial"/>
          <w:b w:val="0"/>
          <w:i w:val="0"/>
          <w:color w:val="333333"/>
          <w:sz w:val="20"/>
        </w:rPr>
        <w:t>Os SLAs vigentes foram definidos de forma unilateral pela TI há anos, sem validação pelas áreas de negócio, resultando em metas genéricas (ex: 'P1 resolvido em 4 horas') que não diferenciam um sistema financeiro crítico de uma aplicação secundária.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3. Inexistência de OLAs Internos: </w:t>
      </w:r>
      <w:r>
        <w:rPr>
          <w:rFonts w:ascii="Arial" w:hAnsi="Arial"/>
          <w:b w:val="0"/>
          <w:i w:val="0"/>
          <w:color w:val="333333"/>
          <w:sz w:val="20"/>
        </w:rPr>
        <w:t>As equipes internas N2/N3 (Infra, DBAs, DevOps) não possuem compromissos formais de tempo de atendimento (OLAs), gerando o consumo de 90% do prazo total do SLA na transferência interna entre filas antes do atendimento final.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4. Desalinhamento com Fornecedores Terceiros: </w:t>
      </w:r>
      <w:r>
        <w:rPr>
          <w:rFonts w:ascii="Arial" w:hAnsi="Arial"/>
          <w:b w:val="0"/>
          <w:i w:val="0"/>
          <w:color w:val="333333"/>
          <w:sz w:val="20"/>
        </w:rPr>
        <w:t>Os contratos com fornecedores terceirizados de software e nuvem (UCs) possuem metas de atendimento mais flexíveis do que o SLA prometido ao negócio interno, gerando passivos contratuais e impossibilidade de cobrança de penalidades.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8. Requisitos e Modelo Operacional Desejado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O novo modelo operacional do Projeto 04 estabelece um ciclo de vida fechado e contínuo para a Gestão de Nível de Serviço e do Catálogo, estruturado em 6 Fases Sequenciais: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1 — Mapeamento e Levantamento de Necessidades: </w:t>
      </w:r>
      <w:r>
        <w:rPr>
          <w:rFonts w:ascii="Arial" w:hAnsi="Arial"/>
          <w:b w:val="0"/>
          <w:i w:val="0"/>
          <w:color w:val="333333"/>
          <w:sz w:val="20"/>
        </w:rPr>
        <w:t>Mapeamento sistemático de todos os processos de negócio da organização e identificação das Funções Vitais de Negócio (VBFs - Vital Business Functions) e suas dependências de TI.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2 — Estruturação do Catálogo de Serviços: </w:t>
      </w:r>
      <w:r>
        <w:rPr>
          <w:rFonts w:ascii="Arial" w:hAnsi="Arial"/>
          <w:b w:val="0"/>
          <w:i w:val="0"/>
          <w:color w:val="333333"/>
          <w:sz w:val="20"/>
        </w:rPr>
        <w:t>Construção da arquitetura de serviços de TI em duas visões (Visão de Negócio / Portal do Cliente e Visão Técnica / CMDB), estabelecendo a taxonomia oficial corporativa.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3 — Pactuação e Negociação Tripartida (SLA x OLA x UC): </w:t>
      </w:r>
      <w:r>
        <w:rPr>
          <w:rFonts w:ascii="Arial" w:hAnsi="Arial"/>
          <w:b w:val="0"/>
          <w:i w:val="0"/>
          <w:color w:val="333333"/>
          <w:sz w:val="20"/>
        </w:rPr>
        <w:t>Pactuação formal dos SLAs com os diretores de negócio e desdobramento cascateado em OLAs (com times internos) e alinhamento de UCs (com fornecedores externos).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4 — Parametrização e Automação no ITSM: </w:t>
      </w:r>
      <w:r>
        <w:rPr>
          <w:rFonts w:ascii="Arial" w:hAnsi="Arial"/>
          <w:b w:val="0"/>
          <w:i w:val="0"/>
          <w:color w:val="333333"/>
          <w:sz w:val="20"/>
        </w:rPr>
        <w:t>Configuração automatizada das matrizes de tempo, calendários operacionais (24x7 vs 8x5) e regras de pausa justificada na plataforma ITSM.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5 — Monitoramento, Medição e Gestão do Efeito Melancia: </w:t>
      </w:r>
      <w:r>
        <w:rPr>
          <w:rFonts w:ascii="Arial" w:hAnsi="Arial"/>
          <w:b w:val="0"/>
          <w:i w:val="0"/>
          <w:color w:val="333333"/>
          <w:sz w:val="20"/>
        </w:rPr>
        <w:t>Coleta automatizada diária de métricas de disponibilidade, tempo de resposta, incidentes e pesquisas XLAs de experiência do usuário.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6 — Relato, Revisão Crítica e Melhoria Contínua (SIP): </w:t>
      </w:r>
      <w:r>
        <w:rPr>
          <w:rFonts w:ascii="Arial" w:hAnsi="Arial"/>
          <w:b w:val="0"/>
          <w:i w:val="0"/>
          <w:color w:val="333333"/>
          <w:sz w:val="20"/>
        </w:rPr>
        <w:t>Condução da Reunião Mensal de Análise Crítica de Nível de Serviço (SLAR), publicação dos relatórios gerenciais e abertura de Planos de Melhoria de Serviço (SIP).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9. Papéis, Responsabilidades e Matriz RACI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 governança do SLM e do Catálogo de Serviços exige papéis claramente definidos no âmbito estratégico, tático e operacional: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Atividade / Processo</w:t>
            </w:r>
          </w:p>
        </w:tc>
        <w:tc>
          <w:tcPr>
            <w:tcW w:type="dxa" w:w="100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SLM Mgr</w:t>
            </w:r>
          </w:p>
        </w:tc>
        <w:tc>
          <w:tcPr>
            <w:tcW w:type="dxa" w:w="100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BRM</w:t>
            </w:r>
          </w:p>
        </w:tc>
        <w:tc>
          <w:tcPr>
            <w:tcW w:type="dxa" w:w="100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Svc Owner</w:t>
            </w:r>
          </w:p>
        </w:tc>
        <w:tc>
          <w:tcPr>
            <w:tcW w:type="dxa" w:w="100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Service Desk</w:t>
            </w:r>
          </w:p>
        </w:tc>
        <w:tc>
          <w:tcPr>
            <w:tcW w:type="dxa" w:w="100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Vendor Mgr</w:t>
            </w:r>
          </w:p>
        </w:tc>
        <w:tc>
          <w:tcPr>
            <w:tcW w:type="dxa" w:w="144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Cliente / Business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Mapeamento e Atualização do Catálogo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Elaboração e Negociação de SLAs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44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Pactuação de OLAs com Times Internos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Alinhamento de UCs com Fornecedores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A/R</w:t>
            </w:r>
          </w:p>
        </w:tc>
        <w:tc>
          <w:tcPr>
            <w:tcW w:type="dxa" w:w="144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Monitoramento Diário de SLAs/XLAs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Condução do Comitê SLAR e SIP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A/R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</w:t>
            </w:r>
          </w:p>
        </w:tc>
        <w:tc>
          <w:tcPr>
            <w:tcW w:type="dxa" w:w="100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144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</w:t>
            </w:r>
          </w:p>
        </w:tc>
      </w:tr>
    </w:tbl>
    <w:p>
      <w:pPr>
        <w:spacing w:before="0" w:after="24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Legenda: R = Responsável pela execução; A = Autoridade final (Accountable); C = Consultado; I = Informado.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10. Fluxo Detalhado do Processo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O fluxo de gestão de nível de serviço opera de forma contínua e interligada aos demais processos de ITSM e Governança: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1. Iniciação e Mapeamento: </w:t>
      </w:r>
      <w:r>
        <w:rPr>
          <w:rFonts w:ascii="Arial" w:hAnsi="Arial"/>
          <w:b w:val="0"/>
          <w:i w:val="0"/>
          <w:color w:val="333333"/>
          <w:sz w:val="20"/>
        </w:rPr>
        <w:t>O processo inicia-se com a identificação de um novo serviço no Portfólio ou pela necessidade de revisão de um serviço existente no Catálogo Ativo. O SLM Manager e o BRM realizam levantamento junto ao cliente de negócio para mapear o impacto operacional e os requisitos de disponibilidade e tempo.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2. Modelagem e Negociação: </w:t>
      </w:r>
      <w:r>
        <w:rPr>
          <w:rFonts w:ascii="Arial" w:hAnsi="Arial"/>
          <w:b w:val="0"/>
          <w:i w:val="0"/>
          <w:color w:val="333333"/>
          <w:sz w:val="20"/>
        </w:rPr>
        <w:t>Com base nos requisitos, elabora-se a proposta de SLA e o rascunho do Catálogo de Serviços. Em paralelo, o SLM Manager convoca as equipes técnicas internas (Infraestrutura, Sistemas) e o Gestor de Fornecedores para verificar a capacidade de atendimento dos OLAs e UCs.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3. Formalização e Publicação: </w:t>
      </w:r>
      <w:r>
        <w:rPr>
          <w:rFonts w:ascii="Arial" w:hAnsi="Arial"/>
          <w:b w:val="0"/>
          <w:i w:val="0"/>
          <w:color w:val="333333"/>
          <w:sz w:val="20"/>
        </w:rPr>
        <w:t>Aprovadas as metas, o SLA é formalmente assinado pelo Diretor da Área de Negócio e pelo CIO. O serviço é publicado no Catálogo Ativo do ITSM e as regras de medição são ativadas.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4. Operação e Coleta de Métricas: </w:t>
      </w:r>
      <w:r>
        <w:rPr>
          <w:rFonts w:ascii="Arial" w:hAnsi="Arial"/>
          <w:b w:val="0"/>
          <w:i w:val="0"/>
          <w:color w:val="333333"/>
          <w:sz w:val="20"/>
        </w:rPr>
        <w:t>Durante a operação diária, a plataforma ITSM calcula os tempos de atendimento de incidentes e requisições, enquanto ferramentas de monitoramento APM registram a disponibilidade e tempo de resposta dos CIs.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5. Relato e Melhoria Contínua: </w:t>
      </w:r>
      <w:r>
        <w:rPr>
          <w:rFonts w:ascii="Arial" w:hAnsi="Arial"/>
          <w:b w:val="0"/>
          <w:i w:val="0"/>
          <w:color w:val="333333"/>
          <w:sz w:val="20"/>
        </w:rPr>
        <w:t>Mensalmente, consolida-se o Relatório de Nível de Serviço. Se houver descumprimento recorrente de SLA ou insatisfação (XLA), abre-se automaticamente um Plano de Melhoria de Serviço (SIP) vinculado à Gestão de Problemas ou CSI.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11. Procedimentos Operacionais Passo a Passo (POPs)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Abaixo estão documentados os 5 Procedimentos Operacionais Padrão (POPs) que regem a execução prática da Gestão de Nível de Serviço e do Catálogo, estruturados no padrão rigoroso de 20 itens explicativos:</w:t>
      </w:r>
    </w:p>
    <w:p>
      <w:pPr>
        <w:keepNext/>
        <w:spacing w:before="280" w:after="80"/>
      </w:pPr>
      <w:r>
        <w:rPr>
          <w:rFonts w:ascii="Arial" w:hAnsi="Arial"/>
          <w:b/>
          <w:i w:val="0"/>
          <w:color w:val="2E75B6"/>
          <w:sz w:val="26"/>
        </w:rPr>
        <w:t>POP-SLM-001: Mapeamento, Estruturação e Manutenção do Catálogo de Serviços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1. Objetivo: </w:t>
      </w:r>
      <w:r>
        <w:rPr>
          <w:rFonts w:ascii="Arial" w:hAnsi="Arial"/>
          <w:b w:val="0"/>
          <w:i w:val="0"/>
          <w:color w:val="333333"/>
          <w:sz w:val="20"/>
        </w:rPr>
        <w:t>Estabelecer o procedimento padronizado para criação, revisão e publicação de serviços no Catálogo de Serviços de TI corporativo.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2. Responsável pela Execução: </w:t>
      </w:r>
      <w:r>
        <w:rPr>
          <w:rFonts w:ascii="Arial" w:hAnsi="Arial"/>
          <w:b w:val="0"/>
          <w:i w:val="0"/>
          <w:color w:val="333333"/>
          <w:sz w:val="20"/>
        </w:rPr>
        <w:t>Analista de SLM / Service Owner.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3. Responsável pela Aprovação: </w:t>
      </w:r>
      <w:r>
        <w:rPr>
          <w:rFonts w:ascii="Arial" w:hAnsi="Arial"/>
          <w:b w:val="0"/>
          <w:i w:val="0"/>
          <w:color w:val="333333"/>
          <w:sz w:val="20"/>
        </w:rPr>
        <w:t>SLM Manager / BRM.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4. Pré-requisitos: </w:t>
      </w:r>
      <w:r>
        <w:rPr>
          <w:rFonts w:ascii="Arial" w:hAnsi="Arial"/>
          <w:b w:val="0"/>
          <w:i w:val="0"/>
          <w:color w:val="333333"/>
          <w:sz w:val="20"/>
        </w:rPr>
        <w:t>Solicitação formal de inclusão/alteração de serviço via Portfólio de TI ou solicitação de mudança de negócio.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5. Entradas Necessárias: </w:t>
      </w:r>
      <w:r>
        <w:rPr>
          <w:rFonts w:ascii="Arial" w:hAnsi="Arial"/>
          <w:b w:val="0"/>
          <w:i w:val="0"/>
          <w:color w:val="333333"/>
          <w:sz w:val="20"/>
        </w:rPr>
        <w:t>Ficha de Definição de Serviço, Matriz de Processos de Negócio, Arquitetura do Sistema na CMDB.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6. Ferramentas e Recursos: </w:t>
      </w:r>
      <w:r>
        <w:rPr>
          <w:rFonts w:ascii="Arial" w:hAnsi="Arial"/>
          <w:b w:val="0"/>
          <w:i w:val="0"/>
          <w:color w:val="333333"/>
          <w:sz w:val="20"/>
        </w:rPr>
        <w:t>Plataforma ITSM (Módulo Service Catalog), Ferramenta de Diagramação de Processos, CMDB.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7. Instruções de Execução: </w:t>
      </w:r>
      <w:r>
        <w:rPr>
          <w:rFonts w:ascii="Arial" w:hAnsi="Arial"/>
          <w:b w:val="0"/>
          <w:i w:val="0"/>
          <w:color w:val="333333"/>
          <w:sz w:val="20"/>
        </w:rPr>
        <w:t>Passos sequenciais de execução: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1. Acessar o Módulo de Gerenciamento do Catálogo de Serviços na ferramenta ITSM.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2. Preencher os campos obrigatórios da Visão de Negócio: Nome Amigável, Descrição Funcional, Categoria de Negócio, Elegibilidade de Usuários, SLA Padrão e Custos.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3. Preencher os campos da Visão Técnica: CIs Suportados (CMDB), Grupos Solucionadores N1/N2/N3, OLAs Aplicáveis e Janela de Manutenção Permitida.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4. Submeter a ficha do serviço para revisão técnica do Service Owner e validação do BRM.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5. Aprovado o cadastro, alterar o status do serviço para 'Ativo no Catálogo' e liberar no Portal de Autoatendimento do Usuário.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6. Registrar o histórico de alteração no log de auditoria do ITSM.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8. Regras de Negócio e Decisão: </w:t>
      </w:r>
      <w:r>
        <w:rPr>
          <w:rFonts w:ascii="Arial" w:hAnsi="Arial"/>
          <w:b w:val="0"/>
          <w:i w:val="0"/>
          <w:color w:val="333333"/>
          <w:sz w:val="20"/>
        </w:rPr>
        <w:t>Regra 1: Todo serviço ativo deve possuir obrigatoriamente um Service Owner nomeado. Regra 2: Serviços aposentados devem ter seu histórico preservado na CMDB por no mínimo 5 anos para fins de auditoria SOX.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9. Tratamento de Exceções: </w:t>
      </w:r>
      <w:r>
        <w:rPr>
          <w:rFonts w:ascii="Arial" w:hAnsi="Arial"/>
          <w:b w:val="0"/>
          <w:i w:val="0"/>
          <w:color w:val="333333"/>
          <w:sz w:val="20"/>
        </w:rPr>
        <w:t>Caso o Service Owner rejeite as metas técnicas propostas, o serviço retorna para a fase de ajuste no Portfólio, permanecendo indisponível para solicitação.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10. Saídas e Registros Produzidos: </w:t>
      </w:r>
      <w:r>
        <w:rPr>
          <w:rFonts w:ascii="Arial" w:hAnsi="Arial"/>
          <w:b w:val="0"/>
          <w:i w:val="0"/>
          <w:color w:val="333333"/>
          <w:sz w:val="20"/>
        </w:rPr>
        <w:t>Serviço publicado e ativo no Catálogo de Serviços do ITSM; Registro de auditoria do cadastro.</w:t>
      </w:r>
    </w:p>
    <w:p>
      <w:pPr>
        <w:spacing w:before="0" w:after="20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11. Indicador de Desempenho Relacionado: </w:t>
      </w:r>
      <w:r>
        <w:rPr>
          <w:rFonts w:ascii="Arial" w:hAnsi="Arial"/>
          <w:b w:val="0"/>
          <w:i w:val="0"/>
          <w:color w:val="333333"/>
          <w:sz w:val="20"/>
        </w:rPr>
        <w:t>Tempo médio para publicação de novo serviço (≤ 5 dias úteis após aprovação).</w:t>
      </w:r>
    </w:p>
    <w:p>
      <w:pPr>
        <w:keepNext/>
        <w:spacing w:before="280" w:after="80"/>
      </w:pPr>
      <w:r>
        <w:rPr>
          <w:rFonts w:ascii="Arial" w:hAnsi="Arial"/>
          <w:b/>
          <w:i w:val="0"/>
          <w:color w:val="2E75B6"/>
          <w:sz w:val="26"/>
        </w:rPr>
        <w:t>POP-SLM-002: Elaboração, Negociação e Pactuação de SLAs com o Negócio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1. Objetivo: </w:t>
      </w:r>
      <w:r>
        <w:rPr>
          <w:rFonts w:ascii="Arial" w:hAnsi="Arial"/>
          <w:b w:val="0"/>
          <w:i w:val="0"/>
          <w:color w:val="333333"/>
          <w:sz w:val="20"/>
        </w:rPr>
        <w:t>Disciplinar a negociação e formalização do Acordo de Nível de Serviço (SLA) entre a TI e os diretores das áreas de negócio clientes.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2. Responsável pela Execução: </w:t>
      </w:r>
      <w:r>
        <w:rPr>
          <w:rFonts w:ascii="Arial" w:hAnsi="Arial"/>
          <w:b w:val="0"/>
          <w:i w:val="0"/>
          <w:color w:val="333333"/>
          <w:sz w:val="20"/>
        </w:rPr>
        <w:t>Business Relationship Manager (BRM) / SLM Manager.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3. Responsável pela Aprovação: </w:t>
      </w:r>
      <w:r>
        <w:rPr>
          <w:rFonts w:ascii="Arial" w:hAnsi="Arial"/>
          <w:b w:val="0"/>
          <w:i w:val="0"/>
          <w:color w:val="333333"/>
          <w:sz w:val="20"/>
        </w:rPr>
        <w:t>CIO / Diretor da Área de Negócio.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4. Pré-requisitos: </w:t>
      </w:r>
      <w:r>
        <w:rPr>
          <w:rFonts w:ascii="Arial" w:hAnsi="Arial"/>
          <w:b w:val="0"/>
          <w:i w:val="0"/>
          <w:color w:val="333333"/>
          <w:sz w:val="20"/>
        </w:rPr>
        <w:t>Definição do serviço no Catálogo e mapeamento do BIA (Business Impact Analysis).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5. Entradas Necessárias: </w:t>
      </w:r>
      <w:r>
        <w:rPr>
          <w:rFonts w:ascii="Arial" w:hAnsi="Arial"/>
          <w:b w:val="0"/>
          <w:i w:val="0"/>
          <w:color w:val="333333"/>
          <w:sz w:val="20"/>
        </w:rPr>
        <w:t>Ficha do Serviço, Relatório de Impacto no Negócio, Histórico de Desempenho Técnico.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6. Ferramentas e Recursos: </w:t>
      </w:r>
      <w:r>
        <w:rPr>
          <w:rFonts w:ascii="Arial" w:hAnsi="Arial"/>
          <w:b w:val="0"/>
          <w:i w:val="0"/>
          <w:color w:val="333333"/>
          <w:sz w:val="20"/>
        </w:rPr>
        <w:t>Minuta Padrão de SLA, Planilha de Cálculo de Custos de SLA, Plataforma de Assinatura Eletrônica.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7. Instruções de Execução: </w:t>
      </w:r>
      <w:r>
        <w:rPr>
          <w:rFonts w:ascii="Arial" w:hAnsi="Arial"/>
          <w:b w:val="0"/>
          <w:i w:val="0"/>
          <w:color w:val="333333"/>
          <w:sz w:val="20"/>
        </w:rPr>
        <w:t>Passos sequenciais de execução: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1. Agendar Reunião de Pactuação de SLA com os representantes indicados pela Diretoria Solicitante.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2. Apresentar a proposta de SLA Padrão alinhada ao Catálogo e discutir os requisitos de tempo de resposta, solução e janelas de operação (24x7 vs 8x5).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3. Se o negócio exigir metas mais estritas que o padrão (SLA Especial), calcular o impacto financeiro e operacional necessário (ex: redundância, plantão N3) e apresentar o custo adicional.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4. Ajustar a minuta formal do SLA incorporando os compromissos aceitos por ambas as partes.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5. Coletar as assinaturas formais do Diretor de Negócio e do CIO através da plataforma de assinatura eletrônica.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6. Cadastrar a matriz de SLA aprovada no módulo de regras da ferramenta ITSM.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8. Regras de Negócio e Decisão: </w:t>
      </w:r>
      <w:r>
        <w:rPr>
          <w:rFonts w:ascii="Arial" w:hAnsi="Arial"/>
          <w:b w:val="0"/>
          <w:i w:val="0"/>
          <w:color w:val="333333"/>
          <w:sz w:val="20"/>
        </w:rPr>
        <w:t>Regra 1: SLAs especiais com metas de disponibilidade acima de 99,9% exigem aprovação obrigatória de orçamento pelo C-Level. Regra 2: Todo SLA possui validade de 12 meses, devendo ser renegociado anualmente.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9. Tratamento de Exceções: </w:t>
      </w:r>
      <w:r>
        <w:rPr>
          <w:rFonts w:ascii="Arial" w:hAnsi="Arial"/>
          <w:b w:val="0"/>
          <w:i w:val="0"/>
          <w:color w:val="333333"/>
          <w:sz w:val="20"/>
        </w:rPr>
        <w:t>Se não houver acordo sobre o custo do SLA especial, prevalece o SLA Padrão do Catálogo até deliberação do Comitê de TI.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10. Saídas e Registros Produzidos: </w:t>
      </w:r>
      <w:r>
        <w:rPr>
          <w:rFonts w:ascii="Arial" w:hAnsi="Arial"/>
          <w:b w:val="0"/>
          <w:i w:val="0"/>
          <w:color w:val="333333"/>
          <w:sz w:val="20"/>
        </w:rPr>
        <w:t>Documento de SLA formalmente assinado; Matriz de SLA cadastrada e parametrizada no ITSM.</w:t>
      </w:r>
    </w:p>
    <w:p>
      <w:pPr>
        <w:spacing w:before="0" w:after="20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11. Indicador de Desempenho Relacionado: </w:t>
      </w:r>
      <w:r>
        <w:rPr>
          <w:rFonts w:ascii="Arial" w:hAnsi="Arial"/>
          <w:b w:val="0"/>
          <w:i w:val="0"/>
          <w:color w:val="333333"/>
          <w:sz w:val="20"/>
        </w:rPr>
        <w:t>Taxa de SLAs renovados no prazo (≥ 95%).</w:t>
      </w:r>
    </w:p>
    <w:p>
      <w:pPr>
        <w:keepNext/>
        <w:spacing w:before="280" w:after="80"/>
      </w:pPr>
      <w:r>
        <w:rPr>
          <w:rFonts w:ascii="Arial" w:hAnsi="Arial"/>
          <w:b/>
          <w:i w:val="0"/>
          <w:color w:val="2E75B6"/>
          <w:sz w:val="26"/>
        </w:rPr>
        <w:t>POP-SLM-003: Estabelecimento de Acordos de Nível Operacional (OLAs) e Contratos de Apoio (UCs)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1. Objetivo: </w:t>
      </w:r>
      <w:r>
        <w:rPr>
          <w:rFonts w:ascii="Arial" w:hAnsi="Arial"/>
          <w:b w:val="0"/>
          <w:i w:val="0"/>
          <w:color w:val="333333"/>
          <w:sz w:val="20"/>
        </w:rPr>
        <w:t>Garantir a simetria entre as metas dos SLAs assumidos com o negócio e os compromissos internos (OLAs) e externos (UCs).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2. Responsável pela Execução: </w:t>
      </w:r>
      <w:r>
        <w:rPr>
          <w:rFonts w:ascii="Arial" w:hAnsi="Arial"/>
          <w:b w:val="0"/>
          <w:i w:val="0"/>
          <w:color w:val="333333"/>
          <w:sz w:val="20"/>
        </w:rPr>
        <w:t>SLM Manager / Gestor de Fornecedores (Vendor Manager).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3. Responsável pela Aprovação: </w:t>
      </w:r>
      <w:r>
        <w:rPr>
          <w:rFonts w:ascii="Arial" w:hAnsi="Arial"/>
          <w:b w:val="0"/>
          <w:i w:val="0"/>
          <w:color w:val="333333"/>
          <w:sz w:val="20"/>
        </w:rPr>
        <w:t>Gerente de Infraestrutura / Gerente de Sistemas.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4. Pré-requisitos: </w:t>
      </w:r>
      <w:r>
        <w:rPr>
          <w:rFonts w:ascii="Arial" w:hAnsi="Arial"/>
          <w:b w:val="0"/>
          <w:i w:val="0"/>
          <w:color w:val="333333"/>
          <w:sz w:val="20"/>
        </w:rPr>
        <w:t>SLA assinado ou em fase final de negociação com o negócio.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5. Entradas Necessárias: </w:t>
      </w:r>
      <w:r>
        <w:rPr>
          <w:rFonts w:ascii="Arial" w:hAnsi="Arial"/>
          <w:b w:val="0"/>
          <w:i w:val="0"/>
          <w:color w:val="333333"/>
          <w:sz w:val="20"/>
        </w:rPr>
        <w:t>Minuta do SLA, Mapeamento de CIs da CMDB, Contratos de Fornecedores Vigentes.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6. Ferramentas e Recursos: </w:t>
      </w:r>
      <w:r>
        <w:rPr>
          <w:rFonts w:ascii="Arial" w:hAnsi="Arial"/>
          <w:b w:val="0"/>
          <w:i w:val="0"/>
          <w:color w:val="333333"/>
          <w:sz w:val="20"/>
        </w:rPr>
        <w:t>Matriz de Rastreabilidade SLA x OLA x UC, ITSM, Gestor Contratual.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7. Instruções de Execução: </w:t>
      </w:r>
      <w:r>
        <w:rPr>
          <w:rFonts w:ascii="Arial" w:hAnsi="Arial"/>
          <w:b w:val="0"/>
          <w:i w:val="0"/>
          <w:color w:val="333333"/>
          <w:sz w:val="20"/>
        </w:rPr>
        <w:t>Passos sequenciais de execução: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1. Identificar todos os grupos internos (N2/N3) e fornecedores terceiros envolvidos na cadeia de entrega do serviço.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2. Calcular o tempo limite permitido para cada elo da cadeia (A Regra do OLA/UC ser sempre mais estrito que o SLA final em no mínimo 30% do tempo total).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3. Elaborar a minuta do OLA interno e pactuar as metas de atendimento com os líderes de Infraestrutura, Sistemas e Segurança.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4. Analisar as cláusulas de atendimento e disponibilidade dos contratos de fornecedores (UCs) ativos com o Vendor Manager.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5. Caso o contrato de um fornecedor (UC) seja mais flexível que o SLA exigido pelo negócio, instaurar processo de aditivo contratual ou implementar contingência interna.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6. Cadastrar os OLAs e UCs no ITSM com vinculação direta ao SLA pai.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8. Regras de Negócio e Decisão: </w:t>
      </w:r>
      <w:r>
        <w:rPr>
          <w:rFonts w:ascii="Arial" w:hAnsi="Arial"/>
          <w:b w:val="0"/>
          <w:i w:val="0"/>
          <w:color w:val="333333"/>
          <w:sz w:val="20"/>
        </w:rPr>
        <w:t>Regra 1: É terminantemente proibido assinar SLA com o negócio cujo tempo de solução seja menor do que o tempo de atendimento estipulado no contrato do fornecedor crítico (UC) sem infraestrutura de contingência.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9. Tratamento de Exceções: </w:t>
      </w:r>
      <w:r>
        <w:rPr>
          <w:rFonts w:ascii="Arial" w:hAnsi="Arial"/>
          <w:b w:val="0"/>
          <w:i w:val="0"/>
          <w:color w:val="333333"/>
          <w:sz w:val="20"/>
        </w:rPr>
        <w:t>Recusa de equipe interna em assinar OLA gera escalonamento imediato para o CIO com análise de capacidade.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10. Saídas e Registros Produzidos: </w:t>
      </w:r>
      <w:r>
        <w:rPr>
          <w:rFonts w:ascii="Arial" w:hAnsi="Arial"/>
          <w:b w:val="0"/>
          <w:i w:val="0"/>
          <w:color w:val="333333"/>
          <w:sz w:val="20"/>
        </w:rPr>
        <w:t>Documentos de OLA internos formalizados; Matriz de Rastreabilidade SLA x OLA x UC atualizada.</w:t>
      </w:r>
    </w:p>
    <w:p>
      <w:pPr>
        <w:spacing w:before="0" w:after="20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11. Indicador de Desempenho Relacionado: </w:t>
      </w:r>
      <w:r>
        <w:rPr>
          <w:rFonts w:ascii="Arial" w:hAnsi="Arial"/>
          <w:b w:val="0"/>
          <w:i w:val="0"/>
          <w:color w:val="333333"/>
          <w:sz w:val="20"/>
        </w:rPr>
        <w:t>Percentual de SLAs totalmente cobertos por OLAs/UCs simétricos (100%).</w:t>
      </w:r>
    </w:p>
    <w:p>
      <w:pPr>
        <w:keepNext/>
        <w:spacing w:before="280" w:after="80"/>
      </w:pPr>
      <w:r>
        <w:rPr>
          <w:rFonts w:ascii="Arial" w:hAnsi="Arial"/>
          <w:b/>
          <w:i w:val="0"/>
          <w:color w:val="2E75B6"/>
          <w:sz w:val="26"/>
        </w:rPr>
        <w:t>POP-SLM-004: Monitoramento, Medição Contínua e Gestão do Efeito Melancia (XLAs)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1. Objetivo: </w:t>
      </w:r>
      <w:r>
        <w:rPr>
          <w:rFonts w:ascii="Arial" w:hAnsi="Arial"/>
          <w:b w:val="0"/>
          <w:i w:val="0"/>
          <w:color w:val="333333"/>
          <w:sz w:val="20"/>
        </w:rPr>
        <w:t>Acompanhar diariamente o cumprimento das metas de nível de serviço e coletar indicadores de experiência do usuário (XLAs).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2. Responsável pela Execução: </w:t>
      </w:r>
      <w:r>
        <w:rPr>
          <w:rFonts w:ascii="Arial" w:hAnsi="Arial"/>
          <w:b w:val="0"/>
          <w:i w:val="0"/>
          <w:color w:val="333333"/>
          <w:sz w:val="20"/>
        </w:rPr>
        <w:t>Analista de SLM / Analista de Service Desk.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3. Responsável pela Aprovação: </w:t>
      </w:r>
      <w:r>
        <w:rPr>
          <w:rFonts w:ascii="Arial" w:hAnsi="Arial"/>
          <w:b w:val="0"/>
          <w:i w:val="0"/>
          <w:color w:val="333333"/>
          <w:sz w:val="20"/>
        </w:rPr>
        <w:t>SLM Manager.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4. Pré-requisitos: </w:t>
      </w:r>
      <w:r>
        <w:rPr>
          <w:rFonts w:ascii="Arial" w:hAnsi="Arial"/>
          <w:b w:val="0"/>
          <w:i w:val="0"/>
          <w:color w:val="333333"/>
          <w:sz w:val="20"/>
        </w:rPr>
        <w:t>Chamados de incidentes e requisições encerrados no ITSM; Agentes de monitoramento APM ativos.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5. Entradas Necessárias: </w:t>
      </w:r>
      <w:r>
        <w:rPr>
          <w:rFonts w:ascii="Arial" w:hAnsi="Arial"/>
          <w:b w:val="0"/>
          <w:i w:val="0"/>
          <w:color w:val="333333"/>
          <w:sz w:val="20"/>
        </w:rPr>
        <w:t>Registros do ITSM, Logs de APM, Respostas de Pesquisa de Satisfação CSAT.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6. Ferramentas e Recursos: </w:t>
      </w:r>
      <w:r>
        <w:rPr>
          <w:rFonts w:ascii="Arial" w:hAnsi="Arial"/>
          <w:b w:val="0"/>
          <w:i w:val="0"/>
          <w:color w:val="333333"/>
          <w:sz w:val="20"/>
        </w:rPr>
        <w:t>Dashboards do ITSM, Sistema de Monitoramento de Experiência do Usuário (XLA Tracker), BI.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7. Instruções de Execução: </w:t>
      </w:r>
      <w:r>
        <w:rPr>
          <w:rFonts w:ascii="Arial" w:hAnsi="Arial"/>
          <w:b w:val="0"/>
          <w:i w:val="0"/>
          <w:color w:val="333333"/>
          <w:sz w:val="20"/>
        </w:rPr>
        <w:t>Passos sequenciais de execução: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1. Extrair diariamente os relatórios de chamados estourados ou prestes a estourar o tempo de SLA.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2. Verificar no monitoramento APM se houve micro-paralisações ou lentidões em funções vitais de negócio (VBFs) que não geraram chamados formais.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3. Disparar pesquisas instantâneas de experiência (XLA) para amostragem de usuários ao encerramento de transações críticas no ERP/CRM.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4. Cruzar os dados técnicos de SLA (disponibilidade de infra) com os dados de XLA (percepção de velocidade e usabilidade).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5. Identificar desvios que caracterizem o 'Efeito Melancia' (SLA verde com XLA vermelho).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6. Consolidar as anomalias no Boletim Mensal de Desempenho do SLM.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8. Regras de Negócio e Decisão: </w:t>
      </w:r>
      <w:r>
        <w:rPr>
          <w:rFonts w:ascii="Arial" w:hAnsi="Arial"/>
          <w:b w:val="0"/>
          <w:i w:val="0"/>
          <w:color w:val="333333"/>
          <w:sz w:val="20"/>
        </w:rPr>
        <w:t>Regra 1: Qualquer serviço que apresente SLA verde mas obtenha CSAT/XLA abaixo de 70% por dois meses consecutivos deve ser tratado obrigatoriamente como falha de nível de serviço.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9. Tratamento de Exceções: </w:t>
      </w:r>
      <w:r>
        <w:rPr>
          <w:rFonts w:ascii="Arial" w:hAnsi="Arial"/>
          <w:b w:val="0"/>
          <w:i w:val="0"/>
          <w:color w:val="333333"/>
          <w:sz w:val="20"/>
        </w:rPr>
        <w:t>Inconsistência nos dados de monitoramento dispara chamado de auditoria de qualidade no ITSM.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10. Saídas e Registros Produzidos: </w:t>
      </w:r>
      <w:r>
        <w:rPr>
          <w:rFonts w:ascii="Arial" w:hAnsi="Arial"/>
          <w:b w:val="0"/>
          <w:i w:val="0"/>
          <w:color w:val="333333"/>
          <w:sz w:val="20"/>
        </w:rPr>
        <w:t>Painel de SLAs/XLAs atualizado em tempo real; Relatório Mensal de Desempenho consolidado.</w:t>
      </w:r>
    </w:p>
    <w:p>
      <w:pPr>
        <w:spacing w:before="0" w:after="20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11. Indicador de Desempenho Relacionado: </w:t>
      </w:r>
      <w:r>
        <w:rPr>
          <w:rFonts w:ascii="Arial" w:hAnsi="Arial"/>
          <w:b w:val="0"/>
          <w:i w:val="0"/>
          <w:color w:val="333333"/>
          <w:sz w:val="20"/>
        </w:rPr>
        <w:t>Índice de Efeito Melancia (Percentual de serviços com desvio SLA x XLA ≤ 2%).</w:t>
      </w:r>
    </w:p>
    <w:p>
      <w:pPr>
        <w:keepNext/>
        <w:spacing w:before="280" w:after="80"/>
      </w:pPr>
      <w:r>
        <w:rPr>
          <w:rFonts w:ascii="Arial" w:hAnsi="Arial"/>
          <w:b/>
          <w:i w:val="0"/>
          <w:color w:val="2E75B6"/>
          <w:sz w:val="26"/>
        </w:rPr>
        <w:t>POP-SLM-005: Condução da Reunião de Análise Crítica do Nível de Serviço (SLAR) e Plano SIP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1. Objetivo: </w:t>
      </w:r>
      <w:r>
        <w:rPr>
          <w:rFonts w:ascii="Arial" w:hAnsi="Arial"/>
          <w:b w:val="0"/>
          <w:i w:val="0"/>
          <w:color w:val="333333"/>
          <w:sz w:val="20"/>
        </w:rPr>
        <w:t>Analisar mensalmente os resultados de nível de serviço com os clientes de negócio e pactuar ações corretivas.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2. Responsável pela Execução: </w:t>
      </w:r>
      <w:r>
        <w:rPr>
          <w:rFonts w:ascii="Arial" w:hAnsi="Arial"/>
          <w:b w:val="0"/>
          <w:i w:val="0"/>
          <w:color w:val="333333"/>
          <w:sz w:val="20"/>
        </w:rPr>
        <w:t>SLM Manager / Business Relationship Manager (BRM).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3. Responsável pela Aprovação: </w:t>
      </w:r>
      <w:r>
        <w:rPr>
          <w:rFonts w:ascii="Arial" w:hAnsi="Arial"/>
          <w:b w:val="0"/>
          <w:i w:val="0"/>
          <w:color w:val="333333"/>
          <w:sz w:val="20"/>
        </w:rPr>
        <w:t>Comitê de Governança de TI / Diretores de Negócio.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4. Pré-requisitos: </w:t>
      </w:r>
      <w:r>
        <w:rPr>
          <w:rFonts w:ascii="Arial" w:hAnsi="Arial"/>
          <w:b w:val="0"/>
          <w:i w:val="0"/>
          <w:color w:val="333333"/>
          <w:sz w:val="20"/>
        </w:rPr>
        <w:t>Fechamento do mês operacional e consolidação do Relatório Mensal de Desempenho de Serviços.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5. Entradas Necessárias: </w:t>
      </w:r>
      <w:r>
        <w:rPr>
          <w:rFonts w:ascii="Arial" w:hAnsi="Arial"/>
          <w:b w:val="0"/>
          <w:i w:val="0"/>
          <w:color w:val="333333"/>
          <w:sz w:val="20"/>
        </w:rPr>
        <w:t>Relatório de SLAs/XLAs, Relatório de Violou SLA, Registro de Problemas Críticos.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6. Ferramentas e Recursos: </w:t>
      </w:r>
      <w:r>
        <w:rPr>
          <w:rFonts w:ascii="Arial" w:hAnsi="Arial"/>
          <w:b w:val="0"/>
          <w:i w:val="0"/>
          <w:color w:val="333333"/>
          <w:sz w:val="20"/>
        </w:rPr>
        <w:t>Apresentação Executiva do SLAR, Formatos de Plano de Melhoria de Serviço (SIP).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7. Instruções de Execução: </w:t>
      </w:r>
      <w:r>
        <w:rPr>
          <w:rFonts w:ascii="Arial" w:hAnsi="Arial"/>
          <w:b w:val="0"/>
          <w:i w:val="0"/>
          <w:color w:val="333333"/>
          <w:sz w:val="20"/>
        </w:rPr>
        <w:t>Passos sequenciais de execução: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1. Publicar o Relatório Mensal de Desempenho do SLM até o 3º dia útil do mês subsequente.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2. Conocar os diretores e gestores de negócio para a Reunião Mensal de Análise Crítica do Nível de Serviço (SLAR).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3. Apresentar a performance consolidated dos serviços, destacando o percentual de cumprimento de SLAs, OLAs e pesquisas de XLA.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4. Debater as causas-raiz dos SLAs violados e das indisponibilidades que afetaram as funções vitais de negócio.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5. Para cada serviço com estouro recorrente de SLA, elaborar e aprovar um Plano de Melhoria de Serviço (SIP - Service Improvement Plan) com ações, responsáveis e prazos.</w:t>
      </w:r>
    </w:p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6. Registrar a ata formal da reunião e cadastrar as ações do SIP na ferramenta de gestão de projetos/ITSM.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8. Regras de Negócio e Decisão: </w:t>
      </w:r>
      <w:r>
        <w:rPr>
          <w:rFonts w:ascii="Arial" w:hAnsi="Arial"/>
          <w:b w:val="0"/>
          <w:i w:val="0"/>
          <w:color w:val="333333"/>
          <w:sz w:val="20"/>
        </w:rPr>
        <w:t>Regra 1: O Plano SIP deve possuir prazo máximo de execução de 90 dias, sendo auditado mensalmente até sua conclusão. Regra 2: A ausência injustificada do representante do negócio transfere a validação para a ata homologada pela TI.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9. Tratamento de Exceções: </w:t>
      </w:r>
      <w:r>
        <w:rPr>
          <w:rFonts w:ascii="Arial" w:hAnsi="Arial"/>
          <w:b w:val="0"/>
          <w:i w:val="0"/>
          <w:color w:val="333333"/>
          <w:sz w:val="20"/>
        </w:rPr>
        <w:t>Rejeição do relatório pelo cliente de negócio exige auditoria conjunta dos logs em até 48 horas.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10. Saídas e Registros Produzidos: </w:t>
      </w:r>
      <w:r>
        <w:rPr>
          <w:rFonts w:ascii="Arial" w:hAnsi="Arial"/>
          <w:b w:val="0"/>
          <w:i w:val="0"/>
          <w:color w:val="333333"/>
          <w:sz w:val="20"/>
        </w:rPr>
        <w:t>Ata da Reunião SLAR homologada; Planos SIP cadastrados e em execução.</w:t>
      </w:r>
    </w:p>
    <w:p>
      <w:pPr>
        <w:spacing w:before="0" w:after="20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11. Indicador de Desempenho Relacionado: </w:t>
      </w:r>
      <w:r>
        <w:rPr>
          <w:rFonts w:ascii="Arial" w:hAnsi="Arial"/>
          <w:b w:val="0"/>
          <w:i w:val="0"/>
          <w:color w:val="333333"/>
          <w:sz w:val="20"/>
        </w:rPr>
        <w:t>Taxa de resolução bem-sucedida de Planos SIP (≥ 90%).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12. Regras de Negócio, Decisões e Escalonamentos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 operação do SLM e do Catálogo é regida por regras invioláveis de governança: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Regra 1 (Proibição de Serviços Fantasma): </w:t>
      </w:r>
      <w:r>
        <w:rPr>
          <w:rFonts w:ascii="Arial" w:hAnsi="Arial"/>
          <w:b w:val="0"/>
          <w:i w:val="0"/>
          <w:color w:val="333333"/>
          <w:sz w:val="20"/>
        </w:rPr>
        <w:t>Nenhum serviço de TI pode ser oferecido, tarifado ou suportado sem estar devidamente cadastrado e homologado no Catálogo de Serviços Ativo.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Regra 2 (Pausa Justificada de SLA): </w:t>
      </w:r>
      <w:r>
        <w:rPr>
          <w:rFonts w:ascii="Arial" w:hAnsi="Arial"/>
          <w:b w:val="0"/>
          <w:i w:val="0"/>
          <w:color w:val="333333"/>
          <w:sz w:val="20"/>
        </w:rPr>
        <w:t>O tempo decorrido enquanto um chamado aguarda ação, teste ou validação do usuário de negócio é contabilizado em status 'Pausado por Pendência de Cliente', interrompendo o cronômetro do SLA desde que devidamente registrado no ITSM.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Regra 3 (Janelas de Manutenção em SLA): </w:t>
      </w:r>
      <w:r>
        <w:rPr>
          <w:rFonts w:ascii="Arial" w:hAnsi="Arial"/>
          <w:b w:val="0"/>
          <w:i w:val="0"/>
          <w:color w:val="333333"/>
          <w:sz w:val="20"/>
        </w:rPr>
        <w:t>Indisponibilidades decorrentes de Janelas de Manutenção Programada pré-aprovadas pelo CAB não contam como violação de SLA de disponibilidade, desde que notificadas com no mínimo 48 horas de antecedência ao negócio.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13. Riscos, Controles Internos e Matriz RCSA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Abaixo apresenta-se a Matriz de Riscos, Controles e Evidências Auditáveis para conformidade SOX e ISO 20000-1: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Risco Identificado</w:t>
            </w:r>
          </w:p>
        </w:tc>
        <w:tc>
          <w:tcPr>
            <w:tcW w:type="dxa" w:w="1872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Impacto no Negócio</w:t>
            </w:r>
          </w:p>
        </w:tc>
        <w:tc>
          <w:tcPr>
            <w:tcW w:type="dxa" w:w="216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Controle Interno Mitigante</w:t>
            </w:r>
          </w:p>
        </w:tc>
        <w:tc>
          <w:tcPr>
            <w:tcW w:type="dxa" w:w="172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Evidência Auditável</w:t>
            </w:r>
          </w:p>
        </w:tc>
        <w:tc>
          <w:tcPr>
            <w:tcW w:type="dxa" w:w="144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Frequência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SLAs descumpridos sem identificação da TI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Efeito Melancia, insatisfação e perdas financeiras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Medição diária automatizada via ITSM/APM e pesquisa XLA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Dashboard do SLM e Relatório XLA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Diária</w:t>
            </w:r>
          </w:p>
        </w:tc>
      </w:tr>
      <w:tr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Incompatibilidade entre SLA e Contrato de Fornecedor</w:t>
            </w:r>
          </w:p>
        </w:tc>
        <w:tc>
          <w:tcPr>
            <w:tcW w:type="dxa" w:w="187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Impossibilidade de reaver prejuízos com terceiros</w:t>
            </w:r>
          </w:p>
        </w:tc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Análise de simetria obrigatória na criação de UCs (POP-SLM-003)</w:t>
            </w:r>
          </w:p>
        </w:tc>
        <w:tc>
          <w:tcPr>
            <w:tcW w:type="dxa" w:w="172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Matriz de Rastreabilidade SLA x UC</w:t>
            </w:r>
          </w:p>
        </w:tc>
        <w:tc>
          <w:tcPr>
            <w:tcW w:type="dxa" w:w="144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Na contratação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Alteração não autorizada de metas de SLA no ITSM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Fraude nos relatórios gerenciais e mascaramento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Controle de acesso RBAC estrito e logs imutáveis de alteração no ITSM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Log de Auditoria de Parâmetros do ITSM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Contínua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14. Requisitos de Configuração e Integração Tecnológica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Para viabilizar a automação dos controles de SLM, a plataforma ITSM e a CMDB devem atender aos seguintes requisitos técnicos de parametrização: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1. Multi-Calendário Dinâmico: </w:t>
      </w:r>
      <w:r>
        <w:rPr>
          <w:rFonts w:ascii="Arial" w:hAnsi="Arial"/>
          <w:b w:val="0"/>
          <w:i w:val="0"/>
          <w:color w:val="333333"/>
          <w:sz w:val="20"/>
        </w:rPr>
        <w:t>O sistema ITSM deve calcular automaticamente os prazos de resposta e solução com base no calendário de atendimento do serviço (ex: 24x7x365 vs Dias Úteis 8h às 18h), descontando feriados corporativos cadastrados.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2. Pausa Automática por Status: </w:t>
      </w:r>
      <w:r>
        <w:rPr>
          <w:rFonts w:ascii="Arial" w:hAnsi="Arial"/>
          <w:b w:val="0"/>
          <w:i w:val="0"/>
          <w:color w:val="333333"/>
          <w:sz w:val="20"/>
        </w:rPr>
        <w:t>A alteração de status para 'Aguardando Cliente' deve pausar automaticamente o cronômetro do SLA. A retomada para 'Em Atendimento' reinsere o cronômetro exatamente no segundo em que foi suspenso.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3. Alertas Preditivos de Estouro (Escalonamento Prévio): </w:t>
      </w:r>
      <w:r>
        <w:rPr>
          <w:rFonts w:ascii="Arial" w:hAnsi="Arial"/>
          <w:b w:val="0"/>
          <w:i w:val="0"/>
          <w:color w:val="333333"/>
          <w:sz w:val="20"/>
        </w:rPr>
        <w:t>Quando o cronômetro atingir 75% do prazo limite do SLA sem solução, o ITSM deve disparar alerta automático via e-mail/Teams para o Service Owner e para o SLM Manager.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15. Indicadores, Fórmulas e Metas Propostas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 medição do desempenho da Gestão de Nível de Serviço utiliza o seguinte painel de indicadores principais (KPIs):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Indicador (KPI)</w:t>
            </w:r>
          </w:p>
        </w:tc>
        <w:tc>
          <w:tcPr>
            <w:tcW w:type="dxa" w:w="316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Fórmula de Cálculo</w:t>
            </w:r>
          </w:p>
        </w:tc>
        <w:tc>
          <w:tcPr>
            <w:tcW w:type="dxa" w:w="1872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Fonte de Dados</w:t>
            </w:r>
          </w:p>
        </w:tc>
        <w:tc>
          <w:tcPr>
            <w:tcW w:type="dxa" w:w="172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Meta Corporativa</w:t>
            </w:r>
          </w:p>
        </w:tc>
      </w:tr>
      <w:tr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Percentual de Cumprimento de SLA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(Nº de Chamados Resolvidos no SLA / Total de Chamados) * 100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Relatórios do ITSM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≥ 98%</w:t>
            </w:r>
          </w:p>
        </w:tc>
      </w:tr>
      <w:tr>
        <w:tc>
          <w:tcPr>
            <w:tcW w:type="dxa" w:w="259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Índice de Efeito Melancia (Desvio XLA)</w:t>
            </w:r>
          </w:p>
        </w:tc>
        <w:tc>
          <w:tcPr>
            <w:tcW w:type="dxa" w:w="316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Absoluto( % SLA Técnico - % Satisfação XLA )</w:t>
            </w:r>
          </w:p>
        </w:tc>
        <w:tc>
          <w:tcPr>
            <w:tcW w:type="dxa" w:w="187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ITSM + XLA Tracker</w:t>
            </w:r>
          </w:p>
        </w:tc>
        <w:tc>
          <w:tcPr>
            <w:tcW w:type="dxa" w:w="172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≤ 5% de desvio</w:t>
            </w:r>
          </w:p>
        </w:tc>
      </w:tr>
      <w:tr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Cobertura de OLAs internos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(Nº de Serviços com OLA Assinado / Total de Serviços) * 100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Matriz do SLM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100% dos serviços</w:t>
            </w:r>
          </w:p>
        </w:tc>
      </w:tr>
      <w:tr>
        <w:tc>
          <w:tcPr>
            <w:tcW w:type="dxa" w:w="259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Taxa de Resolução de Planos SIP</w:t>
            </w:r>
          </w:p>
        </w:tc>
        <w:tc>
          <w:tcPr>
            <w:tcW w:type="dxa" w:w="316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(Nº de Ações do SIP Concluídas / Total de Ações) * 100</w:t>
            </w:r>
          </w:p>
        </w:tc>
        <w:tc>
          <w:tcPr>
            <w:tcW w:type="dxa" w:w="187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Módulo de SIP / ITSM</w:t>
            </w:r>
          </w:p>
        </w:tc>
        <w:tc>
          <w:tcPr>
            <w:tcW w:type="dxa" w:w="172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≥ 90% no prazo</w:t>
            </w:r>
          </w:p>
        </w:tc>
      </w:tr>
    </w:tbl>
    <w:p>
      <w:pPr>
        <w:keepNext/>
        <w:spacing w:before="360" w:after="120"/>
      </w:pPr>
      <w:r>
        <w:t>16. Plano Indicativo de Implantação e Transição (60 Dias)</w:t>
      </w:r>
    </w:p>
    <w:p>
      <w:pPr>
        <w:spacing w:before="0" w:after="120" w:line="276" w:lineRule="auto"/>
      </w:pPr>
      <w:r>
        <w:t>Cronograma indicativo do processo: quatro fases de 15 dias, conforme etapas abaixo. Os prazos são estimativas sujeitas a ajuste conforme escopo, recursos e dependências; não substituem os 90 dias previstos para implantação inicial do programa nem o horizonte de até 18 meses de evolução e maturação.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1 (Dias 01 a 15): </w:t>
      </w:r>
      <w:r>
        <w:rPr>
          <w:rFonts w:ascii="Arial" w:hAnsi="Arial"/>
          <w:b w:val="0"/>
          <w:i w:val="0"/>
          <w:color w:val="333333"/>
          <w:sz w:val="20"/>
        </w:rPr>
        <w:t>Diagnóstico, Mapeamento do BIA e Levantamento dos Serviços Existentes.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2 (Dias 16 a 30): </w:t>
      </w:r>
      <w:r>
        <w:rPr>
          <w:rFonts w:ascii="Arial" w:hAnsi="Arial"/>
          <w:b w:val="0"/>
          <w:i w:val="0"/>
          <w:color w:val="333333"/>
          <w:sz w:val="20"/>
        </w:rPr>
        <w:t>Estruturação e Publicação do Catálogo de Serviços (Visão Negócio e Técnica).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3 (Dias 31 a 45): </w:t>
      </w:r>
      <w:r>
        <w:rPr>
          <w:rFonts w:ascii="Arial" w:hAnsi="Arial"/>
          <w:b w:val="0"/>
          <w:i w:val="0"/>
          <w:color w:val="333333"/>
          <w:sz w:val="20"/>
        </w:rPr>
        <w:t>Pactuação dos SLAs, OLAs e UCs e Parametrização dos Motores de SLA no ITSM.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F4E79"/>
          <w:sz w:val="20"/>
        </w:rPr>
        <w:t xml:space="preserve">• FASE 4 (Dias 46 a 60): </w:t>
      </w:r>
      <w:r>
        <w:rPr>
          <w:rFonts w:ascii="Arial" w:hAnsi="Arial"/>
          <w:b w:val="0"/>
          <w:i w:val="0"/>
          <w:color w:val="333333"/>
          <w:sz w:val="20"/>
        </w:rPr>
        <w:t>Go-Live do Novo SLM, Operação Assistida (Hypercare) e Primeira Reunião SLAR.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17. Anexo A — Minuta da Política Corporativa de Gestão de Nível de Serviço e Catálogo (POL-TI-004)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Abaixo apresenta-se o texto integral da Política Corporativa oficial, pronta para aprovação e assinatura do C-Level: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r>
              <w:t>MINUTA DA POLÍTICA CORPORATIVA (POL-TI-004) — PARA AVALIAÇÃO, NÃO APROVADA</w:t>
              <w:br/>
              <w:t>POLÍTICA CORPORATIVA DE GESTÃO DE NÍVEL DE SERVIÇO E CATÁLOGO DE SERVIÇOS DE TI</w:t>
              <w:br/>
              <w:t>CÓDIGO: POL-TI-004 | REVISÃO: v2.0 | EMISSÃO: 2026</w:t>
              <w:br/>
              <w:br/>
              <w:t>1. DIRETRIZES GERAIS E OBRIGATORIEDADE:</w:t>
              <w:br/>
              <w:t>1.1. Todos os serviços de tecnologia disponibilizados aos colaboradores, clientes e parceiros da organização devem estar obrigatoriamente formalizados e publicados no Catálogo de Serviços de TI Corporativo.</w:t>
              <w:br/>
              <w:t>1.2. É expressamente vedada a prestação de suporte, alocação de recursos ou sustentação técnica para aplicações ou ferramentas que não constem do Catálogo de Serviços Ativo ('Serviços Sombra').</w:t>
              <w:br/>
              <w:br/>
              <w:t>2. PACTUAÇÃO E REVISÃO DE SLAs:</w:t>
              <w:br/>
              <w:t>2.1. Os Acordos de Nível de Serviço (SLAs) têm força normativa interna e vinculam os compromissos operacionais da TI às metas estratégicas do negócio.</w:t>
              <w:br/>
              <w:t>2.2. A negociação e repactuação de SLAs é de competência exclusiva do Business Relationship Manager (BRM) e do SLM Manager, devendo contar com a anuência do Diretor da Área Cliente e do CIO.</w:t>
              <w:br/>
              <w:t>2.3. Todos os SLAs possuem vigência máxima de 12 (doze) meses, devendo obrigatoriamente passar por Reunião de Análise Crítica (SLAR) para renovação ou reajuste.</w:t>
              <w:br/>
              <w:br/>
              <w:t>3. SIMETRIA COM FORNECEDORES E EQUIPES INTERNAS:</w:t>
              <w:br/>
              <w:t>3.1. Toda meta de SLA assumida com o negócio deve ser sustentada por Acordos de Nível Operacional (OLAs) com as equipes internas e por Contratos de Apoio (UCs) com fornecedores terceiros.</w:t>
              <w:br/>
              <w:t>3.2. Os contratos celebrados com terceiros para fornecimento de software, infraestrutura ou nuvem devem conter cláusulas de SLA com penalidades financeiras diretas em caso de descumprimento.</w:t>
              <w:br/>
              <w:br/>
              <w:t>4. GESTÃO DO EFEITO MELANCIA E XLAs:</w:t>
              <w:br/>
              <w:t>4.1. A TI compromete-se a medir não apenas a disponibilidade infraestrutural, mas a experiência efetiva do usuário (XLA) e o impacto nas Funções Vitais de Negócio (VBFs).</w:t>
              <w:br/>
              <w:t>4.2. A constatação recorrente de insatisfação do cliente em serviços com SLA técnico 'verde' ensejará a imediata abertura de Plano de Melhoria de Serviço (SIP) obrigatório.</w:t>
              <w:br/>
              <w:br/>
              <w:t>5. DISPOSIÇÕES FINAIS E SANÇÕES:</w:t>
              <w:br/>
              <w:t>O descumprimento deliberado das diretrizes estabelecidas nesta Política ou a alteração não autorizada de parâmetros de SLA no ITSM constitui infração grave, sujeita a sanções administrativas e disciplinares.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18. Anexo B — Modelo Padrão de Acordo de Nível de Serviço (SLA) &amp; Acordo Operacional (OLA)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Abaixo apresenta-se a estrutura padrão preenchível do documento formal de SLA/OLA: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TEMPLATE PADRÃO DE SLA / OLA FORMAL</w:t>
              <w:br/>
            </w:r>
            <w:r>
              <w:rPr>
                <w:rFonts w:ascii="Arial" w:hAnsi="Arial"/>
                <w:b w:val="0"/>
                <w:i/>
                <w:color w:val="333333"/>
                <w:sz w:val="19"/>
              </w:rPr>
              <w:t>TERMO DE ACORDO DE NÍVEL DE SERVIÇO (SLA)</w:t>
              <w:br/>
              <w:t>SERVIÇO: [Nome do Serviço / Ex: Processamento de Folha de Pagamento - ERP]</w:t>
              <w:br/>
              <w:t>CÓDIGO DO SERVIÇO NO CATÁLOGO: SVC-HR-002</w:t>
              <w:br/>
              <w:br/>
              <w:t>1. PARTES CONTRATANTES:</w:t>
              <w:br/>
              <w:t>Provedor de Serviço: Diretoria de TI / Gerência de Sistemas Corporativos</w:t>
              <w:br/>
              <w:t>Cliente de Negócio: Diretoria de Recursos Humanos (Representante: [Nome do Diretor])</w:t>
              <w:br/>
              <w:br/>
              <w:t>2. DESCRIÇÃO DO SERVIÇO E FUNÇÕES VITAIS DE NEGÓCIO (VBF):</w:t>
              <w:br/>
              <w:t>Sustentação e operação do módulo de Folha de Pagamento. Função Vital: Garantir o cálculo, emissão e eSocial dentro dos prazos legais do calendário trabalhista.</w:t>
              <w:br/>
              <w:br/>
              <w:t>3. METAS DE NÍVEL DE SERVIÇO PACTUADAS:</w:t>
              <w:br/>
              <w:t>• Horário de Suporte Coberto: Dias úteis, das 08:00 às 20:00.</w:t>
              <w:br/>
              <w:t>• Janela Crítica de Operação: Do dia 20 ao dia 05 de cada mês (Operação 24x7).</w:t>
              <w:br/>
              <w:t>• Disponibilidade Mensal do Serviço: 99,5% (Desconto máximo permitido: 3h36m/mês).</w:t>
              <w:br/>
              <w:t>• Tempo de Resposta a Incidentes P1 (Crítico): ≤ 15 minutos.</w:t>
              <w:br/>
              <w:t>• Tempo de Solução / Workaround P1: ≤ 2 horas.</w:t>
              <w:br/>
              <w:t>• Janela de Manutenção Programada: Terceira do mês, das 02:00 às 06:00 (Domingo).</w:t>
              <w:br/>
              <w:br/>
              <w:t>4. ACORDOS DE NÍVEL OPERACIONAL (OLA) INTERNOS VINCULADOS:</w:t>
              <w:br/>
              <w:t>• OLA-INF-002 (Equipe de Banco de Dados): Tempo de restauração de backup/DBA em P1 ≤ 45 min.</w:t>
              <w:br/>
              <w:t>• OLA-DEV-008 (Equipe ERP/Sistemas): Tempo de correção de código em P1 ≤ 60 min.</w:t>
              <w:br/>
              <w:br/>
              <w:t>5. ASSINATURAS E HOMOLOGAÇÃO:</w:t>
              <w:br/>
              <w:t>_____________________________________          _____________________________________</w:t>
              <w:br/>
              <w:t>Diretor de Recursos Humanos (Cliente)           Chief Information Officer (CIO / TI)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19. Anexo C — Estrutura e Taxonomia do Catálogo de Serviços de TI (Visão de Negócio x Visão Técnica)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Matriz contendo a taxonomia e a arquitetura das duas visões do Catálogo de Serviços corporativo: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Categoria Negócio</w:t>
            </w:r>
          </w:p>
        </w:tc>
        <w:tc>
          <w:tcPr>
            <w:tcW w:type="dxa" w:w="216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Serviço (Visão Cliente)</w:t>
            </w:r>
          </w:p>
        </w:tc>
        <w:tc>
          <w:tcPr>
            <w:tcW w:type="dxa" w:w="216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Aplicações / CIs (Visão Técnica)</w:t>
            </w:r>
          </w:p>
        </w:tc>
        <w:tc>
          <w:tcPr>
            <w:tcW w:type="dxa" w:w="1872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Grupo Solucionador</w:t>
            </w:r>
          </w:p>
        </w:tc>
        <w:tc>
          <w:tcPr>
            <w:tcW w:type="dxa" w:w="144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SLA Padrão</w:t>
            </w:r>
          </w:p>
        </w:tc>
      </w:tr>
      <w:tr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Sistemas Corporativos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Gestão de Vendas (CRM)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SaaS Salesforce, API Gateway, DB Prod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N2/N3 Sistemas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99,9% / P1 ≤ 2h</w:t>
            </w:r>
          </w:p>
        </w:tc>
      </w:tr>
      <w:tr>
        <w:tc>
          <w:tcPr>
            <w:tcW w:type="dxa" w:w="172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Sistemas Corporativos</w:t>
            </w:r>
          </w:p>
        </w:tc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Gestão Financeira e ERP</w:t>
            </w:r>
          </w:p>
        </w:tc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SAP S/4HANA, Cluster DB, SAN Storage</w:t>
            </w:r>
          </w:p>
        </w:tc>
        <w:tc>
          <w:tcPr>
            <w:tcW w:type="dxa" w:w="187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N3 ERP SAP</w:t>
            </w:r>
          </w:p>
        </w:tc>
        <w:tc>
          <w:tcPr>
            <w:tcW w:type="dxa" w:w="144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99,5% / P1 ≤ 2h</w:t>
            </w:r>
          </w:p>
        </w:tc>
      </w:tr>
      <w:tr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Infraestrutura &amp; Nuvem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Acesso à Rede e VPN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Firewall Palo Alto, Active Directory, Cisco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N2 Infra/Redes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99,0% / P2 ≤ 4h</w:t>
            </w:r>
          </w:p>
        </w:tc>
      </w:tr>
      <w:tr>
        <w:tc>
          <w:tcPr>
            <w:tcW w:type="dxa" w:w="172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Colaboração &amp; Digital</w:t>
            </w:r>
          </w:p>
        </w:tc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E-mail e Comunicação</w:t>
            </w:r>
          </w:p>
        </w:tc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Microsoft 365, Exchange Online, Teams</w:t>
            </w:r>
          </w:p>
        </w:tc>
        <w:tc>
          <w:tcPr>
            <w:tcW w:type="dxa" w:w="187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N1 Service Desk</w:t>
            </w:r>
          </w:p>
        </w:tc>
        <w:tc>
          <w:tcPr>
            <w:tcW w:type="dxa" w:w="144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99,5% / P3 ≤ 8h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20. Anexo D — Matriz de Rastreabilidade SLA x OLA x UC x CI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Abaixo demonstra-se o encadeamento rastreável entre o serviço do negócio, os compromissos operacionais e os ativos de 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Serviço de Negócio</w:t>
            </w:r>
          </w:p>
        </w:tc>
        <w:tc>
          <w:tcPr>
            <w:tcW w:type="dxa" w:w="172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SLA Pactuado</w:t>
            </w:r>
          </w:p>
        </w:tc>
        <w:tc>
          <w:tcPr>
            <w:tcW w:type="dxa" w:w="1872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OLA Interno (N2/N3)</w:t>
            </w:r>
          </w:p>
        </w:tc>
        <w:tc>
          <w:tcPr>
            <w:tcW w:type="dxa" w:w="216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UC (Contrato Terceiro)</w:t>
            </w:r>
          </w:p>
        </w:tc>
        <w:tc>
          <w:tcPr>
            <w:tcW w:type="dxa" w:w="144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CI da CMDB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ERP Financeiro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Solução P1 ≤ 2h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OLA-DBA (Restauração DB ≤ 45m)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UC-SAP (Suporte N3 Enterprise ≤ 1h)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SRV-SAP-PROD-01</w:t>
            </w:r>
          </w:p>
        </w:tc>
      </w:tr>
      <w:tr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Plataforma e-Commerce</w:t>
            </w:r>
          </w:p>
        </w:tc>
        <w:tc>
          <w:tcPr>
            <w:tcW w:type="dxa" w:w="172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Solução P1 ≤ 1h</w:t>
            </w:r>
          </w:p>
        </w:tc>
        <w:tc>
          <w:tcPr>
            <w:tcW w:type="dxa" w:w="187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OLA-DEVOPS (Rollback CI/CD ≤ 15m)</w:t>
            </w:r>
          </w:p>
        </w:tc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UC-AWS (SLA Nuvem AWS 99,99%)</w:t>
            </w:r>
          </w:p>
        </w:tc>
        <w:tc>
          <w:tcPr>
            <w:tcW w:type="dxa" w:w="144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AWS-EC2-CLUSTER-01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Email Corporativo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Solução P2 ≤ 4h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OLA-SEC (Liberação Filtro ≤ 1h)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UC-MSFT (Microsoft 365 Enterprise)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M365-TENANT-01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i w:val="0"/>
          <w:color w:val="1F4E79"/>
          <w:sz w:val="32"/>
        </w:rPr>
        <w:t>21. Anexo E — Roteiro de Capacitação, Treinamento e Negociação de SLAs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0"/>
        </w:rPr>
        <w:t>Plano de desenvolvimento de competências para capacitação de equipes técnicas e de negócio: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Público-Alvo</w:t>
            </w:r>
          </w:p>
        </w:tc>
        <w:tc>
          <w:tcPr>
            <w:tcW w:type="dxa" w:w="2592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Módulo de Treinamento</w:t>
            </w:r>
          </w:p>
        </w:tc>
        <w:tc>
          <w:tcPr>
            <w:tcW w:type="dxa" w:w="2880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Conteúdo Programático Principal</w:t>
            </w:r>
          </w:p>
        </w:tc>
        <w:tc>
          <w:tcPr>
            <w:tcW w:type="dxa" w:w="1728"/>
            <w:shd w:fill="1F4E79" w:val="clear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Carga Horária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Diretores e Gestores de Negócio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SLM para Decisores de Negócio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Como ler o Catálogo de Serviços, pactuação de SLAs vs Custos, gestão do Efeito Melancia e participação no SLAR.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 Horas</w:t>
            </w:r>
          </w:p>
        </w:tc>
      </w:tr>
      <w:tr>
        <w:tc>
          <w:tcPr>
            <w:tcW w:type="dxa" w:w="216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BRMs e Service Owners</w:t>
            </w:r>
          </w:p>
        </w:tc>
        <w:tc>
          <w:tcPr>
            <w:tcW w:type="dxa" w:w="2592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Engenharia de SLAs, OLAs e UCs</w:t>
            </w:r>
          </w:p>
        </w:tc>
        <w:tc>
          <w:tcPr>
            <w:tcW w:type="dxa" w:w="2880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Técnicas de negociação de SLAs, construção de matrizes de rastreabilidade, cálculo de BIA e elaboração de Planos SIP.</w:t>
            </w:r>
          </w:p>
        </w:tc>
        <w:tc>
          <w:tcPr>
            <w:tcW w:type="dxa" w:w="1728"/>
            <w:shd w:fill="F9FAFC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 Horas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Equipes Service Desk / N2 / N3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Operação de SLAs e Prazos no ITSM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Leitura de cronômetros no ITSM, regras de pausa justificada, escalonamento prévio de estouro e registro de XLAs.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 Horas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909C"/>
        <w:sz w:val="17"/>
      </w:rPr>
      <w:t>Projeto 04: Gestão de Nível de Serviço (SLM) e Catálogo de Serviços | Confidencial — Uso Corporativo</w:t>
      <w:br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909C"/>
        <w:sz w:val="17"/>
      </w:rPr>
      <w:t>PROGRAMA DE GOVERNANÇA DE TI (SGS / SGSI) — MANUAl DO PROJETO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04 — Gestão de Nível de Serviço (SLM) e Catálogo | versão revisada</dc:title>
  <dc:subject>Case simulado; modelo conceitual para adaptação e validação</dc:subject>
  <dc:creator>python-docx</dc:creator>
  <cp:keywords/>
  <dc:description>Revisão editorial com preservação da estrutura original; metas, diagnósticos e status institucional qualificados.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