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D4AF37"/>
                <w:sz w:val="19"/>
              </w:rPr>
              <w:t>PROGRAMA INTEGRADO DE GOVERNANÇA, SERVIÇOS E SEGURANÇA DE TI (SGS / SGSI)</w:t>
              <w:br/>
            </w:r>
            <w:r>
              <w:rPr>
                <w:rFonts w:ascii="Calibri" w:hAnsi="Calibri"/>
                <w:b/>
                <w:color w:val="FFFFFF"/>
                <w:sz w:val="32"/>
              </w:rPr>
              <w:t>PROJETO 10: AVALIAÇÃO DE DESEMPENHO, AUDITORIA INTERNA E MELHORIA CONTÍNUA (CSI / PDCA)</w:t>
              <w:br/>
            </w:r>
            <w:r>
              <w:rPr>
                <w:rFonts w:ascii="Calibri" w:hAnsi="Calibri"/>
                <w:color w:val="E6E6E6"/>
                <w:sz w:val="20"/>
              </w:rPr>
              <w:t>Manual Operacional Turn-Key e Guia Metodológico de Implementação Integrada</w:t>
              <w:br/>
              <w:t>Conformidade ABNT NBR ISO/IEC 20000-1 Cl. 9/10 | ISO/IEC 27001 Cl. 9/10 | ISO 19011 | COBIT MEA | ITIL v4 CSI | SOX 404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📌 PROPÓSITO DO MANUAL OPERACIONAL</w:t>
              <w:br/>
            </w:r>
            <w:r>
              <w:rPr>
                <w:rFonts w:ascii="Calibri" w:hAnsi="Calibri"/>
                <w:color w:val="333333"/>
                <w:sz w:val="20"/>
              </w:rPr>
              <w:t>Este Manual Operacional integra o arcabouço final do Programa Integrado de Governança de TI, estabelecendo o motor de medição, auditoria e evolução do sistema de gestão. Fundamentado nas exigências da ISO/IEC 20000-1 (Seções 9 e 10), ISO/IEC 27001 (Seções 9 e 10), ISO 19011, COBIT 5/2019 (Domínio MEA), ITIL v4 (Prática de Continual Improvement) e SOX Section 404, este documento fornece a estrutura para fechar o ciclo PDCA (Plan-Do-Check-Act) em todos os 10 processos da organização.</w:t>
            </w:r>
          </w:p>
        </w:tc>
      </w:tr>
    </w:tbl>
    <w:p>
      <w:pPr>
        <w:spacing w:before="0" w:after="120"/>
      </w:pPr>
    </w:p>
    <w:p>
      <w:r>
        <w:rPr>
          <w:b/>
          <w:color w:val="C05014"/>
          <w:sz w:val="18"/>
        </w:rPr>
        <w:t>NOTA DE CONTEXTO — CASE SIMULADO: este manual é uma proposta conceitual para estudo e planejamento. Metas, diagnósticos, resultados, papéis, aprovações, auditorias, registros, datas e evidências são hipotéticos ou propostos; não comprovam execução de auditoria, aprovação corporativa, conformidade ou certificação real. Validar critérios, independência, requisitos aplicáveis, escopo e responsáveis antes de qualquer uso operacional.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 — Controle Documental e Histórico de Revisões</w:t>
      </w:r>
    </w:p>
    <w:p>
      <w:pPr>
        <w:spacing w:after="120"/>
      </w:pPr>
      <w:r>
        <w:t>O controle documental proposto para o Projeto 10 está representado pelo registro de versões abaixo; datas, papéis e aprovações são ilustrativos e exigem validação organizacional: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4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360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Autor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Aprovador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v1.0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14/10/2026</w:t>
            </w:r>
          </w:p>
        </w:tc>
        <w:tc>
          <w:tcPr>
            <w:tcW w:type="dxa" w:w="360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Elaboração inicial do Manual Operacional e Anexos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Consultoria GRC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CISO / CIO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v1.1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14/10/2026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Ajuste e validação das regras de Auditoria Interna ISO 19011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Auditor Líder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Comitê de Risco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v2.0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14/10/2026</w:t>
            </w:r>
          </w:p>
        </w:tc>
        <w:tc>
          <w:tcPr>
            <w:tcW w:type="dxa" w:w="360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Exemplo ilustrativo de etapa; não comprova aprovação nem publicação real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Liderança TI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Conselho Admin.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2 — Sumário Executivo do Processo</w:t>
      </w:r>
    </w:p>
    <w:p>
      <w:pPr>
        <w:spacing w:after="80"/>
      </w:pPr>
      <w:r>
        <w:t>A Avaliação de Desempenho, Auditoria Interna e Melhoria Contínua (CSI / PDCA) constituem o mecanismo de supervisão e realimentação do Sistema de Gestão de Serviços (SGS) e Segurança da Informação (SGSI). Sem um processo sistemático de medição e auditoria, o modelo de governança degrada gradualmente, tornando-se ineficaz e desacoplado dos objetivos de negócio.</w:t>
      </w:r>
    </w:p>
    <w:p>
      <w:pPr>
        <w:spacing w:after="160"/>
      </w:pPr>
      <w:r>
        <w:t>Este manual propõe diretrizes para coleta de dados de desempenho, planejamento de auditorias internas com referência à ABNT NBR ISO 19011, gestão do Registro de Melhoria Contínua (CIR) e preparação de Análises Críticas pela Direção. Sua execução e as evidências correspondentes dependem de implantação e validação reais.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3 — Objetivos Estratégicos e Metas Mensuráveis</w:t>
      </w:r>
    </w:p>
    <w:p>
      <w:pPr>
        <w:spacing w:after="120"/>
      </w:pPr>
      <w:r>
        <w:t>O processo de Avaliação de Desempenho e Melhoria Contínua busca alcançar os seguintes objetivos corporativos quantitativos: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Estratégico</w:t>
            </w:r>
          </w:p>
        </w:tc>
        <w:tc>
          <w:tcPr>
            <w:tcW w:type="dxa" w:w="288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 Chave (KPI)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Meta Corporativa</w:t>
            </w:r>
          </w:p>
        </w:tc>
        <w:tc>
          <w:tcPr>
            <w:tcW w:type="dxa" w:w="1728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Frequência de Medição</w:t>
            </w:r>
          </w:p>
        </w:tc>
      </w:tr>
      <w:tr>
        <w:tc>
          <w:tcPr>
            <w:tcW w:type="dxa" w:w="31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Conformidade de Auditoria Interna</w:t>
            </w:r>
          </w:p>
        </w:tc>
        <w:tc>
          <w:tcPr>
            <w:tcW w:type="dxa" w:w="288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% do Plano Anual de Auditoria Executado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100%</w:t>
            </w:r>
          </w:p>
        </w:tc>
        <w:tc>
          <w:tcPr>
            <w:tcW w:type="dxa" w:w="172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Semestral / Anual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Eficácia de Ações Corretivas (CAPA)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% de Não Conformidades Fechadas no Prazo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&gt;= 95%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Mensal</w:t>
            </w:r>
          </w:p>
        </w:tc>
      </w:tr>
      <w:tr>
        <w:tc>
          <w:tcPr>
            <w:tcW w:type="dxa" w:w="31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Taxa de Sucesso de Melhorias (CIR)</w:t>
            </w:r>
          </w:p>
        </w:tc>
        <w:tc>
          <w:tcPr>
            <w:tcW w:type="dxa" w:w="2880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% de Projetos do CIR com ROI/Benefício Realizado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&gt;= 90%</w:t>
            </w:r>
          </w:p>
        </w:tc>
        <w:tc>
          <w:tcPr>
            <w:tcW w:type="dxa" w:w="172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Trimestral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Satisfação Geral do Negócio (CSAT)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Indice Médio de Satisfação C-Level com 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&gt;= 90%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Quadrimestral / Anual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4 — Escopo do Processo, Premissas e Limites</w:t>
      </w:r>
    </w:p>
    <w:p>
      <w:pPr>
        <w:spacing w:after="80"/>
      </w:pPr>
      <w:r>
        <w:t>O escopo proposto considera os dez processos de TI previstos no Programa Integrado, incluindo serviços, infraestrutura, nuvem, segurança e operações internas ou terceirizadas; confirmar a lista, os limites e a abrangência antes da adoção.</w:t>
      </w:r>
    </w:p>
    <w:p>
      <w:pPr>
        <w:spacing w:after="40"/>
        <w:ind w:left="360"/>
      </w:pPr>
      <w:r>
        <w:rPr>
          <w:b/>
        </w:rPr>
        <w:t xml:space="preserve">• Inclusões Expressas: </w:t>
      </w:r>
      <w:r>
        <w:t>Medição de KPIs/KRIs de todos os processos, auditoria de conformidade regulatória (LGPD, SOX, ISO 20000, ISO 27001), gestão de não conformidades, operação do CIR e reuniões formais de Análise Crítica pela Direção.</w:t>
      </w:r>
    </w:p>
    <w:p>
      <w:pPr>
        <w:spacing w:after="120"/>
        <w:ind w:left="360"/>
      </w:pPr>
      <w:r>
        <w:rPr>
          <w:b/>
        </w:rPr>
        <w:t xml:space="preserve">• Exclusões e Limites: </w:t>
      </w:r>
      <w:r>
        <w:t>Auditorias contábeis/financeiras externas do balanço corporativo (conduzidas por firmas independentes) e fiscalização regulatória direta de órgãos governamentais (ANPD, BACEN, CVM).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5 — Arcabouço Normativo e Referências Técnicas</w:t>
      </w:r>
    </w:p>
    <w:p>
      <w:pPr>
        <w:spacing w:after="80"/>
      </w:pPr>
      <w:r>
        <w:t>Este manual utiliza como referências de trabalho as normas e frameworks abaixo; validar edições, cláusulas, aplicabilidade e interpretação no contexto organizacional:</w:t>
      </w:r>
    </w:p>
    <w:p>
      <w:pPr>
        <w:spacing w:after="60"/>
        <w:ind w:left="288"/>
      </w:pPr>
      <w:r>
        <w:rPr>
          <w:b/>
          <w:color w:val="003366"/>
        </w:rPr>
        <w:t xml:space="preserve">• ABNT NBR ISO/IEC 20000-1:2020 (Seções 9 e 10): </w:t>
      </w:r>
      <w:r>
        <w:t>Exige monitoramento, medição, análise, auditoria interna, análise crítica pela direção e melhoria contínua do SGS.</w:t>
      </w:r>
    </w:p>
    <w:p>
      <w:pPr>
        <w:spacing w:after="60"/>
        <w:ind w:left="288"/>
      </w:pPr>
      <w:r>
        <w:rPr>
          <w:b/>
          <w:color w:val="003366"/>
        </w:rPr>
        <w:t xml:space="preserve">• ABNT NBR ISO/IEC 27001:2022 (Seções 9 e 10): </w:t>
      </w:r>
      <w:r>
        <w:t>Estipula a avaliação de desempenho do SGSI, auditoria interna de controles de segurança e tratamento formal de não conformidades.</w:t>
      </w:r>
    </w:p>
    <w:p>
      <w:pPr>
        <w:spacing w:after="60"/>
        <w:ind w:left="288"/>
      </w:pPr>
      <w:r>
        <w:rPr>
          <w:b/>
          <w:color w:val="003366"/>
        </w:rPr>
        <w:t xml:space="preserve">• ABNT NBR ISO 19011:2018: </w:t>
      </w:r>
      <w:r>
        <w:t>Fornece os princípios de auditoria, gestão de programa de auditoria, condução e competência de auditores internos.</w:t>
      </w:r>
    </w:p>
    <w:p>
      <w:pPr>
        <w:spacing w:after="60"/>
        <w:ind w:left="288"/>
      </w:pPr>
      <w:r>
        <w:rPr>
          <w:b/>
          <w:color w:val="003366"/>
        </w:rPr>
        <w:t xml:space="preserve">• COBIT 5 / COBIT 2019 (Domínio MEA): </w:t>
      </w:r>
      <w:r>
        <w:t>Mapeia os processos MEA01 (Monitoramento do Desempenho), MEA02 (Sistema de Controle Interno) e MEA03 (Conformidade com Requisitos Externos).</w:t>
      </w:r>
    </w:p>
    <w:p>
      <w:pPr>
        <w:spacing w:after="60"/>
        <w:ind w:left="288"/>
      </w:pPr>
      <w:r>
        <w:rPr>
          <w:b/>
          <w:color w:val="003366"/>
        </w:rPr>
        <w:t xml:space="preserve">• ITIL v4 (Continual Improvement) &amp; ITIL v3 (CSI): </w:t>
      </w:r>
      <w:r>
        <w:t>Define o modelo de melhoria contínua de 7 etapas e o registro de melhoria contínua (CIR).</w:t>
      </w:r>
    </w:p>
    <w:p>
      <w:pPr>
        <w:spacing w:after="60"/>
        <w:ind w:left="288"/>
      </w:pPr>
      <w:r>
        <w:rPr>
          <w:b/>
          <w:color w:val="003366"/>
        </w:rPr>
        <w:t xml:space="preserve">• SOX Section 404 &amp; COSO 2013: </w:t>
      </w:r>
      <w:r>
        <w:t>Exige a avaliação anual de efetividade operacional dos controles internos de TI (ITGCs) e rastreabilidade de evidências.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6 — Conceitos Fundamentais e Terminologia</w:t>
      </w:r>
    </w:p>
    <w:p>
      <w:pPr>
        <w:spacing w:after="80"/>
      </w:pPr>
      <w:r>
        <w:t>Para garantir consistência técnica nas auditorias e relatórios de desempenho, aplicam-se as seguintes definições normativas:</w:t>
      </w:r>
    </w:p>
    <w:p>
      <w:pPr>
        <w:spacing w:after="60"/>
        <w:ind w:left="288"/>
      </w:pPr>
      <w:r>
        <w:rPr>
          <w:b/>
        </w:rPr>
        <w:t xml:space="preserve">• CSI (Continual Service Improvement): </w:t>
      </w:r>
      <w:r>
        <w:t>Prática contínua de alinhar os serviços de TI às crescentes necessidades do negócio através da identificação e implementação de melhorias.</w:t>
      </w:r>
    </w:p>
    <w:p>
      <w:pPr>
        <w:spacing w:after="60"/>
        <w:ind w:left="288"/>
      </w:pPr>
      <w:r>
        <w:rPr>
          <w:b/>
        </w:rPr>
        <w:t xml:space="preserve">• CIR (Continual Improvement Register): </w:t>
      </w:r>
      <w:r>
        <w:t>Banco de dados/registro centralizado usado para estruturar, rastrear e gerenciar todas as oportunidades de melhoria identificadas.</w:t>
      </w:r>
    </w:p>
    <w:p>
      <w:pPr>
        <w:spacing w:after="60"/>
        <w:ind w:left="288"/>
      </w:pPr>
      <w:r>
        <w:rPr>
          <w:b/>
        </w:rPr>
        <w:t xml:space="preserve">• Não Conformidade (NC): </w:t>
      </w:r>
      <w:r>
        <w:t>Não atendimento a um requisito especificado em norma, política interna, contrato ou regulamentação aplicável.</w:t>
      </w:r>
    </w:p>
    <w:p>
      <w:pPr>
        <w:spacing w:after="60"/>
        <w:ind w:left="288"/>
      </w:pPr>
      <w:r>
        <w:rPr>
          <w:b/>
        </w:rPr>
        <w:t xml:space="preserve">• CAPA (Corrective and Preventive Action): </w:t>
      </w:r>
      <w:r>
        <w:t>Plano de ação formal estruturado para eliminar a causa raiz de uma não conformidade identificada ou prevenir sua ocorrência.</w:t>
      </w:r>
    </w:p>
    <w:p>
      <w:pPr>
        <w:spacing w:after="60"/>
        <w:ind w:left="288"/>
      </w:pPr>
      <w:r>
        <w:rPr>
          <w:b/>
        </w:rPr>
        <w:t xml:space="preserve">• Auditoria Interna (1ª Parte): </w:t>
      </w:r>
      <w:r>
        <w:t>Exame sistemático e independente realizado pela própria organização para avaliar a conformidade e eficácia do sistema de gestão.</w:t>
      </w:r>
    </w:p>
    <w:p>
      <w:pPr>
        <w:spacing w:after="60"/>
        <w:ind w:left="288"/>
      </w:pPr>
      <w:r>
        <w:rPr>
          <w:b/>
        </w:rPr>
        <w:t xml:space="preserve">• Balanced Scorecard de TI (BSC-TI): </w:t>
      </w:r>
      <w:r>
        <w:t>Modelo de medição de desempenho que equilibra indicadores sob 4 perspectivas: Financeira, Clientes/Negócio, Processos Internos e Aprendizado/Crescimento.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7 — Diagnóstico Organizacional e o 'Efeito Melancia'</w:t>
      </w:r>
    </w:p>
    <w:p>
      <w:pPr>
        <w:spacing w:after="80"/>
      </w:pPr>
      <w:r>
        <w:t>Um dos principais pontos céticos da medição tradicional de TI é o 'Efeito Melancia' (Watermelon Effect): relatórios de TI apresentando métricas operacionais 'verdes' (ex: 99.9% de uptime de servidores), enquanto a percepção do negócio é 'vermelha' devido a interrupções de fluxos críticos de negócio não capturados pelos KPIs técnicos.</w:t>
      </w:r>
    </w:p>
    <w:p>
      <w:pPr>
        <w:spacing w:after="120"/>
      </w:pPr>
      <w:r>
        <w:t>O modelo proposto busca reduzir o chamado Efeito Melancia ao relacionar métricas técnicas a indicadores de negócio, XLAs quando aplicáveis e pesquisas de satisfação executiva. A eficácia dessa abordagem deve ser avaliada com dados reais.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8 — Governança e Segregação da Auditoria (3 Linhas de Defesa)</w:t>
      </w:r>
    </w:p>
    <w:p>
      <w:pPr>
        <w:spacing w:after="80"/>
      </w:pPr>
      <w:r>
        <w:t>A independência da avaliação de desempenho e das auditorias internas deverá ser estruturada com papéis claros, salvaguardas de imparcialidade e alinhamento ao modelo de Três Linhas do IIA; a aplicação concreta depende do desenho organizacional:</w:t>
      </w:r>
    </w:p>
    <w:p>
      <w:pPr>
        <w:spacing w:after="60"/>
        <w:ind w:left="288"/>
      </w:pPr>
      <w:r>
        <w:rPr>
          <w:b/>
          <w:color w:val="003366"/>
        </w:rPr>
        <w:t xml:space="preserve">• 1ª Linha de Defesa (Operação e Gestão): </w:t>
      </w:r>
      <w:r>
        <w:t>Proprietários dos processos e equipes operacionais (N1, N2, N3, SysAdmins). Responsáveis pela execução dos controles e medição diária de KPIs.</w:t>
      </w:r>
    </w:p>
    <w:p>
      <w:pPr>
        <w:spacing w:after="60"/>
        <w:ind w:left="288"/>
      </w:pPr>
      <w:r>
        <w:rPr>
          <w:b/>
          <w:color w:val="003366"/>
        </w:rPr>
        <w:t xml:space="preserve">• 2ª Linha de Defesa (GRC, CISO e Qualidade): </w:t>
      </w:r>
      <w:r>
        <w:t>Equipes de Governança, Riscos, Compliance e Gestão da Qualidade. Responsáveis pelo desenho do framework, monitoramento consolidado e facilitação do CIR.</w:t>
      </w:r>
    </w:p>
    <w:p>
      <w:pPr>
        <w:spacing w:after="60"/>
        <w:ind w:left="288"/>
      </w:pPr>
      <w:r>
        <w:rPr>
          <w:b/>
          <w:color w:val="003366"/>
        </w:rPr>
        <w:t xml:space="preserve">• 3ª Linha de Defesa (Auditoria Interna): </w:t>
      </w:r>
      <w:r>
        <w:t>Auditores internos independentes (ISO 19011). Responsáveis pela avaliação isenta de conformidade do SGS/SGSI e reporte direto ao Comitê de Auditoria / Conselho.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9 — Matriz RACI de Responsabilidades</w:t>
      </w:r>
    </w:p>
    <w:p>
      <w:pPr>
        <w:spacing w:after="120"/>
      </w:pPr>
      <w:r>
        <w:t>A governança das atividades de medição, auditoria e melhoria contínua é regulada pela seguinte matriz de papéis corporativos: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Atividade / Etapa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CSI Lead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Auditor Líder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Quality Lead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CIO / Diretoria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Process Owner</w:t>
            </w:r>
          </w:p>
        </w:tc>
      </w:tr>
      <w:tr>
        <w:tc>
          <w:tcPr>
            <w:tcW w:type="dxa" w:w="360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Definição do Dashboard BSC-TI e KPIs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Execução de Auditorias Internas (ISO 19011)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A/R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</w:tr>
      <w:tr>
        <w:tc>
          <w:tcPr>
            <w:tcW w:type="dxa" w:w="360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Gestão de Não Conformidades e CAPA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A/R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Operação do Registro de Melhoria (CIR)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A/R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</w:tr>
      <w:tr>
        <w:tc>
          <w:tcPr>
            <w:tcW w:type="dxa" w:w="360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Condução da Análise Crítica pela Direção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C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</w:t>
            </w:r>
          </w:p>
        </w:tc>
        <w:tc>
          <w:tcPr>
            <w:tcW w:type="dxa" w:w="115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I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10 — Ciclo de Processo E2E (As 7 Etapas do ITIL CSI + PDCA ISO)</w:t>
      </w:r>
    </w:p>
    <w:p>
      <w:pPr>
        <w:spacing w:after="80"/>
      </w:pPr>
      <w:r>
        <w:t>O fluxo integrado de avaliação de desempenho e melhoria contínua segue as 7 etapas consolidadas do modelo ITIL CSI integradas ao ciclo PDCA das normas ISO:</w:t>
      </w:r>
    </w:p>
    <w:p>
      <w:pPr>
        <w:spacing w:after="60"/>
        <w:ind w:left="288"/>
      </w:pPr>
      <w:r>
        <w:rPr>
          <w:b/>
          <w:color w:val="003366"/>
        </w:rPr>
        <w:t xml:space="preserve">• Etapa 1: Identificar a Estratégia de Melhoria (Plan): </w:t>
      </w:r>
      <w:r>
        <w:t>Definição do escopo, alinhamento aos objetivos de negócio e identificação das áreas críticas de medição.</w:t>
      </w:r>
    </w:p>
    <w:p>
      <w:pPr>
        <w:spacing w:after="60"/>
        <w:ind w:left="288"/>
      </w:pPr>
      <w:r>
        <w:rPr>
          <w:b/>
          <w:color w:val="003366"/>
        </w:rPr>
        <w:t xml:space="preserve">• Etapa 2: Definir o que Medir (Plan): </w:t>
      </w:r>
      <w:r>
        <w:t>Mapeamento dos indicadores (KPIs/KRIs/XLAs) e linha de base (baseline) para cada um dos 10 processos.</w:t>
      </w:r>
    </w:p>
    <w:p>
      <w:pPr>
        <w:spacing w:after="60"/>
        <w:ind w:left="288"/>
      </w:pPr>
      <w:r>
        <w:rPr>
          <w:b/>
          <w:color w:val="003366"/>
        </w:rPr>
        <w:t xml:space="preserve">• Etapa 3: Coletar os Dados (Do): </w:t>
      </w:r>
      <w:r>
        <w:t>Extração automatizada de logs, relatórios de ITSM, monitoramento de infraestrutura e pesquisas CSAT.</w:t>
      </w:r>
    </w:p>
    <w:p>
      <w:pPr>
        <w:spacing w:after="60"/>
        <w:ind w:left="288"/>
      </w:pPr>
      <w:r>
        <w:rPr>
          <w:b/>
          <w:color w:val="003366"/>
        </w:rPr>
        <w:t xml:space="preserve">• Etapa 4: Processar os Dados (Do): </w:t>
      </w:r>
      <w:r>
        <w:t>Consolidação, estruturação e agrupamento dos dados em formato comparável em relação às metas estipuladas.</w:t>
      </w:r>
    </w:p>
    <w:p>
      <w:pPr>
        <w:spacing w:after="60"/>
        <w:ind w:left="288"/>
      </w:pPr>
      <w:r>
        <w:rPr>
          <w:b/>
          <w:color w:val="003366"/>
        </w:rPr>
        <w:t xml:space="preserve">• Etapa 5: Analisar as Informações e Dados (Check): </w:t>
      </w:r>
      <w:r>
        <w:t>Identificação de tendências, lacunas, variações de SLA e causas de não conformidades operacionais.</w:t>
      </w:r>
    </w:p>
    <w:p>
      <w:pPr>
        <w:spacing w:after="60"/>
        <w:ind w:left="288"/>
      </w:pPr>
      <w:r>
        <w:rPr>
          <w:b/>
          <w:color w:val="003366"/>
        </w:rPr>
        <w:t xml:space="preserve">• Etapa 6: Apresentar e Usar a Informação (Check): </w:t>
      </w:r>
      <w:r>
        <w:t>Consolidação do Dashboard BSC-TI, relatórios executivos e realização da Análise Crítica pela Direção.</w:t>
      </w:r>
    </w:p>
    <w:p>
      <w:pPr>
        <w:spacing w:after="60"/>
        <w:ind w:left="288"/>
      </w:pPr>
      <w:r>
        <w:rPr>
          <w:b/>
          <w:color w:val="003366"/>
        </w:rPr>
        <w:t xml:space="preserve">• Etapa 7: Implementar a Melhoria (Act): </w:t>
      </w:r>
      <w:r>
        <w:t>Registro de ações no CIR, execução de planos CAPA e reinício do ciclo PDCA.</w:t>
      </w:r>
    </w:p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11 — Procedimentos Operacionais Padrão (POPs)</w:t>
      </w:r>
    </w:p>
    <w:p>
      <w:pPr>
        <w:spacing w:after="120"/>
      </w:pPr>
      <w:r>
        <w:t>A execução proposta da avaliação de desempenho, auditoria interna e melhoria contínua é descrita em cinco POPs de referência; revisar e aprovar os procedimentos antes do uso operacional: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POP-CSI-001: Definição de Métricas, KPIs e Construção do Dashboard BSC-TI</w:t>
      </w:r>
    </w:p>
    <w:p>
      <w:pPr>
        <w:spacing w:after="40"/>
        <w:ind w:left="288"/>
      </w:pPr>
      <w:r>
        <w:rPr>
          <w:b/>
          <w:sz w:val="19"/>
        </w:rPr>
        <w:t xml:space="preserve">1. Objetivo do Procedimento: </w:t>
      </w:r>
      <w:r>
        <w:rPr>
          <w:sz w:val="19"/>
        </w:rPr>
        <w:t>Definir a taxonomia de métricas, construir o Dashboard Balanced Scorecard de TI e homologar a linha de base (baseline) dos indicadores de processo.</w:t>
      </w:r>
    </w:p>
    <w:p>
      <w:pPr>
        <w:spacing w:after="40"/>
        <w:ind w:left="288"/>
      </w:pPr>
      <w:r>
        <w:rPr>
          <w:b/>
          <w:sz w:val="19"/>
        </w:rPr>
        <w:t xml:space="preserve">2. Gatilho de Entrada: </w:t>
      </w:r>
      <w:r>
        <w:rPr>
          <w:sz w:val="19"/>
        </w:rPr>
        <w:t>Início do ciclo anual de governança ou lançamento de novo processo no Programa Integrado.</w:t>
      </w:r>
    </w:p>
    <w:p>
      <w:pPr>
        <w:spacing w:after="40"/>
        <w:ind w:left="288"/>
      </w:pPr>
      <w:r>
        <w:rPr>
          <w:b/>
          <w:sz w:val="19"/>
        </w:rPr>
        <w:t xml:space="preserve">3. Insumos / Entradas: </w:t>
      </w:r>
      <w:r>
        <w:rPr>
          <w:sz w:val="19"/>
        </w:rPr>
        <w:t>Catálogo de Serviços, SLAs pactuados, políticas corporativas e requisitos regulatórios (LGPD, SOX, ISO).</w:t>
      </w:r>
    </w:p>
    <w:p>
      <w:pPr>
        <w:spacing w:after="40"/>
        <w:ind w:left="288"/>
      </w:pPr>
      <w:r>
        <w:rPr>
          <w:b/>
          <w:sz w:val="19"/>
        </w:rPr>
        <w:t xml:space="preserve">4. Ferramenta Principal: </w:t>
      </w:r>
      <w:r>
        <w:rPr>
          <w:sz w:val="19"/>
        </w:rPr>
        <w:t>Módulo de Analytics do ITSM, PowerBI e ferramenta de GRC corporativa.</w:t>
      </w:r>
    </w:p>
    <w:p>
      <w:pPr>
        <w:spacing w:after="40"/>
        <w:ind w:left="288"/>
      </w:pPr>
      <w:r>
        <w:rPr>
          <w:b/>
          <w:sz w:val="19"/>
        </w:rPr>
        <w:t xml:space="preserve">5. Ator Principal: </w:t>
      </w:r>
      <w:r>
        <w:rPr>
          <w:sz w:val="19"/>
        </w:rPr>
        <w:t>Quality Lead / Analyst de Métricas.</w:t>
      </w:r>
    </w:p>
    <w:p>
      <w:pPr>
        <w:spacing w:after="40"/>
        <w:ind w:left="288"/>
      </w:pPr>
      <w:r>
        <w:rPr>
          <w:b/>
          <w:sz w:val="19"/>
        </w:rPr>
        <w:t xml:space="preserve">6. Responsável RACI: </w:t>
      </w:r>
      <w:r>
        <w:rPr>
          <w:sz w:val="19"/>
        </w:rPr>
        <w:t>Quality Lead (R), CSI Lead (A).</w:t>
      </w:r>
    </w:p>
    <w:p>
      <w:pPr>
        <w:spacing w:after="40"/>
        <w:ind w:left="288"/>
      </w:pPr>
      <w:r>
        <w:rPr>
          <w:b/>
          <w:sz w:val="19"/>
        </w:rPr>
        <w:t xml:space="preserve">7. Instruções Passo a Passo: </w:t>
      </w:r>
      <w:r>
        <w:rPr>
          <w:sz w:val="19"/>
        </w:rPr>
        <w:t>1) Mapear os objetivos de negócio. 2) Selecionar 3-5 KPIs por perspectiva do BSC-TI. 3) Homologar fórmulas de cálculo e fontes de dados. 4) Construir os painéis no PowerBI. 5) Homologar visualização com o CIO.</w:t>
      </w:r>
    </w:p>
    <w:p>
      <w:pPr>
        <w:spacing w:after="40"/>
        <w:ind w:left="288"/>
      </w:pPr>
      <w:r>
        <w:rPr>
          <w:b/>
          <w:sz w:val="19"/>
        </w:rPr>
        <w:t>8. Regra proposta: todo KPI deve ter fonte, fórmula, proprietário, frequência e controles de qualidade documentados. Automatizar quando viável; cálculos manuais controlados podem ser necessários durante a implantação, com reconciliação e trilha de auditoria.</w:t>
      </w:r>
      <w:r>
        <w:rPr>
          <w:sz w:val="19"/>
        </w:rPr>
      </w:r>
    </w:p>
    <w:p>
      <w:pPr>
        <w:spacing w:after="40"/>
        <w:ind w:left="288"/>
      </w:pPr>
      <w:r>
        <w:rPr>
          <w:b/>
          <w:sz w:val="19"/>
        </w:rPr>
        <w:t>9. Exceções e desvios: quando não houver histórico confiável, definir e documentar uma linha de base provisória, identificando premissas, limitações, período de coleta e aprovação do responsável; os primeiros 60 dias são uma estimativa a validar.</w:t>
      </w:r>
      <w:r>
        <w:rPr>
          <w:sz w:val="19"/>
        </w:rPr>
      </w:r>
    </w:p>
    <w:p>
      <w:pPr>
        <w:spacing w:after="40"/>
        <w:ind w:left="288"/>
      </w:pPr>
      <w:r>
        <w:rPr>
          <w:b/>
          <w:sz w:val="19"/>
        </w:rPr>
        <w:t xml:space="preserve">10. SLA / Prazo de Execução: </w:t>
      </w:r>
      <w:r>
        <w:rPr>
          <w:sz w:val="19"/>
        </w:rPr>
        <w:t>Até 15 dias úteis para aprovação do catálogo de indicadores do novo ciclo.</w:t>
      </w:r>
    </w:p>
    <w:p>
      <w:pPr>
        <w:spacing w:after="40"/>
        <w:ind w:left="288"/>
      </w:pPr>
      <w:r>
        <w:rPr>
          <w:b/>
          <w:sz w:val="19"/>
        </w:rPr>
        <w:t xml:space="preserve">11. Evidência Auditável: </w:t>
      </w:r>
      <w:r>
        <w:rPr>
          <w:sz w:val="19"/>
        </w:rPr>
        <w:t>Painel BSC-TI publicado e Dicionário de Indicadores assinado pelo CIO.</w:t>
      </w:r>
    </w:p>
    <w:p>
      <w:pPr>
        <w:spacing w:after="40"/>
        <w:ind w:left="288"/>
      </w:pPr>
      <w:r>
        <w:rPr>
          <w:b/>
          <w:sz w:val="19"/>
        </w:rPr>
        <w:t xml:space="preserve">12. Controles de Segurança: </w:t>
      </w:r>
      <w:r>
        <w:rPr>
          <w:sz w:val="19"/>
        </w:rPr>
        <w:t>Acesso restrito ao painel com segregação de perfil por nível de confidencialidade.</w:t>
      </w:r>
    </w:p>
    <w:p>
      <w:pPr>
        <w:spacing w:after="40"/>
        <w:ind w:left="288"/>
      </w:pPr>
      <w:r>
        <w:rPr>
          <w:b/>
          <w:sz w:val="19"/>
        </w:rPr>
        <w:t xml:space="preserve">13. Métricas de Sucesso: </w:t>
      </w:r>
      <w:r>
        <w:rPr>
          <w:sz w:val="19"/>
        </w:rPr>
        <w:t>100% dos KPIs com atualização automática e zero divergência de cálculo.</w:t>
      </w:r>
    </w:p>
    <w:p>
      <w:pPr>
        <w:spacing w:after="40"/>
        <w:ind w:left="288"/>
      </w:pPr>
      <w:r>
        <w:rPr>
          <w:b/>
          <w:sz w:val="19"/>
        </w:rPr>
        <w:t xml:space="preserve">14. Interfaces com Outros Processos: </w:t>
      </w:r>
      <w:r>
        <w:rPr>
          <w:sz w:val="19"/>
        </w:rPr>
        <w:t>Interface direta com SLM (Projeto 04) e Governança de TI (Projeto 01 a 09).</w:t>
      </w:r>
    </w:p>
    <w:p>
      <w:pPr>
        <w:spacing w:after="40"/>
        <w:ind w:left="288"/>
      </w:pPr>
      <w:r>
        <w:rPr>
          <w:b/>
          <w:sz w:val="19"/>
        </w:rPr>
        <w:t xml:space="preserve">15. Riscos Associados: </w:t>
      </w:r>
      <w:r>
        <w:rPr>
          <w:sz w:val="19"/>
        </w:rPr>
        <w:t>Uso de KPIs irrelevantes ('métrica de vaidade') gerando falsa sensação de conformidade.</w:t>
      </w:r>
    </w:p>
    <w:p>
      <w:pPr>
        <w:spacing w:after="40"/>
        <w:ind w:left="288"/>
      </w:pPr>
      <w:r>
        <w:rPr>
          <w:b/>
          <w:sz w:val="19"/>
        </w:rPr>
        <w:t xml:space="preserve">16. Plano de Continuidade: </w:t>
      </w:r>
      <w:r>
        <w:rPr>
          <w:sz w:val="19"/>
        </w:rPr>
        <w:t>Exportação semanal dos dados para banco offline e backup imutável.</w:t>
      </w:r>
    </w:p>
    <w:p>
      <w:pPr>
        <w:spacing w:after="40"/>
        <w:ind w:left="288"/>
      </w:pPr>
      <w:r>
        <w:rPr>
          <w:b/>
          <w:sz w:val="19"/>
        </w:rPr>
        <w:t xml:space="preserve">17. Requisitos de Capacitação: </w:t>
      </w:r>
      <w:r>
        <w:rPr>
          <w:sz w:val="19"/>
        </w:rPr>
        <w:t>Treinamento em PowerBI, SQL e metodologia Balanced Scorecard de TI.</w:t>
      </w:r>
    </w:p>
    <w:p>
      <w:pPr>
        <w:spacing w:after="40"/>
        <w:ind w:left="288"/>
      </w:pPr>
      <w:r>
        <w:rPr>
          <w:b/>
          <w:sz w:val="19"/>
        </w:rPr>
        <w:t xml:space="preserve">18. Controle de Qualidade: </w:t>
      </w:r>
      <w:r>
        <w:rPr>
          <w:sz w:val="19"/>
        </w:rPr>
        <w:t>Auditoria trimestral das fórmulas de cálculo por amostragem de dados brutos.</w:t>
      </w:r>
    </w:p>
    <w:p>
      <w:pPr>
        <w:spacing w:after="40"/>
        <w:ind w:left="288"/>
      </w:pPr>
      <w:r>
        <w:rPr>
          <w:b/>
          <w:sz w:val="19"/>
        </w:rPr>
        <w:t>19. Disposição de registros: definir o prazo de retenção das atas com Jurídico, Compliance e responsáveis por registros, considerando obrigações legais, contratuais e políticas internas; cinco anos é uma proposta a validar.</w:t>
      </w:r>
      <w:r>
        <w:rPr>
          <w:sz w:val="19"/>
        </w:rPr>
      </w:r>
    </w:p>
    <w:p>
      <w:pPr>
        <w:spacing w:after="40"/>
        <w:ind w:left="288"/>
      </w:pPr>
      <w:r>
        <w:rPr>
          <w:b/>
          <w:sz w:val="19"/>
        </w:rPr>
        <w:t>20. Aprovação do POP: pendente de revisão e aprovação formal pelo Quality Lead e CSI Manager; a data indicada no material de origem não comprova aprovação real.</w:t>
      </w:r>
      <w:r>
        <w:rPr>
          <w:sz w:val="19"/>
        </w:rPr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POP-CSI-002: Coleta, Tratamento de Dados e Consolidação do Relatório Mensal</w:t>
      </w:r>
    </w:p>
    <w:p>
      <w:pPr>
        <w:spacing w:after="40"/>
        <w:ind w:left="288"/>
      </w:pPr>
      <w:r>
        <w:rPr>
          <w:b/>
          <w:sz w:val="19"/>
        </w:rPr>
        <w:t xml:space="preserve">1. Objetivo do Procedimento: </w:t>
      </w:r>
      <w:r>
        <w:rPr>
          <w:sz w:val="19"/>
        </w:rPr>
        <w:t>Executar a coleta mensal de dados de desempenho, consolidar o Relatório de Serviços de TI e identificar desvios em relação às metas de SLA.</w:t>
      </w:r>
    </w:p>
    <w:p>
      <w:pPr>
        <w:spacing w:after="40"/>
        <w:ind w:left="288"/>
      </w:pPr>
      <w:r>
        <w:rPr>
          <w:b/>
          <w:sz w:val="19"/>
        </w:rPr>
        <w:t xml:space="preserve">2. Gatilho de Entrada: </w:t>
      </w:r>
      <w:r>
        <w:rPr>
          <w:sz w:val="19"/>
        </w:rPr>
        <w:t>Fechamento do último dia útil do mês vigente.</w:t>
      </w:r>
    </w:p>
    <w:p>
      <w:pPr>
        <w:spacing w:after="40"/>
        <w:ind w:left="288"/>
      </w:pPr>
      <w:r>
        <w:rPr>
          <w:b/>
          <w:sz w:val="19"/>
        </w:rPr>
        <w:t xml:space="preserve">3. Insumos / Entradas: </w:t>
      </w:r>
      <w:r>
        <w:rPr>
          <w:sz w:val="19"/>
        </w:rPr>
        <w:t>Logs do ITSM, relatórios de disponibilidade de infraestrutura, pesquisas CSAT e dados financeiros de FinOps.</w:t>
      </w:r>
    </w:p>
    <w:p>
      <w:pPr>
        <w:spacing w:after="40"/>
        <w:ind w:left="288"/>
      </w:pPr>
      <w:r>
        <w:rPr>
          <w:b/>
          <w:sz w:val="19"/>
        </w:rPr>
        <w:t xml:space="preserve">4. Ferramenta Principal: </w:t>
      </w:r>
      <w:r>
        <w:rPr>
          <w:sz w:val="19"/>
        </w:rPr>
        <w:t>ITSM Analytics, Banco de Dados de Métricas e PowerBI.</w:t>
      </w:r>
    </w:p>
    <w:p>
      <w:pPr>
        <w:spacing w:after="40"/>
        <w:ind w:left="288"/>
      </w:pPr>
      <w:r>
        <w:rPr>
          <w:b/>
          <w:sz w:val="19"/>
        </w:rPr>
        <w:t xml:space="preserve">5. Ator Principal: </w:t>
      </w:r>
      <w:r>
        <w:rPr>
          <w:sz w:val="19"/>
        </w:rPr>
        <w:t>Analista de Qualidade e Métricas.</w:t>
      </w:r>
    </w:p>
    <w:p>
      <w:pPr>
        <w:spacing w:after="40"/>
        <w:ind w:left="288"/>
      </w:pPr>
      <w:r>
        <w:rPr>
          <w:b/>
          <w:sz w:val="19"/>
        </w:rPr>
        <w:t xml:space="preserve">6. Responsável RACI: </w:t>
      </w:r>
      <w:r>
        <w:rPr>
          <w:sz w:val="19"/>
        </w:rPr>
        <w:t>Analista de Qualidade (R), Quality Lead (A).</w:t>
      </w:r>
    </w:p>
    <w:p>
      <w:pPr>
        <w:spacing w:after="40"/>
        <w:ind w:left="288"/>
      </w:pPr>
      <w:r>
        <w:rPr>
          <w:b/>
          <w:sz w:val="19"/>
        </w:rPr>
        <w:t xml:space="preserve">7. Instruções Passo a Passo: </w:t>
      </w:r>
      <w:r>
        <w:rPr>
          <w:sz w:val="19"/>
        </w:rPr>
        <w:t>1) Extrair massa de dados do ITSM. 2) Executar rotinas de higienização de dados. 3) Processar consolidação mensal do BSC-TI. 4) Sinalizar desvios de SLA em vermelho. 5) Emitir minuta do Relatório Mensal.</w:t>
      </w:r>
    </w:p>
    <w:p>
      <w:pPr>
        <w:spacing w:after="40"/>
        <w:ind w:left="288"/>
      </w:pPr>
      <w:r>
        <w:rPr>
          <w:b/>
          <w:sz w:val="19"/>
        </w:rPr>
        <w:t xml:space="preserve">8. Regra de Negócio: </w:t>
      </w:r>
      <w:r>
        <w:rPr>
          <w:sz w:val="19"/>
        </w:rPr>
        <w:t>Relatórios mensais devem ser publicados obrigatoriamente até o 5º dia útil do mês subsequente.</w:t>
      </w:r>
    </w:p>
    <w:p>
      <w:pPr>
        <w:spacing w:after="40"/>
        <w:ind w:left="288"/>
      </w:pPr>
      <w:r>
        <w:rPr>
          <w:b/>
          <w:sz w:val="19"/>
        </w:rPr>
        <w:t xml:space="preserve">9. Exceções e Desvios: </w:t>
      </w:r>
      <w:r>
        <w:rPr>
          <w:sz w:val="19"/>
        </w:rPr>
        <w:t>Falha na extração de dados exige abertura imediata de chamado P2 para a equipe de banco de dados.</w:t>
      </w:r>
    </w:p>
    <w:p>
      <w:pPr>
        <w:spacing w:after="40"/>
        <w:ind w:left="288"/>
      </w:pPr>
      <w:r>
        <w:rPr>
          <w:b/>
          <w:sz w:val="19"/>
        </w:rPr>
        <w:t xml:space="preserve">10. SLA / Prazo de Execução: </w:t>
      </w:r>
      <w:r>
        <w:rPr>
          <w:sz w:val="19"/>
        </w:rPr>
        <w:t>5 dias úteis após o fechamento do mês.</w:t>
      </w:r>
    </w:p>
    <w:p>
      <w:pPr>
        <w:spacing w:after="40"/>
        <w:ind w:left="288"/>
      </w:pPr>
      <w:r>
        <w:rPr>
          <w:b/>
          <w:sz w:val="19"/>
        </w:rPr>
        <w:t xml:space="preserve">11. Evidência Auditável: </w:t>
      </w:r>
      <w:r>
        <w:rPr>
          <w:sz w:val="19"/>
        </w:rPr>
        <w:t>Relatório Mensal de Desempenho de Serviços assinado e publicado na Intranet.</w:t>
      </w:r>
    </w:p>
    <w:p>
      <w:pPr>
        <w:spacing w:after="40"/>
        <w:ind w:left="288"/>
      </w:pPr>
      <w:r>
        <w:rPr>
          <w:b/>
          <w:sz w:val="19"/>
        </w:rPr>
        <w:t xml:space="preserve">12. Controles de Segurança: </w:t>
      </w:r>
      <w:r>
        <w:rPr>
          <w:sz w:val="19"/>
        </w:rPr>
        <w:t>Criptografia na extração e transporte dos logs de medição.</w:t>
      </w:r>
    </w:p>
    <w:p>
      <w:pPr>
        <w:spacing w:after="40"/>
        <w:ind w:left="288"/>
      </w:pPr>
      <w:r>
        <w:rPr>
          <w:b/>
          <w:sz w:val="19"/>
        </w:rPr>
        <w:t xml:space="preserve">13. Métricas de Sucesso: </w:t>
      </w:r>
      <w:r>
        <w:rPr>
          <w:sz w:val="19"/>
        </w:rPr>
        <w:t>Entrega do relatório dentro do prazo estabelecido em 100% dos meses.</w:t>
      </w:r>
    </w:p>
    <w:p>
      <w:pPr>
        <w:spacing w:after="40"/>
        <w:ind w:left="288"/>
      </w:pPr>
      <w:r>
        <w:rPr>
          <w:b/>
          <w:sz w:val="19"/>
        </w:rPr>
        <w:t xml:space="preserve">14. Interfaces com Outros Processos: </w:t>
      </w:r>
      <w:r>
        <w:rPr>
          <w:sz w:val="19"/>
        </w:rPr>
        <w:t>Fornece insumos para a Gestão de Nível de Serviço (SLM) e Gestão de Problemas.</w:t>
      </w:r>
    </w:p>
    <w:p>
      <w:pPr>
        <w:spacing w:after="40"/>
        <w:ind w:left="288"/>
      </w:pPr>
      <w:r>
        <w:rPr>
          <w:b/>
          <w:sz w:val="19"/>
        </w:rPr>
        <w:t xml:space="preserve">15. Riscos Associados: </w:t>
      </w:r>
      <w:r>
        <w:rPr>
          <w:sz w:val="19"/>
        </w:rPr>
        <w:t>Alteração manual indevida de dados brutos para ocultar estouro de SLA.</w:t>
      </w:r>
    </w:p>
    <w:p>
      <w:pPr>
        <w:spacing w:after="40"/>
        <w:ind w:left="288"/>
      </w:pPr>
      <w:r>
        <w:rPr>
          <w:b/>
          <w:sz w:val="19"/>
        </w:rPr>
        <w:t xml:space="preserve">16. Plano de Continuidade: </w:t>
      </w:r>
      <w:r>
        <w:rPr>
          <w:sz w:val="19"/>
        </w:rPr>
        <w:t>Geração de relatórios secundários via scripts SQL diretos na réplica de leitura.</w:t>
      </w:r>
    </w:p>
    <w:p>
      <w:pPr>
        <w:spacing w:after="40"/>
        <w:ind w:left="288"/>
      </w:pPr>
      <w:r>
        <w:rPr>
          <w:b/>
          <w:sz w:val="19"/>
        </w:rPr>
        <w:t xml:space="preserve">17. Requisitos de Capacitação: </w:t>
      </w:r>
      <w:r>
        <w:rPr>
          <w:sz w:val="19"/>
        </w:rPr>
        <w:t>Domínio da ferramenta ITSM Analytics e estatística aplicada.</w:t>
      </w:r>
    </w:p>
    <w:p>
      <w:pPr>
        <w:spacing w:after="40"/>
        <w:ind w:left="288"/>
      </w:pPr>
      <w:r>
        <w:rPr>
          <w:b/>
          <w:sz w:val="19"/>
        </w:rPr>
        <w:t xml:space="preserve">18. Controle de Qualidade: </w:t>
      </w:r>
      <w:r>
        <w:rPr>
          <w:sz w:val="19"/>
        </w:rPr>
        <w:t>Validação cruzada de 10% dos chamados por amostragem aleatória.</w:t>
      </w:r>
    </w:p>
    <w:p>
      <w:pPr>
        <w:spacing w:after="40"/>
        <w:ind w:left="288"/>
      </w:pPr>
      <w:r>
        <w:rPr>
          <w:b/>
          <w:sz w:val="19"/>
        </w:rPr>
        <w:t xml:space="preserve">19. Disposição de Registros: </w:t>
      </w:r>
      <w:r>
        <w:rPr>
          <w:sz w:val="19"/>
        </w:rPr>
        <w:t>Relatórios mantidos em repositório seguro por no mínimo 7 anos (SOX/LGPD).</w:t>
      </w:r>
    </w:p>
    <w:p>
      <w:pPr>
        <w:spacing w:after="40"/>
        <w:ind w:left="288"/>
      </w:pPr>
      <w:r>
        <w:rPr>
          <w:b/>
          <w:sz w:val="19"/>
        </w:rPr>
        <w:t>20. Aprovação do POP: pendente de revisão e aprovação formal pelo Quality Lead e CSI Manager; a data indicada no material de origem não comprova aprovação real.</w:t>
      </w:r>
      <w:r>
        <w:rPr>
          <w:sz w:val="19"/>
        </w:rPr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POP-CSI-003: Planejamento, Preparação e Execução de Auditorias Internas de TI</w:t>
      </w:r>
    </w:p>
    <w:p>
      <w:pPr>
        <w:spacing w:after="40"/>
        <w:ind w:left="288"/>
      </w:pPr>
      <w:r>
        <w:rPr>
          <w:b/>
          <w:sz w:val="19"/>
        </w:rPr>
        <w:t xml:space="preserve">1. Objetivo do Procedimento: </w:t>
      </w:r>
      <w:r>
        <w:rPr>
          <w:sz w:val="19"/>
        </w:rPr>
        <w:t>Planejar, preparar e executar auditorias internas de TI sob a ISO 19011 para avaliar a conformidade com ISO 20000-1, ISO 27001 e SOX 404.</w:t>
      </w:r>
    </w:p>
    <w:p>
      <w:pPr>
        <w:spacing w:after="40"/>
        <w:ind w:left="288"/>
      </w:pPr>
      <w:r>
        <w:rPr>
          <w:b/>
          <w:sz w:val="19"/>
        </w:rPr>
        <w:t xml:space="preserve">2. Gatilho de Entrada: </w:t>
      </w:r>
      <w:r>
        <w:rPr>
          <w:sz w:val="19"/>
        </w:rPr>
        <w:t>Cronograma aprovado no Plano Anual de Auditoria Interna.</w:t>
      </w:r>
    </w:p>
    <w:p>
      <w:pPr>
        <w:spacing w:after="40"/>
        <w:ind w:left="288"/>
      </w:pPr>
      <w:r>
        <w:rPr>
          <w:b/>
          <w:sz w:val="19"/>
        </w:rPr>
        <w:t xml:space="preserve">3. Insumos / Entradas: </w:t>
      </w:r>
      <w:r>
        <w:rPr>
          <w:sz w:val="19"/>
        </w:rPr>
        <w:t>Plano Anual de Auditoria, escopo do processo, relatórios anteriores e matrizes RCSA.</w:t>
      </w:r>
    </w:p>
    <w:p>
      <w:pPr>
        <w:spacing w:after="40"/>
        <w:ind w:left="288"/>
      </w:pPr>
      <w:r>
        <w:rPr>
          <w:b/>
          <w:sz w:val="19"/>
        </w:rPr>
        <w:t xml:space="preserve">4. Ferramenta Principal: </w:t>
      </w:r>
      <w:r>
        <w:rPr>
          <w:sz w:val="19"/>
        </w:rPr>
        <w:t>Módulo de Auditoria GRC e Checklists ISO 19011.</w:t>
      </w:r>
    </w:p>
    <w:p>
      <w:pPr>
        <w:spacing w:after="40"/>
        <w:ind w:left="288"/>
      </w:pPr>
      <w:r>
        <w:rPr>
          <w:b/>
          <w:sz w:val="19"/>
        </w:rPr>
        <w:t xml:space="preserve">5. Ator Principal: </w:t>
      </w:r>
      <w:r>
        <w:rPr>
          <w:sz w:val="19"/>
        </w:rPr>
        <w:t>Auditor Líder de TI (ISO 19011 / ISO 27001 LA).</w:t>
      </w:r>
    </w:p>
    <w:p>
      <w:pPr>
        <w:spacing w:after="40"/>
        <w:ind w:left="288"/>
      </w:pPr>
      <w:r>
        <w:rPr>
          <w:b/>
          <w:sz w:val="19"/>
        </w:rPr>
        <w:t xml:space="preserve">6. Responsável RACI: </w:t>
      </w:r>
      <w:r>
        <w:rPr>
          <w:sz w:val="19"/>
        </w:rPr>
        <w:t>Auditor Líder (R/A), Auditados / Process Owners (C).</w:t>
      </w:r>
    </w:p>
    <w:p>
      <w:pPr>
        <w:spacing w:after="40"/>
        <w:ind w:left="288"/>
      </w:pPr>
      <w:r>
        <w:rPr>
          <w:b/>
          <w:sz w:val="19"/>
        </w:rPr>
        <w:t xml:space="preserve">7. Instruções Passo a Passo: </w:t>
      </w:r>
      <w:r>
        <w:rPr>
          <w:sz w:val="19"/>
        </w:rPr>
        <w:t>1) Emitir Notificação de Auditoria com 10 dias de antecedência. 2) Realizar Reunião de Abertura. 3) Coletar evidências por entrevista e amostragem técnica. 4) Registrar Achados e Não Conformidades. 5) Conduzir Reunião de Fechamento. 6) Emitir Relatório Final de Auditoria.</w:t>
      </w:r>
    </w:p>
    <w:p>
      <w:pPr>
        <w:spacing w:after="40"/>
        <w:ind w:left="288"/>
      </w:pPr>
      <w:r>
        <w:rPr>
          <w:b/>
          <w:sz w:val="19"/>
        </w:rPr>
        <w:t xml:space="preserve">8. Regra de Negócio: </w:t>
      </w:r>
      <w:r>
        <w:rPr>
          <w:sz w:val="19"/>
        </w:rPr>
        <w:t>O auditor não pode auditar o próprio trabalho ou processos sob sua gestão direta (princípio da independência ISO 19011).</w:t>
      </w:r>
    </w:p>
    <w:p>
      <w:pPr>
        <w:spacing w:after="40"/>
        <w:ind w:left="288"/>
      </w:pPr>
      <w:r>
        <w:rPr>
          <w:b/>
          <w:sz w:val="19"/>
        </w:rPr>
        <w:t xml:space="preserve">9. Exceções e Desvios: </w:t>
      </w:r>
      <w:r>
        <w:rPr>
          <w:sz w:val="19"/>
        </w:rPr>
        <w:t>Identificação de fraude ou violação grave de segurança exige suspensão imediata da auditoria e reporte ao CISO/Board.</w:t>
      </w:r>
    </w:p>
    <w:p>
      <w:pPr>
        <w:spacing w:after="40"/>
        <w:ind w:left="288"/>
      </w:pPr>
      <w:r>
        <w:rPr>
          <w:b/>
          <w:sz w:val="19"/>
        </w:rPr>
        <w:t xml:space="preserve">10. SLA / Prazo de Execução: </w:t>
      </w:r>
      <w:r>
        <w:rPr>
          <w:sz w:val="19"/>
        </w:rPr>
        <w:t>Até 10 dias úteis entre a reunião de abertura e a emissão do Relatório Final.</w:t>
      </w:r>
    </w:p>
    <w:p>
      <w:pPr>
        <w:spacing w:after="40"/>
        <w:ind w:left="288"/>
      </w:pPr>
      <w:r>
        <w:rPr>
          <w:b/>
          <w:sz w:val="19"/>
        </w:rPr>
        <w:t xml:space="preserve">11. Evidência Auditável: </w:t>
      </w:r>
      <w:r>
        <w:rPr>
          <w:sz w:val="19"/>
        </w:rPr>
        <w:t>Plano de Auditoria, Lista de Presença, Pistas de Auditoria (Evidências) e Relatório Final de Auditoria.</w:t>
      </w:r>
    </w:p>
    <w:p>
      <w:pPr>
        <w:spacing w:after="40"/>
        <w:ind w:left="288"/>
      </w:pPr>
      <w:r>
        <w:rPr>
          <w:b/>
          <w:sz w:val="19"/>
        </w:rPr>
        <w:t xml:space="preserve">12. Controles de Segurança: </w:t>
      </w:r>
      <w:r>
        <w:rPr>
          <w:sz w:val="19"/>
        </w:rPr>
        <w:t>Assinatura digital do relatório e classificação confidencial das evidências de auditoria.</w:t>
      </w:r>
    </w:p>
    <w:p>
      <w:pPr>
        <w:spacing w:after="40"/>
        <w:ind w:left="288"/>
      </w:pPr>
      <w:r>
        <w:rPr>
          <w:b/>
          <w:sz w:val="19"/>
        </w:rPr>
        <w:t xml:space="preserve">13. Métricas de Sucesso: </w:t>
      </w:r>
      <w:r>
        <w:rPr>
          <w:sz w:val="19"/>
        </w:rPr>
        <w:t>Cumprimento de 100% do plano anual de auditoria sem atrasos não justificados.</w:t>
      </w:r>
    </w:p>
    <w:p>
      <w:pPr>
        <w:spacing w:after="40"/>
        <w:ind w:left="288"/>
      </w:pPr>
      <w:r>
        <w:rPr>
          <w:b/>
          <w:sz w:val="19"/>
        </w:rPr>
        <w:t xml:space="preserve">14. Interfaces com Outros Processos: </w:t>
      </w:r>
      <w:r>
        <w:rPr>
          <w:sz w:val="19"/>
        </w:rPr>
        <w:t>Alimenta a Gestão de Não Conformidades (POP-CSI-004) e Análise Crítica.</w:t>
      </w:r>
    </w:p>
    <w:p>
      <w:pPr>
        <w:spacing w:after="40"/>
        <w:ind w:left="288"/>
      </w:pPr>
      <w:r>
        <w:rPr>
          <w:b/>
          <w:sz w:val="19"/>
        </w:rPr>
        <w:t xml:space="preserve">15. Riscos Associados: </w:t>
      </w:r>
      <w:r>
        <w:rPr>
          <w:sz w:val="19"/>
        </w:rPr>
        <w:t>Auditados ocultando evidências ou fornecendo amostras manipuladas.</w:t>
      </w:r>
    </w:p>
    <w:p>
      <w:pPr>
        <w:spacing w:after="40"/>
        <w:ind w:left="288"/>
      </w:pPr>
      <w:r>
        <w:rPr>
          <w:b/>
          <w:sz w:val="19"/>
        </w:rPr>
        <w:t xml:space="preserve">16. Plano de Continuidade: </w:t>
      </w:r>
      <w:r>
        <w:rPr>
          <w:sz w:val="19"/>
        </w:rPr>
        <w:t>Substituição do auditor líder por auditor adjunto qualificado em caso de impedimento.</w:t>
      </w:r>
    </w:p>
    <w:p>
      <w:pPr>
        <w:spacing w:after="40"/>
        <w:ind w:left="288"/>
      </w:pPr>
      <w:r>
        <w:rPr>
          <w:b/>
          <w:sz w:val="19"/>
        </w:rPr>
        <w:t xml:space="preserve">17. Requisitos de Capacitação: </w:t>
      </w:r>
      <w:r>
        <w:rPr>
          <w:sz w:val="19"/>
        </w:rPr>
        <w:t>Certificação ISO 19011, ISO 27001 Lead Auditor ou CISA.</w:t>
      </w:r>
    </w:p>
    <w:p>
      <w:pPr>
        <w:spacing w:after="40"/>
        <w:ind w:left="288"/>
      </w:pPr>
      <w:r>
        <w:rPr>
          <w:b/>
          <w:sz w:val="19"/>
        </w:rPr>
        <w:t xml:space="preserve">18. Controle de Qualidade: </w:t>
      </w:r>
      <w:r>
        <w:rPr>
          <w:sz w:val="19"/>
        </w:rPr>
        <w:t>Revisão do relatório por um segundo auditor sênior antes do envio ao Comitê.</w:t>
      </w:r>
    </w:p>
    <w:p>
      <w:pPr>
        <w:spacing w:after="40"/>
        <w:ind w:left="288"/>
      </w:pPr>
      <w:r>
        <w:rPr>
          <w:b/>
          <w:sz w:val="19"/>
        </w:rPr>
        <w:t xml:space="preserve">19. Disposição de Registros: </w:t>
      </w:r>
      <w:r>
        <w:rPr>
          <w:sz w:val="19"/>
        </w:rPr>
        <w:t>Pastas de auditoria arquivadas em definitivo por 10 anos.</w:t>
      </w:r>
    </w:p>
    <w:p>
      <w:pPr>
        <w:spacing w:after="40"/>
        <w:ind w:left="288"/>
      </w:pPr>
      <w:r>
        <w:rPr>
          <w:b/>
          <w:sz w:val="19"/>
        </w:rPr>
        <w:t xml:space="preserve">20. Aprovação do POP: </w:t>
      </w:r>
      <w:r>
        <w:rPr>
          <w:sz w:val="19"/>
        </w:rPr>
        <w:t>Aprovado pelo Auditor Líder e Conselho de Administração em 14/10/2026.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POP-CSI-004: Gestão de Não Conformidades e Ações Corretivas/Preventivas (CAPA)</w:t>
      </w:r>
    </w:p>
    <w:p>
      <w:pPr>
        <w:spacing w:after="40"/>
        <w:ind w:left="288"/>
      </w:pPr>
      <w:r>
        <w:rPr>
          <w:b/>
          <w:sz w:val="19"/>
        </w:rPr>
        <w:t xml:space="preserve">1. Objetivo do Procedimento: </w:t>
      </w:r>
      <w:r>
        <w:rPr>
          <w:sz w:val="19"/>
        </w:rPr>
        <w:t>Tratar não conformidades identificadas em auditorias ou monitoramentos, conduzindo análise de causa raiz e implementando Ações Corretivas e Preventivas (CAPA).</w:t>
      </w:r>
    </w:p>
    <w:p>
      <w:pPr>
        <w:spacing w:after="40"/>
        <w:ind w:left="288"/>
      </w:pPr>
      <w:r>
        <w:rPr>
          <w:b/>
          <w:sz w:val="19"/>
        </w:rPr>
        <w:t xml:space="preserve">2. Gatilho de Entrada: </w:t>
      </w:r>
      <w:r>
        <w:rPr>
          <w:sz w:val="19"/>
        </w:rPr>
        <w:t>Emissão de Relatório de Auditoria com Não Conformidade (NC) ou desvio crítico recorrente de SLA.</w:t>
      </w:r>
    </w:p>
    <w:p>
      <w:pPr>
        <w:spacing w:after="40"/>
        <w:ind w:left="288"/>
      </w:pPr>
      <w:r>
        <w:rPr>
          <w:b/>
          <w:sz w:val="19"/>
        </w:rPr>
        <w:t xml:space="preserve">3. Insumos / Entradas: </w:t>
      </w:r>
      <w:r>
        <w:rPr>
          <w:sz w:val="19"/>
        </w:rPr>
        <w:t>Relatório de Auditoria, Relatório de Incidente Grave P1 e Matriz de Riscos.</w:t>
      </w:r>
    </w:p>
    <w:p>
      <w:pPr>
        <w:spacing w:after="40"/>
        <w:ind w:left="288"/>
      </w:pPr>
      <w:r>
        <w:rPr>
          <w:b/>
          <w:sz w:val="19"/>
        </w:rPr>
        <w:t xml:space="preserve">4. Ferramenta Principal: </w:t>
      </w:r>
      <w:r>
        <w:rPr>
          <w:sz w:val="19"/>
        </w:rPr>
        <w:t>Módulo de CAPA / GRC e Metodologia dos 5 Porquês / Ishikawa.</w:t>
      </w:r>
    </w:p>
    <w:p>
      <w:pPr>
        <w:spacing w:after="40"/>
        <w:ind w:left="288"/>
      </w:pPr>
      <w:r>
        <w:rPr>
          <w:b/>
          <w:sz w:val="19"/>
        </w:rPr>
        <w:t xml:space="preserve">5. Ator Principal: </w:t>
      </w:r>
      <w:r>
        <w:rPr>
          <w:sz w:val="19"/>
        </w:rPr>
        <w:t>Process Owner (Dono do Processo afetado).</w:t>
      </w:r>
    </w:p>
    <w:p>
      <w:pPr>
        <w:spacing w:after="40"/>
        <w:ind w:left="288"/>
      </w:pPr>
      <w:r>
        <w:rPr>
          <w:b/>
          <w:sz w:val="19"/>
        </w:rPr>
        <w:t xml:space="preserve">6. Responsável RACI: </w:t>
      </w:r>
      <w:r>
        <w:rPr>
          <w:sz w:val="19"/>
        </w:rPr>
        <w:t>Process Owner (R), Quality Lead (A).</w:t>
      </w:r>
    </w:p>
    <w:p>
      <w:pPr>
        <w:spacing w:after="40"/>
        <w:ind w:left="288"/>
      </w:pPr>
      <w:r>
        <w:rPr>
          <w:b/>
          <w:sz w:val="19"/>
        </w:rPr>
        <w:t xml:space="preserve">7. Instruções Passo a Passo: </w:t>
      </w:r>
      <w:r>
        <w:rPr>
          <w:sz w:val="19"/>
        </w:rPr>
        <w:t>1) Registrar a NC no módulo GRC. 2) Formar grupo de análise de causa raiz (5 Porquês/Ishikawa). 3) Elaborar o Plano CAPA com prazos e responsáveis. 4) Submeter plano para validação do Quality Lead. 5) Executar ações. 6) Realizar teste de eficácia após 60 dias.</w:t>
      </w:r>
    </w:p>
    <w:p>
      <w:pPr>
        <w:spacing w:after="40"/>
        <w:ind w:left="288"/>
      </w:pPr>
      <w:r>
        <w:rPr>
          <w:b/>
          <w:sz w:val="19"/>
        </w:rPr>
        <w:t xml:space="preserve">8. Regra de Negócio: </w:t>
      </w:r>
      <w:r>
        <w:rPr>
          <w:sz w:val="19"/>
        </w:rPr>
        <w:t>Toda NC deve ter um Plano CAPA elaborado em no máximo 10 dias úteis após a notificação.</w:t>
      </w:r>
    </w:p>
    <w:p>
      <w:pPr>
        <w:spacing w:after="40"/>
        <w:ind w:left="288"/>
      </w:pPr>
      <w:r>
        <w:rPr>
          <w:b/>
          <w:sz w:val="19"/>
        </w:rPr>
        <w:t xml:space="preserve">9. Exceções e Desvios: </w:t>
      </w:r>
      <w:r>
        <w:rPr>
          <w:sz w:val="19"/>
        </w:rPr>
        <w:t>Necessidade de orçamento não previsto para a solução exige aprovação emergencial do CIO.</w:t>
      </w:r>
    </w:p>
    <w:p>
      <w:pPr>
        <w:spacing w:after="40"/>
        <w:ind w:left="288"/>
      </w:pPr>
      <w:r>
        <w:rPr>
          <w:b/>
          <w:sz w:val="19"/>
        </w:rPr>
        <w:t xml:space="preserve">10. SLA / Prazo de Execução: </w:t>
      </w:r>
      <w:r>
        <w:rPr>
          <w:sz w:val="19"/>
        </w:rPr>
        <w:t>Elaboração do plano em 10 dias; Execução do plano em até 60 dias úteis.</w:t>
      </w:r>
    </w:p>
    <w:p>
      <w:pPr>
        <w:spacing w:after="40"/>
        <w:ind w:left="288"/>
      </w:pPr>
      <w:r>
        <w:rPr>
          <w:b/>
          <w:sz w:val="19"/>
        </w:rPr>
        <w:t xml:space="preserve">11. Evidência Auditável: </w:t>
      </w:r>
      <w:r>
        <w:rPr>
          <w:sz w:val="19"/>
        </w:rPr>
        <w:t>Formulário CAPA preenchido, Análise de Causa Raiz, Evidências de Execução e Laudo de Teste de Eficácia.</w:t>
      </w:r>
    </w:p>
    <w:p>
      <w:pPr>
        <w:spacing w:after="40"/>
        <w:ind w:left="288"/>
      </w:pPr>
      <w:r>
        <w:rPr>
          <w:b/>
          <w:sz w:val="19"/>
        </w:rPr>
        <w:t xml:space="preserve">12. Controles de Segurança: </w:t>
      </w:r>
      <w:r>
        <w:rPr>
          <w:sz w:val="19"/>
        </w:rPr>
        <w:t>Rastreabilidade de alterações no registro CAPA e histórico imutável.</w:t>
      </w:r>
    </w:p>
    <w:p>
      <w:pPr>
        <w:spacing w:after="40"/>
        <w:ind w:left="288"/>
      </w:pPr>
      <w:r>
        <w:rPr>
          <w:b/>
          <w:sz w:val="19"/>
        </w:rPr>
        <w:t xml:space="preserve">13. Métricas de Sucesso: </w:t>
      </w:r>
      <w:r>
        <w:rPr>
          <w:sz w:val="19"/>
        </w:rPr>
        <w:t>&gt;= 95% de planos CAPA encerrados com eficácia comprovada no teste de 60 dias.</w:t>
      </w:r>
    </w:p>
    <w:p>
      <w:pPr>
        <w:spacing w:after="40"/>
        <w:ind w:left="288"/>
      </w:pPr>
      <w:r>
        <w:rPr>
          <w:b/>
          <w:sz w:val="19"/>
        </w:rPr>
        <w:t xml:space="preserve">14. Interfaces com Outros Processos: </w:t>
      </w:r>
      <w:r>
        <w:rPr>
          <w:sz w:val="19"/>
        </w:rPr>
        <w:t>Conexão direta com Gestão de Problemas (RCA) e Gestão de Mudanças (GMUD).</w:t>
      </w:r>
    </w:p>
    <w:p>
      <w:pPr>
        <w:spacing w:after="40"/>
        <w:ind w:left="288"/>
      </w:pPr>
      <w:r>
        <w:rPr>
          <w:b/>
          <w:sz w:val="19"/>
        </w:rPr>
        <w:t xml:space="preserve">15. Riscos Associados: </w:t>
      </w:r>
      <w:r>
        <w:rPr>
          <w:sz w:val="19"/>
        </w:rPr>
        <w:t>Tratamento superficial da NC atacando sintomas e não a causa raiz real.</w:t>
      </w:r>
    </w:p>
    <w:p>
      <w:pPr>
        <w:spacing w:after="40"/>
        <w:ind w:left="288"/>
      </w:pPr>
      <w:r>
        <w:rPr>
          <w:b/>
          <w:sz w:val="19"/>
        </w:rPr>
        <w:t xml:space="preserve">16. Plano de Continuidade: </w:t>
      </w:r>
      <w:r>
        <w:rPr>
          <w:sz w:val="19"/>
        </w:rPr>
        <w:t>Escalonamento ao CIO para realocação de recursos em ações CAPA atrasadas.</w:t>
      </w:r>
    </w:p>
    <w:p>
      <w:pPr>
        <w:spacing w:after="40"/>
        <w:ind w:left="288"/>
      </w:pPr>
      <w:r>
        <w:rPr>
          <w:b/>
          <w:sz w:val="19"/>
        </w:rPr>
        <w:t xml:space="preserve">17. Requisitos de Capacitação: </w:t>
      </w:r>
      <w:r>
        <w:rPr>
          <w:sz w:val="19"/>
        </w:rPr>
        <w:t>Treinamento em metodologias de qualidade (Yellow Belt, 5 Porquês, Ishikawa).</w:t>
      </w:r>
    </w:p>
    <w:p>
      <w:pPr>
        <w:spacing w:after="40"/>
        <w:ind w:left="288"/>
      </w:pPr>
      <w:r>
        <w:rPr>
          <w:b/>
          <w:sz w:val="19"/>
        </w:rPr>
        <w:t xml:space="preserve">18. Controle de Qualidade: </w:t>
      </w:r>
      <w:r>
        <w:rPr>
          <w:sz w:val="19"/>
        </w:rPr>
        <w:t>Validação obrigatória da eficácia pelo time de Qualidade antes do encerramento da NC.</w:t>
      </w:r>
    </w:p>
    <w:p>
      <w:pPr>
        <w:spacing w:after="40"/>
        <w:ind w:left="288"/>
      </w:pPr>
      <w:r>
        <w:rPr>
          <w:b/>
          <w:sz w:val="19"/>
        </w:rPr>
        <w:t xml:space="preserve">19. Disposição de Registros: </w:t>
      </w:r>
      <w:r>
        <w:rPr>
          <w:sz w:val="19"/>
        </w:rPr>
        <w:t>Registros de CAPA mantidos permanentemente no histórico do sistema GRC.</w:t>
      </w:r>
    </w:p>
    <w:p>
      <w:pPr>
        <w:spacing w:after="40"/>
        <w:ind w:left="288"/>
      </w:pPr>
      <w:r>
        <w:rPr>
          <w:b/>
          <w:sz w:val="19"/>
        </w:rPr>
        <w:t>20. Aprovação do POP: pendente de revisão e aprovação formal pelo Quality Lead e CSI Manager; a data indicada no material de origem não comprova aprovação real.</w:t>
      </w:r>
      <w:r>
        <w:rPr>
          <w:sz w:val="19"/>
        </w:rPr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POP-CSI-005: Operação do Registro de Melhoria Contínua (CIR) e Análise Crítica</w:t>
      </w:r>
    </w:p>
    <w:p>
      <w:pPr>
        <w:spacing w:after="40"/>
        <w:ind w:left="288"/>
      </w:pPr>
      <w:r>
        <w:rPr>
          <w:b/>
          <w:sz w:val="19"/>
        </w:rPr>
        <w:t xml:space="preserve">1. Objetivo do Procedimento: </w:t>
      </w:r>
      <w:r>
        <w:rPr>
          <w:sz w:val="19"/>
        </w:rPr>
        <w:t>Gerenciar o Registro de Melhoria Contínua (CIR - Continual Improvement Register) e preparar a pauta e atas da Análise Crítica pela Direção (Management Review).</w:t>
      </w:r>
    </w:p>
    <w:p>
      <w:pPr>
        <w:spacing w:after="40"/>
        <w:ind w:left="288"/>
      </w:pPr>
      <w:r>
        <w:rPr>
          <w:b/>
          <w:sz w:val="19"/>
        </w:rPr>
        <w:t xml:space="preserve">2. Gatilho de Entrada: </w:t>
      </w:r>
      <w:r>
        <w:rPr>
          <w:sz w:val="19"/>
        </w:rPr>
        <w:t>Submissão de nova oportunidade de melhoria ou janela trimestral de Análise Crítica pela Direção.</w:t>
      </w:r>
    </w:p>
    <w:p>
      <w:pPr>
        <w:spacing w:after="40"/>
        <w:ind w:left="288"/>
      </w:pPr>
      <w:r>
        <w:rPr>
          <w:b/>
          <w:sz w:val="19"/>
        </w:rPr>
        <w:t xml:space="preserve">3. Insumos / Entradas: </w:t>
      </w:r>
      <w:r>
        <w:rPr>
          <w:sz w:val="19"/>
        </w:rPr>
        <w:t>CIR, Relatórios de Desempenho, Relatórios de Auditoria, Mudanças Regulatórias e CSAT.</w:t>
      </w:r>
    </w:p>
    <w:p>
      <w:pPr>
        <w:spacing w:after="40"/>
        <w:ind w:left="288"/>
      </w:pPr>
      <w:r>
        <w:rPr>
          <w:b/>
          <w:sz w:val="19"/>
        </w:rPr>
        <w:t xml:space="preserve">4. Ferramenta Principal: </w:t>
      </w:r>
      <w:r>
        <w:rPr>
          <w:sz w:val="19"/>
        </w:rPr>
        <w:t>Módulo CIR / GRC e Painel Executivo da Diretoria.</w:t>
      </w:r>
    </w:p>
    <w:p>
      <w:pPr>
        <w:spacing w:after="40"/>
        <w:ind w:left="288"/>
      </w:pPr>
      <w:r>
        <w:rPr>
          <w:b/>
          <w:sz w:val="19"/>
        </w:rPr>
        <w:t xml:space="preserve">5. Ator Principal: </w:t>
      </w:r>
      <w:r>
        <w:rPr>
          <w:sz w:val="19"/>
        </w:rPr>
        <w:t>CSI Manager / Lead de Governança de TI.</w:t>
      </w:r>
    </w:p>
    <w:p>
      <w:pPr>
        <w:spacing w:after="40"/>
        <w:ind w:left="288"/>
      </w:pPr>
      <w:r>
        <w:rPr>
          <w:b/>
          <w:sz w:val="19"/>
        </w:rPr>
        <w:t xml:space="preserve">6. Responsável RACI: </w:t>
      </w:r>
      <w:r>
        <w:rPr>
          <w:sz w:val="19"/>
        </w:rPr>
        <w:t>CSI Manager (R), CIO / Alta Direção (A).</w:t>
      </w:r>
    </w:p>
    <w:p>
      <w:pPr>
        <w:spacing w:after="40"/>
        <w:ind w:left="288"/>
      </w:pPr>
      <w:r>
        <w:rPr>
          <w:b/>
          <w:sz w:val="19"/>
        </w:rPr>
        <w:t xml:space="preserve">7. Instruções Passo a Passo: </w:t>
      </w:r>
      <w:r>
        <w:rPr>
          <w:sz w:val="19"/>
        </w:rPr>
        <w:t>1) Cadastrar proposição no CIR. 2) Avaliar viabilidade e ROI. 3) Priorizar iniciativas. 4) Consolidar Dossiê de Análise Crítica. 5) Conduzir Reunião da Direção. 6) Publicar Ata da Análise Crítica e Deliberações de Recursos.</w:t>
      </w:r>
    </w:p>
    <w:p>
      <w:pPr>
        <w:spacing w:after="40"/>
        <w:ind w:left="288"/>
      </w:pPr>
      <w:r>
        <w:rPr>
          <w:b/>
          <w:sz w:val="19"/>
        </w:rPr>
        <w:t xml:space="preserve">8. Regra de Negócio: </w:t>
      </w:r>
      <w:r>
        <w:rPr>
          <w:sz w:val="19"/>
        </w:rPr>
        <w:t>A Análise Crítica pela Direção deve ser realizada obrigatoriamente no mínimo 2 vezes ao ano (ISO 20000 / ISO 27001).</w:t>
      </w:r>
    </w:p>
    <w:p>
      <w:pPr>
        <w:spacing w:after="40"/>
        <w:ind w:left="288"/>
      </w:pPr>
      <w:r>
        <w:rPr>
          <w:b/>
          <w:sz w:val="19"/>
        </w:rPr>
        <w:t xml:space="preserve">9. Exceções e Desvios: </w:t>
      </w:r>
      <w:r>
        <w:rPr>
          <w:sz w:val="19"/>
        </w:rPr>
        <w:t>Ausência do CIO na reunião invalida a deliberação formal, exigindo remarcação em até 5 dias.</w:t>
      </w:r>
    </w:p>
    <w:p>
      <w:pPr>
        <w:spacing w:after="40"/>
        <w:ind w:left="288"/>
      </w:pPr>
      <w:r>
        <w:rPr>
          <w:b/>
          <w:sz w:val="19"/>
        </w:rPr>
        <w:t xml:space="preserve">10. SLA / Prazo de Execução: </w:t>
      </w:r>
      <w:r>
        <w:rPr>
          <w:sz w:val="19"/>
        </w:rPr>
        <w:t>Análise Crítica realizada semestralmente; Atualização do CIR em fluxo contínuo.</w:t>
      </w:r>
    </w:p>
    <w:p>
      <w:pPr>
        <w:spacing w:after="40"/>
        <w:ind w:left="288"/>
      </w:pPr>
      <w:r>
        <w:rPr>
          <w:b/>
          <w:sz w:val="19"/>
        </w:rPr>
        <w:t xml:space="preserve">11. Evidência Auditável: </w:t>
      </w:r>
      <w:r>
        <w:rPr>
          <w:sz w:val="19"/>
        </w:rPr>
        <w:t>Registro no CIR, Dossiê de Entrada da Análise Crítica e Ata de Reunião assinada pela Alta Direção.</w:t>
      </w:r>
    </w:p>
    <w:p>
      <w:pPr>
        <w:spacing w:after="40"/>
        <w:ind w:left="288"/>
      </w:pPr>
      <w:r>
        <w:rPr>
          <w:b/>
          <w:sz w:val="19"/>
        </w:rPr>
        <w:t xml:space="preserve">12. Controles de Segurança: </w:t>
      </w:r>
      <w:r>
        <w:rPr>
          <w:sz w:val="19"/>
        </w:rPr>
        <w:t>Acesso restrito ao CIR e sigilo de deliberações de investimentos estratégicos.</w:t>
      </w:r>
    </w:p>
    <w:p>
      <w:pPr>
        <w:spacing w:after="40"/>
        <w:ind w:left="288"/>
      </w:pPr>
      <w:r>
        <w:rPr>
          <w:b/>
          <w:sz w:val="19"/>
        </w:rPr>
        <w:t xml:space="preserve">13. Métricas de Sucesso: </w:t>
      </w:r>
      <w:r>
        <w:rPr>
          <w:sz w:val="19"/>
        </w:rPr>
        <w:t>100% das deliberações da Análise Crítica traduzidas em projetos cadastrados no CIR.</w:t>
      </w:r>
    </w:p>
    <w:p>
      <w:pPr>
        <w:spacing w:after="40"/>
        <w:ind w:left="288"/>
      </w:pPr>
      <w:r>
        <w:rPr>
          <w:b/>
          <w:sz w:val="19"/>
        </w:rPr>
        <w:t xml:space="preserve">14. Interfaces com Outros Processos: </w:t>
      </w:r>
      <w:r>
        <w:rPr>
          <w:sz w:val="19"/>
        </w:rPr>
        <w:t>Mapeia demandas para FinOps (Projeto 09) e Gestão de Fornecedores (Projeto 08).</w:t>
      </w:r>
    </w:p>
    <w:p>
      <w:pPr>
        <w:spacing w:after="40"/>
        <w:ind w:left="288"/>
      </w:pPr>
      <w:r>
        <w:rPr>
          <w:b/>
          <w:sz w:val="19"/>
        </w:rPr>
        <w:t xml:space="preserve">15. Riscos Associados: </w:t>
      </w:r>
      <w:r>
        <w:rPr>
          <w:sz w:val="19"/>
        </w:rPr>
        <w:t>Análise Crítica tratada como evento meramente pro forma sem comprometimento da diretoria.</w:t>
      </w:r>
    </w:p>
    <w:p>
      <w:pPr>
        <w:spacing w:after="40"/>
        <w:ind w:left="288"/>
      </w:pPr>
      <w:r>
        <w:rPr>
          <w:b/>
          <w:sz w:val="19"/>
        </w:rPr>
        <w:t xml:space="preserve">16. Plano de Continuidade: </w:t>
      </w:r>
      <w:r>
        <w:rPr>
          <w:sz w:val="19"/>
        </w:rPr>
        <w:t>Submissão assíncrona do dossiê com coleta de assinaturas digitais do C-Level.</w:t>
      </w:r>
    </w:p>
    <w:p>
      <w:pPr>
        <w:spacing w:after="40"/>
        <w:ind w:left="288"/>
      </w:pPr>
      <w:r>
        <w:rPr>
          <w:b/>
          <w:sz w:val="19"/>
        </w:rPr>
        <w:t xml:space="preserve">17. Requisitos de Capacitação: </w:t>
      </w:r>
      <w:r>
        <w:rPr>
          <w:sz w:val="19"/>
        </w:rPr>
        <w:t>Habilidade de comunicação executiva e gestão estratégica de portfólio de TI.</w:t>
      </w:r>
    </w:p>
    <w:p>
      <w:pPr>
        <w:spacing w:after="40"/>
        <w:ind w:left="288"/>
      </w:pPr>
      <w:r>
        <w:rPr>
          <w:b/>
          <w:sz w:val="19"/>
        </w:rPr>
        <w:t xml:space="preserve">18. Controle de Qualidade: </w:t>
      </w:r>
      <w:r>
        <w:rPr>
          <w:sz w:val="19"/>
        </w:rPr>
        <w:t>Verificação prévia do dossiê pelo CISO e Compliance Officer antes do envio ao C-Level.</w:t>
      </w:r>
    </w:p>
    <w:p>
      <w:pPr>
        <w:spacing w:after="40"/>
        <w:ind w:left="288"/>
      </w:pPr>
      <w:r>
        <w:rPr>
          <w:b/>
          <w:sz w:val="19"/>
        </w:rPr>
        <w:t xml:space="preserve">19. Disposição de Registros: </w:t>
      </w:r>
      <w:r>
        <w:rPr>
          <w:sz w:val="19"/>
        </w:rPr>
        <w:t>Atas de Análise Crítica mantidas em arquivo permanente corporativo.</w:t>
      </w:r>
    </w:p>
    <w:p>
      <w:pPr>
        <w:spacing w:after="40"/>
        <w:ind w:left="288"/>
      </w:pPr>
      <w:r>
        <w:rPr>
          <w:b/>
          <w:sz w:val="19"/>
        </w:rPr>
        <w:t xml:space="preserve">20. Aprovação do POP: </w:t>
      </w:r>
      <w:r>
        <w:rPr>
          <w:sz w:val="19"/>
        </w:rPr>
        <w:t>Aprovado pelo CSI Manager e CIO em 14/10/2026.</w:t>
      </w:r>
    </w:p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12 — Regras de Negócio e Diretrizes Invioláveis</w:t>
      </w:r>
    </w:p>
    <w:p>
      <w:pPr>
        <w:spacing w:after="80"/>
      </w:pPr>
      <w:r>
        <w:t>A operação da avaliação de desempenho e auditoria interna é regida pelas seguintes regras invioláveis:</w:t>
      </w:r>
    </w:p>
    <w:p>
      <w:pPr>
        <w:spacing w:after="60"/>
        <w:ind w:left="288"/>
      </w:pPr>
      <w:r>
        <w:rPr>
          <w:b/>
          <w:color w:val="003366"/>
        </w:rPr>
        <w:t xml:space="preserve">• Regra 1: Independência Absoluta da Auditoria: </w:t>
      </w:r>
      <w:r>
        <w:t>Auditores internos não podem avaliar processos sob sua responsabilidade direta nem possuir metas atreladas aos resultados do setor auditado.</w:t>
      </w:r>
    </w:p>
    <w:p>
      <w:pPr>
        <w:spacing w:after="60"/>
        <w:ind w:left="288"/>
      </w:pPr>
      <w:r>
        <w:rPr>
          <w:b/>
          <w:color w:val="003366"/>
        </w:rPr>
        <w:t xml:space="preserve">• Regra 2: Intocabilidade dos Dados Brutos de Medição: </w:t>
      </w:r>
      <w:r>
        <w:t>Logs, registros de ITSM e métricas brutas não podem sofrer edição, exclusão ou expurgo manual. A higienização deve ser feita via scripts auditáveis.</w:t>
      </w:r>
    </w:p>
    <w:p>
      <w:pPr>
        <w:spacing w:after="60"/>
        <w:ind w:left="288"/>
      </w:pPr>
      <w:r>
        <w:rPr>
          <w:b/>
          <w:color w:val="003366"/>
        </w:rPr>
        <w:t xml:space="preserve">• Regra 3: Obrigatoriedade de Teste de Eficácia das Ações CAPA: </w:t>
      </w:r>
      <w:r>
        <w:t>Nenhuma Não Conformidade pode ser dada como encerrada sem o laudo formal de teste de eficácia realizado após 60 dias da implementação da ação.</w:t>
      </w:r>
    </w:p>
    <w:p>
      <w:pPr>
        <w:spacing w:after="60"/>
        <w:ind w:left="288"/>
      </w:pPr>
      <w:r>
        <w:rPr>
          <w:b/>
          <w:color w:val="003366"/>
        </w:rPr>
        <w:t xml:space="preserve">• Regra 4: Periodicidade Inviolável da Análise Crítica: </w:t>
      </w:r>
      <w:r>
        <w:t>A Análise Crítica pela Direção deve ocorrer no mínimo a cada 6 meses, sendo item obrigatório de verificação de conformidade no conselho.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13 — Matriz RCSA de Riscos e Controles Internos</w:t>
      </w:r>
    </w:p>
    <w:p>
      <w:pPr>
        <w:spacing w:after="120"/>
      </w:pPr>
      <w:r>
        <w:t>Os riscos do processo de avaliação de desempenho e auditoria, bem como seus respectivos controles internos, são detalhados a seguir: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Risco Operacional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Causa Raiz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Controle Interno Mitigador</w:t>
            </w:r>
          </w:p>
        </w:tc>
        <w:tc>
          <w:tcPr>
            <w:tcW w:type="dxa" w:w="1296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 Auditável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Relatórios de KPI manipulados ou adulterados</w:t>
            </w:r>
          </w:p>
        </w:tc>
        <w:tc>
          <w:tcPr>
            <w:tcW w:type="dxa" w:w="187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Falta de automação e edição manual de planilhas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Extração automatizada de logs via API imutável</w:t>
            </w:r>
          </w:p>
        </w:tc>
        <w:tc>
          <w:tcPr>
            <w:tcW w:type="dxa" w:w="1296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Mensal</w:t>
            </w:r>
          </w:p>
        </w:tc>
        <w:tc>
          <w:tcPr>
            <w:tcW w:type="dxa" w:w="187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Script de carga e log do banco de dados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Auditores sem imparcialidade ou qualificação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Escalação de auditores do próprio departamento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Matriz de independência ISO 19011 e validação do CISO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Por Auditoria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Termo de Independência assinado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Ações CAPA abandonadas sem conclusão</w:t>
            </w:r>
          </w:p>
        </w:tc>
        <w:tc>
          <w:tcPr>
            <w:tcW w:type="dxa" w:w="187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Falta de acompanhamento e cobrança da qualidade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Gatilho automático de alerta no GRC e pauta no C-Level</w:t>
            </w:r>
          </w:p>
        </w:tc>
        <w:tc>
          <w:tcPr>
            <w:tcW w:type="dxa" w:w="1296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Quinzenal</w:t>
            </w:r>
          </w:p>
        </w:tc>
        <w:tc>
          <w:tcPr>
            <w:tcW w:type="dxa" w:w="187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Dashboard de CAPA e atas do comitê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14 — Requisitos Tecnológicos e Parametrização ITSM/GRC</w:t>
      </w:r>
    </w:p>
    <w:p>
      <w:pPr>
        <w:spacing w:after="80"/>
      </w:pPr>
      <w:r>
        <w:t>A sustentação tecnológica do processo de avaliação de desempenho e auditoria requer a seguinte parametrização nos sistemas corporativos:</w:t>
      </w:r>
    </w:p>
    <w:p>
      <w:pPr>
        <w:spacing w:after="60"/>
        <w:ind w:left="288"/>
      </w:pPr>
      <w:r>
        <w:rPr>
          <w:b/>
          <w:color w:val="003366"/>
        </w:rPr>
        <w:t xml:space="preserve">• Módulo de Audit &amp; Compliance no GRC: </w:t>
      </w:r>
      <w:r>
        <w:t>Parametrização do universo de auditoria, cadastramento de requisitos normativos (ISO 20000, ISO 27001, SOX) e emissão automatizada de relatórios.</w:t>
      </w:r>
    </w:p>
    <w:p>
      <w:pPr>
        <w:spacing w:after="60"/>
        <w:ind w:left="288"/>
      </w:pPr>
      <w:r>
        <w:rPr>
          <w:b/>
          <w:color w:val="003366"/>
        </w:rPr>
        <w:t xml:space="preserve">• Módulo de Gestão de CAPA / NC: </w:t>
      </w:r>
      <w:r>
        <w:t>Fluxo de aprovação de Planos de Ação, controle de prazos com disparo de alertas escalonados e registro de evidências.</w:t>
      </w:r>
    </w:p>
    <w:p>
      <w:pPr>
        <w:spacing w:after="60"/>
        <w:ind w:left="288"/>
      </w:pPr>
      <w:r>
        <w:rPr>
          <w:b/>
          <w:color w:val="003366"/>
        </w:rPr>
        <w:t xml:space="preserve">• Módulo CIR (Continual Improvement Register): </w:t>
      </w:r>
      <w:r>
        <w:t>Tabela estruturada no ITSM com cálculo automático de ROI, pontuação de prioridade e rastreabilidade de status.</w:t>
      </w:r>
    </w:p>
    <w:p>
      <w:pPr>
        <w:spacing w:after="60"/>
        <w:ind w:left="288"/>
      </w:pPr>
      <w:r>
        <w:rPr>
          <w:b/>
          <w:color w:val="003366"/>
        </w:rPr>
        <w:t xml:space="preserve">• Conectores Automáticos de Métricas: </w:t>
      </w:r>
      <w:r>
        <w:t>Pipelines de dados via API REST integrando o ITSM, monitoramento de infraestrutura (Zabbix/Datadog) e PowerBI.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15 — Painel de Indicadores de Desempenho do Processo</w:t>
      </w:r>
    </w:p>
    <w:p>
      <w:pPr>
        <w:spacing w:after="120"/>
      </w:pPr>
      <w:r>
        <w:t>A eficácia da própria prática de avaliação e auditoria é monitorada pelos seguintes indicadores chave: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744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Fórmula de Cálculo</w:t>
            </w:r>
          </w:p>
        </w:tc>
        <w:tc>
          <w:tcPr>
            <w:tcW w:type="dxa" w:w="144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Frequência</w:t>
            </w:r>
          </w:p>
        </w:tc>
      </w:tr>
      <w:tr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% Execução do Plano de Auditoria</w:t>
            </w:r>
          </w:p>
        </w:tc>
        <w:tc>
          <w:tcPr>
            <w:tcW w:type="dxa" w:w="3744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(Auditorias Realizadas / Auditorias Planejadas) * 100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100%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Semestral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Taxa de Eficácia de CAPA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(NCs Encerradas com Sucesso / Total de NCs) * 100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&gt;= 95%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Mensal</w:t>
            </w:r>
          </w:p>
        </w:tc>
      </w:tr>
      <w:tr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Tempo Médio de Tratamento de NC</w:t>
            </w:r>
          </w:p>
        </w:tc>
        <w:tc>
          <w:tcPr>
            <w:tcW w:type="dxa" w:w="3744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Soma dos Dias de Tratamento / Total de NCs Fechadas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&lt;= 45 Dias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Mensal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Realização do CIR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(Projetos do CIR Concluídos / Projetos Aprovados) * 100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&gt;= 90%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Trimestral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16 — Interfaces e Rastreabilidade com os 10 Processos</w:t>
      </w:r>
    </w:p>
    <w:p>
      <w:pPr>
        <w:spacing w:after="80"/>
      </w:pPr>
      <w:r>
        <w:t>Como processo integrador de encerramento do ciclo PDCA, o Projeto 10 conecta-se transversalmente a todos os outros 9 projetos de implementação do Programa Integrado: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Incidentes (Projeto 01): </w:t>
      </w:r>
      <w:r>
        <w:t>Mede o MTTR e SLA de resolução; audita incidentes graves P1.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Problemas (Projeto 02): </w:t>
      </w:r>
      <w:r>
        <w:t>Recebe análises de causa raiz (RCA) para alimentação dos planos CAPA e CIR.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Mudanças (Projeto 03): </w:t>
      </w:r>
      <w:r>
        <w:t>Audita a taxa de sucesso das alterações e cumprimento das janelas de GMUD.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Nível de Serviço (Projeto 04): </w:t>
      </w:r>
      <w:r>
        <w:t>Valida o SLA Compliance e alimenta a reunião do SLAR com dados do BSC-TI.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Continuidade (Projeto 05): </w:t>
      </w:r>
      <w:r>
        <w:t>Audita os laudos de testes de simulados de DRP e RTO/RPO.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Segurança (Projeto 06): </w:t>
      </w:r>
      <w:r>
        <w:t>Mede a eficácia dos 93 controles da ISO 27002 e auditoria do SGSI.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Ativos e CMDB (Projeto 07): </w:t>
      </w:r>
      <w:r>
        <w:t>Audita a acurácia do inventário de CIs e conformidade SAM.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Fornecedores (Projeto 08): </w:t>
      </w:r>
      <w:r>
        <w:t>Consolida os dados do Vendor Scorecard e audita cumprimento de DPAs.</w:t>
      </w:r>
    </w:p>
    <w:p>
      <w:pPr>
        <w:spacing w:after="60"/>
        <w:ind w:left="288"/>
      </w:pPr>
      <w:r>
        <w:rPr>
          <w:b/>
          <w:color w:val="003366"/>
        </w:rPr>
        <w:t xml:space="preserve">• Gestão de Demanda e FinOps (Projeto 09): </w:t>
      </w:r>
      <w:r>
        <w:t>Mede a realização de economias e acurácia do preceito orçamentário.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17 — Plano de Transição e Mudança Organizacional (GMO)</w:t>
      </w:r>
    </w:p>
    <w:p>
      <w:pPr>
        <w:spacing w:after="80"/>
      </w:pPr>
      <w:r>
        <w:t>A transição para um ambiente de auditoria contínua requer aculturamento das equipes técnicas para encarar os achados de auditoria e não conformidades como oportunidades de evolução, e não como instrumento punitivo.</w:t>
      </w:r>
    </w:p>
    <w:p>
      <w:pPr>
        <w:spacing w:after="120"/>
      </w:pPr>
      <w:r>
        <w:t>O plano de GMO inclui workshops de 'Qualidade Sem Punição', capacitação em metodologias de solução de problemas e incentivo ao cadastro espontâneo de melhorias no CIR pelas equipes de ponta.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18 — Roadmap de Implantação e Cronograma Executivo</w:t>
      </w:r>
    </w:p>
    <w:p>
      <w:pPr>
        <w:spacing w:after="120"/>
      </w:pPr>
      <w:r>
        <w:t>A implantação do Projeto 10 é estruturada em 4 Fases ao longo de 60 dias corridos: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Fase do Roadmap</w:t>
            </w:r>
          </w:p>
        </w:tc>
        <w:tc>
          <w:tcPr>
            <w:tcW w:type="dxa" w:w="144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Duração</w:t>
            </w:r>
          </w:p>
        </w:tc>
        <w:tc>
          <w:tcPr>
            <w:tcW w:type="dxa" w:w="360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Principais Entregáveis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Marco de Validação (Milestone)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Fase 1: Desenho &amp; Taxonomia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Dias 01 a 15</w:t>
            </w:r>
          </w:p>
        </w:tc>
        <w:tc>
          <w:tcPr>
            <w:tcW w:type="dxa" w:w="360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Dicionário de KPIs, BSC-TI e Módulo GRC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Aprovação do BSC-TI pelo CIO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Fase 2: Estruturação da Auditoria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Dias 16 a 30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Plano Anual ISO 19011 e Módulo CAPA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Aprovação do Plano pelo Conselho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Fase 3: Piloto &amp; Módulo CIR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Dias 31 a 45</w:t>
            </w:r>
          </w:p>
        </w:tc>
        <w:tc>
          <w:tcPr>
            <w:tcW w:type="dxa" w:w="360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Primeira Auditoria Piloto e Carga do CIR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Relatório da Auditoria Piloto e CIR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Fase 4: Go-Live &amp; Análise Crítica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Dias 46 a 60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Primeira Análise Crítica pela Direção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Ata Assinada pela Alta Direção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19 — Protocolos de Teste e Simulação de Auditoria</w:t>
      </w:r>
    </w:p>
    <w:p>
      <w:pPr>
        <w:spacing w:after="120"/>
      </w:pPr>
      <w:r>
        <w:t>Antes do Go-Live formal, é realizada uma simulação de auditoria interna sob amostragem real de 3 processos do programa, validando a capacidade de extração de evidências, velocidade de preenchimento do formulário CAPA e usabilidade do painel BSC-TI.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20 — Operação Assistida (Hypercare) e Aceite Formais</w:t>
      </w:r>
    </w:p>
    <w:p>
      <w:pPr>
        <w:spacing w:after="80"/>
      </w:pPr>
      <w:r>
        <w:t>O período de operação assistida vigora por 30 dias corridos após o Go-Live. Os critérios formais para aceite e encerramento do Projeto 10 são:</w:t>
      </w:r>
    </w:p>
    <w:p>
      <w:pPr>
        <w:spacing w:after="40"/>
        <w:ind w:left="288"/>
      </w:pPr>
      <w:r>
        <w:t>1) 100% dos relatórios mensais de KPI operando com carga automática.</w:t>
      </w:r>
    </w:p>
    <w:p>
      <w:pPr>
        <w:spacing w:after="40"/>
        <w:ind w:left="288"/>
      </w:pPr>
      <w:r>
        <w:t>2) Realização da primeira auditoria interna formal e cadastro das NCs no GRC.</w:t>
      </w:r>
    </w:p>
    <w:p>
      <w:pPr>
        <w:spacing w:after="120"/>
        <w:ind w:left="288"/>
      </w:pPr>
      <w:r>
        <w:t>3) Realização da primeira Análise Crítica pela Direção com ata assinada pelo C-Level.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21 — Ritos Operacionais e Governança do Método</w:t>
      </w:r>
    </w:p>
    <w:p>
      <w:pPr>
        <w:spacing w:after="80"/>
      </w:pPr>
      <w:r>
        <w:t>A governança continuada do processo é mantida pelos seguintes ritos regulares:</w:t>
      </w:r>
    </w:p>
    <w:p>
      <w:pPr>
        <w:spacing w:after="60"/>
        <w:ind w:left="288"/>
      </w:pPr>
      <w:r>
        <w:rPr>
          <w:b/>
          <w:color w:val="003366"/>
        </w:rPr>
        <w:t xml:space="preserve">• Reunião Mensal de Análise de Métricas (Quality Review): </w:t>
      </w:r>
      <w:r>
        <w:t>Avaliação do Dashboard BSC-TI e estouros de SLA com os Process Owners.</w:t>
      </w:r>
    </w:p>
    <w:p>
      <w:pPr>
        <w:spacing w:after="60"/>
        <w:ind w:left="288"/>
      </w:pPr>
      <w:r>
        <w:rPr>
          <w:b/>
          <w:color w:val="003366"/>
        </w:rPr>
        <w:t xml:space="preserve">• Comitê Trimestral de Acompanhamento do CIR: </w:t>
      </w:r>
      <w:r>
        <w:t>Revisão e priorização das iniciativas do Registro de Melhoria Contínua.</w:t>
      </w:r>
    </w:p>
    <w:p>
      <w:pPr>
        <w:spacing w:after="60"/>
        <w:ind w:left="288"/>
      </w:pPr>
      <w:r>
        <w:rPr>
          <w:b/>
          <w:color w:val="003366"/>
        </w:rPr>
        <w:t xml:space="preserve">• Reunião Semestral de Análise Crítica pela Direção: </w:t>
      </w:r>
      <w:r>
        <w:t>Apresentação do dossiê consolidado de desempenho e auditoria ao CIO e Conselho.</w:t>
      </w:r>
    </w:p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22 — Gestão da Informação Documentada</w:t>
      </w:r>
    </w:p>
    <w:p>
      <w:pPr>
        <w:spacing w:after="120"/>
      </w:pPr>
      <w:r>
        <w:t>Todos os registros de auditoria, atas de análise crítica, relatórios de KPI e formulários CAPA devem ser mantidos em repositório seguro com acesso restrito, possuindo controle de versão e temporalidade mínima de retenção de 7 anos para fins de auditoria regulatória e fiscal.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Capítulo 23 — Considerações Finais e Próximos Passos</w:t>
      </w:r>
    </w:p>
    <w:p>
      <w:pPr>
        <w:spacing w:after="160"/>
      </w:pPr>
      <w:r>
        <w:t>Com a conclusão do Projeto 10, encerra-se o ciclo de documentação estendida dos 10 Projetos de Implementação do Programa Integrado de Governança de TI. A organização passa a contar com um ecossistema completo, maduro, auditável e pronto para execução prática em qualquer ambiente corporativo de médio ou grande porte.</w:t>
      </w:r>
    </w:p>
    <w:p>
      <w:pPr>
        <w:pStyle w:val="Heading1"/>
        <w:keepNext/>
        <w:spacing w:before="360" w:after="160"/>
      </w:pPr>
      <w:r>
        <w:rPr>
          <w:rFonts w:ascii="Calibri" w:hAnsi="Calibri"/>
          <w:b/>
          <w:color w:val="003366"/>
          <w:sz w:val="32"/>
        </w:rPr>
        <w:t>ANEXOS OPERACIONAIS PRÁTICOS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Anexo A — Minuta da Política Corporativa de Avaliação de Desempenho e Auditoria (POL-TI-010)</w:t>
      </w:r>
    </w:p>
    <w:p>
      <w:pPr>
        <w:spacing w:after="160"/>
        <w:ind w:left="288"/>
      </w:pPr>
      <w:r>
        <w:t>POLÍTICA CORPORATIVA DE AVALIAÇÃO DE DESEMPENHO, AUDITORIA E MELHORIA CONTÍNUA (POL-TI-010)</w:t>
        <w:br/>
        <w:t>SEÇÃO I — DO OBJETO E DIRETRIZES GERAIS</w:t>
        <w:br/>
        <w:t>Art. 1º. Esta Política estabelece as regras obrigatórias para monitoramento de desempenho, auditoria interna e melhoria contínua dos serviços e segurança da informação no âmbito de toda a organização.</w:t>
        <w:br/>
        <w:t>Art. 2º. Todos os processos de TI são submetidos obrigatoriamente a medições periódicas automatizadas e auditorias de conformidade.</w:t>
        <w:br/>
        <w:br/>
        <w:t>SEÇÃO II — DAS AUDITORIAS INTERNAS</w:t>
        <w:br/>
        <w:t>Art. 3º. As auditorias internas serão conduzidas de forma independente, segundo os princípios da ABNT NBR ISO 19011.</w:t>
        <w:br/>
        <w:t>Art. 4º. É vedado ao auditor avaliar atividades sob sua gestão direta.</w:t>
        <w:br/>
        <w:br/>
        <w:t>SEÇÃO III — DAS NÃO CONFORMIDADES E CAPA</w:t>
        <w:br/>
        <w:t>Art. 5º. Toda Não Conformidade identificada exige a elaboração de Plano CAPA em até 10 dias úteis e teste de eficácia em 60 dias.</w:t>
        <w:br/>
        <w:br/>
        <w:t>SEÇÃO IV — DA ANÁLISE CRÍTICA PELA DIREÇÃO</w:t>
        <w:br/>
        <w:t>Art. 6º. A Alta Direção realizará semestralmente a Análise Crítica do SGS/SGSI, deliberando sobre recursos e melhorias no CIR.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Anexo B — Plano Anual e Checklist de Auditoria Interna de TI (ISO 19011 / ISO 20000 / ISO 27001)</w:t>
      </w:r>
    </w:p>
    <w:p>
      <w:pPr>
        <w:spacing w:after="80"/>
      </w:pPr>
      <w:r>
        <w:t>Checklist padronizado para condução de auditorias internas nos processos de 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 de Verificação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Requisito Normativo</w:t>
            </w:r>
          </w:p>
        </w:tc>
        <w:tc>
          <w:tcPr>
            <w:tcW w:type="dxa" w:w="288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 Solicitada</w:t>
            </w:r>
          </w:p>
        </w:tc>
        <w:tc>
          <w:tcPr>
            <w:tcW w:type="dxa" w:w="144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(C / NC / OM)</w:t>
            </w:r>
          </w:p>
        </w:tc>
      </w:tr>
      <w:tr>
        <w:tc>
          <w:tcPr>
            <w:tcW w:type="dxa" w:w="288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Aprovação da Política de Segurança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ISO 27001 Cl. 5.2</w:t>
            </w:r>
          </w:p>
        </w:tc>
        <w:tc>
          <w:tcPr>
            <w:tcW w:type="dxa" w:w="288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Ata de aprovação e documento assinado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[  ] Conforme  [  ] NC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Logs de Auditoria de Incidentes P1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ISO 20000-1 Cl. 8.6.1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Relatório Post-Mortem e ata de War Room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[  ] Conforme  [  ] NC</w:t>
            </w:r>
          </w:p>
        </w:tc>
      </w:tr>
      <w:tr>
        <w:tc>
          <w:tcPr>
            <w:tcW w:type="dxa" w:w="288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Aprovações de Mudança no CAB</w:t>
            </w:r>
          </w:p>
        </w:tc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SOX ITGC / ISO 20000</w:t>
            </w:r>
          </w:p>
        </w:tc>
        <w:tc>
          <w:tcPr>
            <w:tcW w:type="dxa" w:w="288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Ata do CAB e registros de RFC no ITSM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[  ] Conforme  [  ] NC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Testes de DRP do Ano Vigente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ISO 22301 / ISO 27001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Laudo de Simulado de Desastre assinado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[  ] Conforme  [  ] NC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Anexo C — Formulário de Registro de Melhoria Contínua (CIR) e Plano CAPA</w:t>
      </w:r>
    </w:p>
    <w:p>
      <w:pPr>
        <w:spacing w:after="160"/>
        <w:ind w:left="288"/>
      </w:pPr>
      <w:r>
        <w:t>FORMULÁRIO DE REGISTRO DE MELHORIA CONTÍNUA (CIR) E PLANO CAPA</w:t>
        <w:br/>
        <w:t>1. IDENTIFICAÇÃO: Código CIR-2026-001 | Data: __/__/2026 | Origem: ( ) Auditoria  ( ) Análise de KPI  ( ) Proposição Espontânea</w:t>
        <w:br/>
        <w:t>2. DESCRIÇÃO DA OPORTUNIDADE / NÃO CONFORMIDADE:</w:t>
        <w:br/>
        <w:t>_____________________________________________________________________________________</w:t>
        <w:br/>
        <w:t>3. ANÁLISE DE CAUSA RAIZ (5 PORQUÊS):</w:t>
        <w:br/>
        <w:t>• Por quê 1: ________________________________________________________________________</w:t>
        <w:br/>
        <w:t>• Por quê 2: ________________________________________________________________________</w:t>
        <w:br/>
        <w:t>• Por quê 3: ________________________________________________________________________</w:t>
        <w:br/>
        <w:t>4. PLANO DE AÇÃO CORRETIVA (CAPA):</w:t>
        <w:br/>
        <w:t>• Ação 1: ________________________ | Resp: ____________ | Prazo: __/__/2026</w:t>
        <w:br/>
        <w:t>• Ação 2: ________________________ | Resp: ____________ | Prazo: __/__/2026</w:t>
        <w:br/>
        <w:t>5. VALIDAÇÃO DE EFICÁCIA (Após 60 dias): ( ) Eficaz  ( ) Ineficaz (Nova Ação Exigida)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Anexo D — Dicionário de Dados e Estrutura do Dashboard BSC-TI</w:t>
      </w:r>
    </w:p>
    <w:p>
      <w:pPr>
        <w:spacing w:after="80"/>
      </w:pPr>
      <w:r>
        <w:t>Estrutura das 4 perspectivas do Dashboard Balanced Scorecard de 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Perspectiva BSC</w:t>
            </w:r>
          </w:p>
        </w:tc>
        <w:tc>
          <w:tcPr>
            <w:tcW w:type="dxa" w:w="3168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Objetivo Medido</w:t>
            </w:r>
          </w:p>
        </w:tc>
        <w:tc>
          <w:tcPr>
            <w:tcW w:type="dxa" w:w="403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Indicadores Incluídos (KPIs)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1. Financeira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Otimização de Custos e ROI de TI</w:t>
            </w:r>
          </w:p>
        </w:tc>
        <w:tc>
          <w:tcPr>
            <w:tcW w:type="dxa" w:w="403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Variância Orçamentária, Economia FinOps, ROI de Projetos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2. Clientes / Negócio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Geração de Valor e Satisfação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CSAT C-Level, SLA Compliance de Serviços Críticos, XLAs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3. Processos Internos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Eficiência Operacional e Qualidade</w:t>
            </w:r>
          </w:p>
        </w:tc>
        <w:tc>
          <w:tcPr>
            <w:tcW w:type="dxa" w:w="403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MTTR, Taxa de Sucesso de Mudanças, FCR, Nível de Incidente P1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4. Aprendizado e Crescimento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Capacidade e Maturidade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Horas de Treinamento/Analista, Cobertura do CIR, Maturidade PAM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708090"/>
          <w:sz w:val="26"/>
        </w:rPr>
        <w:t>Anexo E — Matriz de Capacitação e Treinamento em Auditoria e CSI</w:t>
      </w:r>
    </w:p>
    <w:p>
      <w:pPr>
        <w:spacing w:after="80"/>
      </w:pPr>
      <w:r>
        <w:t>Programa de treinamento e aculturamento em qualidade, auditoria interna e melhoria contínua: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Público Alvo</w:t>
            </w:r>
          </w:p>
        </w:tc>
        <w:tc>
          <w:tcPr>
            <w:tcW w:type="dxa" w:w="2592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Módulo de Treinamento</w:t>
            </w:r>
          </w:p>
        </w:tc>
        <w:tc>
          <w:tcPr>
            <w:tcW w:type="dxa" w:w="1440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Carga Horária</w:t>
            </w:r>
          </w:p>
        </w:tc>
        <w:tc>
          <w:tcPr>
            <w:tcW w:type="dxa" w:w="3168"/>
            <w:shd w:fill="00336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Conteúdo Programático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Auditores Internos de TI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Formação de Auditores sob ISO 19011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16 Horas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Técnicas de amostragem, postura, entrevistas, relatórios e gestão de evidências.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Process Owners / Gestores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Análise de Causa Raiz e Planos CAPA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8 Horas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Metodologias 5 Porquês, Ishikawa, elaboração e validação de eficácia CAPA.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Equipes de Operações / N1-N3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Conscientização em Qualidade e CIR</w:t>
            </w:r>
          </w:p>
        </w:tc>
        <w:tc>
          <w:tcPr>
            <w:tcW w:type="dxa" w:w="144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7"/>
              </w:rPr>
              <w:t>2 Horas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7"/>
              </w:rPr>
              <w:t>Como submeter ideias no CIR, entendimento de SLAs e importância das métricas.</w:t>
            </w:r>
          </w:p>
        </w:tc>
      </w:tr>
    </w:tbl>
    <w:p>
      <w:r>
        <w:t>Nota de planejamento: o roadmap específico de 60 dias é uma estimativa indicativa para estruturar o processo, não uma garantia de conclusão integral. O programa integrado considera implantação inicial em 90 dias e evolução/maturação de até 18 meses. Recalibrar prazos conforme disponibilidade e qualidade dos dados, escopo de auditoria, independência dos auditores, integração de fontes, capacidade de tratamento de não conformidades e agenda da direção.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Página </w:t>
    </w:r>
    <w:fldSimple w:instr="PAGE"/>
    <w:r>
      <w:rPr>
        <w:rFonts w:ascii="Calibri" w:hAnsi="Calibri"/>
        <w:color w:val="808080"/>
        <w:sz w:val="18"/>
      </w:rPr>
      <w:t xml:space="preserve"> | CONFIDENCIAL - USO CORPORATIVO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PROGRAMA INTEGRADO DE GOVERNANÇA DE TI | MANUAL PROJETO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