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8"/>
        </w:rPr>
        <w:t>REGISTRO INTEGRADO DE RISCOS, PREMISSAS E DEPENDÊNCIAS</w:t>
      </w:r>
    </w:p>
    <w:p>
      <w:pPr>
        <w:jc w:val="center"/>
      </w:pPr>
      <w:r>
        <w:rPr>
          <w:b/>
        </w:rPr>
        <w:t>Programa Integrado de Governança, Serviços e Segurança de TI — SGS/SGSI</w:t>
      </w:r>
    </w:p>
    <w:p>
      <w:pPr>
        <w:jc w:val="center"/>
      </w:pPr>
      <w:r>
        <w:rPr>
          <w:i/>
        </w:rPr>
        <w:t>Versão 1.0 | 26/10/2026 | Artefato conceitual para portfólio profissional</w:t>
      </w:r>
    </w:p>
    <w:p>
      <w:pPr>
        <w:pStyle w:val="Heading1"/>
      </w:pPr>
      <w:r>
        <w:t>1. Objetivo e limites</w:t>
      </w:r>
    </w:p>
    <w:p>
      <w:r>
        <w:t>Este registro consolida riscos, premissas e dependências plausíveis para o case conceitual SGS/SGSI. Os itens são hipóteses de planejamento, não riscos identificados em uma organização real, nem evidência de ocorrência, aprovação ou tratamento executado.</w:t>
      </w:r>
    </w:p>
    <w:p>
      <w:r>
        <w:t>As classificações de probabilidade e impacto são avaliações preliminares ilustrativas. Devem ser recalibradas com dados reais, apetite a risco, criticidade dos serviços, controles existentes e responsáveis formais antes de qualquer uso operacional.</w:t>
      </w:r>
    </w:p>
    <w:p>
      <w:r>
        <w:t>Horizonte de referência do programa: até 90 dias para implantação inicial e até 18 meses para evolução/maturação. Cronogramas específicos de 60 dias, quando usados em projetos, são estimativas sujeitas à validação.</w:t>
      </w:r>
    </w:p>
    <w:p>
      <w:pPr>
        <w:pStyle w:val="Heading1"/>
      </w:pPr>
      <w:r>
        <w:t>2. Escalas de avaliação propostas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shd w:fill="D9EAF7"/>
          </w:tcPr>
          <w:p>
            <w:r>
              <w:rPr>
                <w:b/>
                <w:sz w:val="16"/>
              </w:rPr>
              <w:t>Nível</w:t>
            </w:r>
          </w:p>
        </w:tc>
        <w:tc>
          <w:tcPr>
            <w:tcW w:type="dxa" w:w="3600"/>
            <w:shd w:fill="D9EAF7"/>
          </w:tcPr>
          <w:p>
            <w:r>
              <w:rPr>
                <w:b/>
                <w:sz w:val="16"/>
              </w:rPr>
              <w:t>Probabilidade</w:t>
            </w:r>
          </w:p>
        </w:tc>
        <w:tc>
          <w:tcPr>
            <w:tcW w:type="dxa" w:w="3600"/>
            <w:shd w:fill="D9EAF7"/>
          </w:tcPr>
          <w:p>
            <w:r>
              <w:rPr>
                <w:b/>
                <w:sz w:val="16"/>
              </w:rPr>
              <w:t>Impacto</w:t>
            </w:r>
          </w:p>
        </w:tc>
      </w:tr>
      <w:tr>
        <w:tc>
          <w:tcPr>
            <w:tcW w:type="dxa" w:w="3600"/>
          </w:tcPr>
          <w:p>
            <w:r>
              <w:t>Baixo</w:t>
            </w:r>
          </w:p>
        </w:tc>
        <w:tc>
          <w:tcPr>
            <w:tcW w:type="dxa" w:w="3600"/>
          </w:tcPr>
          <w:p>
            <w:r>
              <w:t>Pouco provável no horizonte considerado, conforme evidência a validar.</w:t>
            </w:r>
          </w:p>
        </w:tc>
        <w:tc>
          <w:tcPr>
            <w:tcW w:type="dxa" w:w="3600"/>
          </w:tcPr>
          <w:p>
            <w:r>
              <w:t>Efeito limitado, reversível e sem comprometimento relevante de serviço, segurança, conformidade ou custo.</w:t>
            </w:r>
          </w:p>
        </w:tc>
      </w:tr>
      <w:tr>
        <w:tc>
          <w:tcPr>
            <w:tcW w:type="dxa" w:w="3600"/>
          </w:tcPr>
          <w:p>
            <w:r>
              <w:t>Médio</w:t>
            </w:r>
          </w:p>
        </w:tc>
        <w:tc>
          <w:tcPr>
            <w:tcW w:type="dxa" w:w="3600"/>
          </w:tcPr>
          <w:p>
            <w:r>
              <w:t>Possível; existem condições que podem favorecer sua ocorrência.</w:t>
            </w:r>
          </w:p>
        </w:tc>
        <w:tc>
          <w:tcPr>
            <w:tcW w:type="dxa" w:w="3600"/>
          </w:tcPr>
          <w:p>
            <w:r>
              <w:t>Impacto moderado em prazo, qualidade, custo, experiência ou controle.</w:t>
            </w:r>
          </w:p>
        </w:tc>
      </w:tr>
      <w:tr>
        <w:tc>
          <w:tcPr>
            <w:tcW w:type="dxa" w:w="3600"/>
          </w:tcPr>
          <w:p>
            <w:r>
              <w:t>Alto</w:t>
            </w:r>
          </w:p>
        </w:tc>
        <w:tc>
          <w:tcPr>
            <w:tcW w:type="dxa" w:w="3600"/>
          </w:tcPr>
          <w:p>
            <w:r>
              <w:t>Provável ou com fatores relevantes de exposição presentes.</w:t>
            </w:r>
          </w:p>
        </w:tc>
        <w:tc>
          <w:tcPr>
            <w:tcW w:type="dxa" w:w="3600"/>
          </w:tcPr>
          <w:p>
            <w:r>
              <w:t>Impacto significativo em serviço crítico, segurança, obrigação, continuidade, orçamento ou confiança.</w:t>
            </w:r>
          </w:p>
        </w:tc>
      </w:tr>
    </w:tbl>
    <w:p>
      <w:pPr>
        <w:pStyle w:val="Heading1"/>
      </w:pPr>
      <w:r>
        <w:t>3. Registro inicial de riscos</w:t>
      </w:r>
    </w:p>
    <w:p>
      <w:r>
        <w:t>Os níveis são ilustrativos. “Média” e “Alta” representam avaliações iniciais para discussão, não uma classificação quantitativa derivada de dados.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shd w:fill="D9EAF7"/>
          </w:tcPr>
          <w:p>
            <w:r>
              <w:rPr>
                <w:b/>
                <w:sz w:val="13"/>
              </w:rPr>
              <w:t>ID / risco</w:t>
            </w:r>
          </w:p>
        </w:tc>
        <w:tc>
          <w:tcPr>
            <w:tcW w:type="dxa" w:w="1543"/>
            <w:shd w:fill="D9EAF7"/>
          </w:tcPr>
          <w:p>
            <w:r>
              <w:rPr>
                <w:b/>
                <w:sz w:val="13"/>
              </w:rPr>
              <w:t>Escopo</w:t>
            </w:r>
          </w:p>
        </w:tc>
        <w:tc>
          <w:tcPr>
            <w:tcW w:type="dxa" w:w="1543"/>
            <w:shd w:fill="D9EAF7"/>
          </w:tcPr>
          <w:p>
            <w:r>
              <w:rPr>
                <w:b/>
                <w:sz w:val="13"/>
              </w:rPr>
              <w:t>P/I inicial</w:t>
            </w:r>
          </w:p>
        </w:tc>
        <w:tc>
          <w:tcPr>
            <w:tcW w:type="dxa" w:w="1543"/>
            <w:shd w:fill="D9EAF7"/>
          </w:tcPr>
          <w:p>
            <w:r>
              <w:rPr>
                <w:b/>
                <w:sz w:val="13"/>
              </w:rPr>
              <w:t>Impacto potencial</w:t>
            </w:r>
          </w:p>
        </w:tc>
        <w:tc>
          <w:tcPr>
            <w:tcW w:type="dxa" w:w="1543"/>
            <w:shd w:fill="D9EAF7"/>
          </w:tcPr>
          <w:p>
            <w:r>
              <w:rPr>
                <w:b/>
                <w:sz w:val="13"/>
              </w:rPr>
              <w:t>Resposta proposta</w:t>
            </w:r>
          </w:p>
        </w:tc>
        <w:tc>
          <w:tcPr>
            <w:tcW w:type="dxa" w:w="1543"/>
            <w:shd w:fill="D9EAF7"/>
          </w:tcPr>
          <w:p>
            <w:r>
              <w:rPr>
                <w:b/>
                <w:sz w:val="13"/>
              </w:rPr>
              <w:t>Responsável proposto</w:t>
            </w:r>
          </w:p>
        </w:tc>
        <w:tc>
          <w:tcPr>
            <w:tcW w:type="dxa" w:w="1543"/>
            <w:shd w:fill="D9EAF7"/>
          </w:tcPr>
          <w:p>
            <w:r>
              <w:rPr>
                <w:b/>
                <w:sz w:val="13"/>
              </w:rPr>
              <w:t>Indicador de acompanhamento / observação</w:t>
            </w:r>
          </w:p>
        </w:tc>
      </w:tr>
      <w:tr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R-01</w:t>
              <w:br/>
              <w:t>Escopo excessivo para a capacidade disponível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Programa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Média / Alto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Atraso, execução superficial e competição por recursos.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Fatiar entregas; priorizar serviços críticos; validar capacidade e patrocinador.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Líder do programa + patrocinador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Roadmap e capacidade validados; marcos replanejados.</w:t>
              <w:br/>
              <w:t>Risco de planejamento; sem avaliação organizacional real.</w:t>
            </w:r>
          </w:p>
        </w:tc>
      </w:tr>
      <w:tr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R-02</w:t>
              <w:br/>
              <w:t>Dependência de dados incompletos ou inconsistentes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Todos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Alta / Alto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KPIs pouco confiáveis, inventário divergente e decisões inadequadas.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Definir proprietários de dados, regras de qualidade, reconciliação e baseline.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Gestores de processo/dados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Fontes e regras de qualidade documentadas; divergências acompanhadas.</w:t>
              <w:br/>
              <w:t>Probabilidade/impacto ilustrativos.</w:t>
            </w:r>
          </w:p>
        </w:tc>
      </w:tr>
      <w:tr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R-03</w:t>
              <w:br/>
              <w:t>Baixa adesão dos usuários e equipes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Todos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Média / Alto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Uso de canais paralelos, baixa adoção e processos contornados.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Plano de comunicação, capacitação, feedback e acompanhamento da adoção.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Líder do programa + gestão de mudança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Participação, feedback e adoção medidos com método definido.</w:t>
              <w:br/>
              <w:t>Depende de contexto cultural e operacional.</w:t>
            </w:r>
          </w:p>
        </w:tc>
      </w:tr>
      <w:tr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R-04</w:t>
              <w:br/>
              <w:t>Papéis e alçadas de decisão ambíguos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Governança / Mudanças / Segurança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Média / Alto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Atrasos, aprovações conflitantes e lacunas de accountability.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Validar RACI, autoridades, substitutos, escalonamentos e segregação.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Patrocinador + donos de processo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Matriz aprovada pela autoridade competente (se aplicável ao cenário real).</w:t>
              <w:br/>
              <w:t>No case, matriz é proposta não aprovada.</w:t>
            </w:r>
          </w:p>
        </w:tc>
      </w:tr>
      <w:tr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R-05</w:t>
              <w:br/>
              <w:t>Cronogramas locais incompatíveis com o roadmap integrado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Roadmap / projetos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Média / Alto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Conflitos de dependências e expectativas de prazo irreais.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Harmonizar 90 dias de implantação inicial e maturação até 18 meses; tratar 60 dias como estimativa local.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Líder do programa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Cronogramas e dependências conciliados no roadmap.</w:t>
              <w:br/>
              <w:t>Ponto de controle editorial identificado.</w:t>
            </w:r>
          </w:p>
        </w:tc>
      </w:tr>
      <w:tr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R-06</w:t>
              <w:br/>
              <w:t>Mudança mal avaliada causa indisponibilidade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Mudanças / Incidentes / Continuidade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Média / Alto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Falha de serviço, rollback, perda de dados ou impacto em usuários.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Classificação por risco; testes; janela; autorização; plano de rollback; validação pós-mudança.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Gestor de Mudanças + dono do serviço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Registros completos, critérios de sucesso e revisão pós-implementação.</w:t>
              <w:br/>
              <w:t>Não implica ocorrência real.</w:t>
            </w:r>
          </w:p>
        </w:tc>
      </w:tr>
      <w:tr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R-07</w:t>
              <w:br/>
              <w:t>Automação destrutiva executada sem validação suficiente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Ativos / Segurança / Operação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Baixa a Média / Alto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Exclusão, bloqueio, alteração ou interrupção indevida.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Detectar → notificar → janela de correção → validar proprietário/criticidade → aprovar/executar → rollback/recuperação → trilha auditável.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Operação + Segurança + dono do serviço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Teste seguro, autorização rastreável e recuperação testada.</w:t>
              <w:br/>
              <w:t>Probabilidade deve ser recalibrada conforme desenho técnico.</w:t>
            </w:r>
          </w:p>
        </w:tc>
      </w:tr>
      <w:tr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R-08</w:t>
              <w:br/>
              <w:t>Incidentes recorrentes não geram análise de causa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Incidentes / Problemas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Média / Médio a Alto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Reincidência, esforço operacional e degradação de serviço.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Critérios de abertura de problema, análise de causa, KEDB e validação da solução.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Gestor de Problemas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Tendência de recorrência e eficácia das ações acompanhadas.</w:t>
              <w:br/>
              <w:t>Indicadores dependem de taxonomia consistente.</w:t>
            </w:r>
          </w:p>
        </w:tc>
      </w:tr>
      <w:tr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R-09</w:t>
              <w:br/>
              <w:t>Metas de KPI definidas sem baseline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Desempenho / todos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Alta / Médio a Alto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Metas arbitrárias, comportamento disfuncional e reporte enganoso.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Estabelecer baseline, fórmula, fonte, tolerância e janela antes de fixar metas.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Dono do KPI + governança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Definições versionadas e baseline validada.</w:t>
              <w:br/>
              <w:t>As metas atuais permanecem a estabelecer.</w:t>
            </w:r>
          </w:p>
        </w:tc>
      </w:tr>
      <w:tr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R-10</w:t>
              <w:br/>
              <w:t>Referências normativas interpretadas incorretamente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SGSI / Continuidade / Auditoria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Média / Alto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Controles inadequados ou alegações infundadas de conformidade.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Verificar edição oficial, escopo, aplicabilidade e interpretação com competência técnica/jurídica apropriada.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Segurança + Compliance/Risco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Referências e justificativas documentadas; sem alegação sem evidência.</w:t>
              <w:br/>
              <w:t>Referências do case são de trabalho.</w:t>
            </w:r>
          </w:p>
        </w:tc>
      </w:tr>
      <w:tr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R-11</w:t>
              <w:br/>
              <w:t>Evidências simuladas confundidas com evidências reais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Documentação / Auditoria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Média / Alto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Perda de credibilidade ou representação enganosa de execução.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Rotular dados e artefatos ilustrativos; separar modelo, plano, evidência de teste e evidência operacional.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Dono documental + revisor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Rótulos claros e índice documental atualizado.</w:t>
              <w:br/>
              <w:t>Controle editorial central do portfólio.</w:t>
            </w:r>
          </w:p>
        </w:tc>
      </w:tr>
      <w:tr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R-12</w:t>
              <w:br/>
              <w:t>Custos e ROI calculados com premissas frágeis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FinOps / programa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Média / Alto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Decisão financeira inadequada ou promessa de benefício não demonstrada.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Centralizar premissas; testar cenários; separar estimativa, orçamento aprovado e benefício realizado.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Finanças/FinOps + patrocinador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Premissas rastreáveis, análise de sensibilidade e validação financeira.</w:t>
              <w:br/>
              <w:t>Valores do case são estimativas quando assim indicados.</w:t>
            </w:r>
          </w:p>
        </w:tc>
      </w:tr>
      <w:tr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R-13</w:t>
              <w:br/>
              <w:t>Fornecedor crítico não atende níveis ou obrigações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Fornecedores / serviços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Média / Alto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Indisponibilidade, risco contratual e dependência excessiva.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Segmentar criticidade, monitorar SLA, revisar continuidade e planos de ação.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Gestor de Fornecedores + dono do serviço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Avaliações periódicas e ações de fornecedor acompanhadas.</w:t>
              <w:br/>
              <w:t>Necessita dados contratuais reais para classificação.</w:t>
            </w:r>
          </w:p>
        </w:tc>
      </w:tr>
      <w:tr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R-14</w:t>
              <w:br/>
              <w:t>Recuperação de desastre não atende RTO/RPO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Continuidade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Baixa a Média / Alto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Interrupção prolongada e perda de dados além da tolerância.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Definir RTO/RPO com negócio; testar restauração e recuperação; tratar falhas e repetir testes.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Gestor de Continuidade + negócio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Testes evidenciados e critérios de recuperação atingidos.</w:t>
              <w:br/>
              <w:t>Não assumir sucesso antes de teste.</w:t>
            </w:r>
          </w:p>
        </w:tc>
      </w:tr>
      <w:tr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R-15</w:t>
              <w:br/>
              <w:t>Inventário/CMDB desatualizado afeta decisões e resposta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Ativos / Mudanças / Segurança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Média / Alto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Ativos não gerenciados, impacto desconhecido e resposta lenta.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Definir escopo, proprietário, reconciliação e gatilhos de atualização.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Gestor de Ativos/Configuração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Acurácia e cobertura medidas com amostragem definida.</w:t>
              <w:br/>
              <w:t>Baseline ainda a estabelecer.</w:t>
            </w:r>
          </w:p>
        </w:tc>
      </w:tr>
      <w:tr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R-16</w:t>
              <w:br/>
              <w:t>Consumo tecnológico excede previsão ou capacidade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FinOps / capacidade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Média / Médio a Alto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Custos inesperados, degradação ou falta de capacidade.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Alertas, previsão, análise de tendências, orçamento e limites de consumo com exceções controladas.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FinOps + gestor de capacidade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Desvios analisados e planos de ação registrados.</w:t>
              <w:br/>
              <w:t>Depende de dados de consumo.</w:t>
            </w:r>
          </w:p>
        </w:tc>
      </w:tr>
      <w:tr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R-17</w:t>
              <w:br/>
              <w:t>Conflito entre rapidez de entrega e controles de segurança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Mudanças / DevOps / SGSI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Média / Alto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Controles ignorados ou mudanças excessivamente lentas.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Controles proporcionais ao risco; automação de verificações; exceções temporárias aprovadas e revisadas.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Gestor de Mudanças + Segurança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Evidência de controle e tempo de fluxo acompanhados em conjunto.</w:t>
              <w:br/>
              <w:t>Não resolver com isenção geral de controle.</w:t>
            </w:r>
          </w:p>
        </w:tc>
      </w:tr>
      <w:tr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R-18</w:t>
              <w:br/>
              <w:t>Ações corretivas ficam abertas além do prazo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CSI / Auditoria / Segurança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Média / Médio a Alto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Risco permanece sem tratamento e achados se repetem.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Dono e prazo por ação; escalonamento por criticidade; validação de eficácia antes do encerramento.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Dono da ação + governança</w:t>
            </w:r>
          </w:p>
        </w:tc>
        <w:tc>
          <w:tcPr>
            <w:tcW w:type="dxa" w:w="1543"/>
            <w:vAlign w:val="top"/>
          </w:tcPr>
          <w:p>
            <w:pPr>
              <w:spacing w:after="0"/>
            </w:pPr>
            <w:r>
              <w:rPr>
                <w:sz w:val="12"/>
              </w:rPr>
              <w:t>Ações vencidas, risco residual e eficácia reportados.</w:t>
              <w:br/>
              <w:t>Auditoria acompanha com independência apropriada.</w:t>
            </w:r>
          </w:p>
        </w:tc>
      </w:tr>
    </w:tbl>
    <w:p>
      <w:pPr>
        <w:pStyle w:val="Heading1"/>
      </w:pPr>
      <w:r>
        <w:t>4. Registro de premissas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b/>
                <w:sz w:val="14"/>
              </w:rPr>
              <w:t>ID / premissa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  <w:sz w:val="14"/>
              </w:rPr>
              <w:t>Premissa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  <w:sz w:val="14"/>
              </w:rPr>
              <w:t>Por que importa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  <w:sz w:val="14"/>
              </w:rPr>
              <w:t>Status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  <w:sz w:val="14"/>
              </w:rPr>
              <w:t>Responsável por validar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P-01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Patrocínio e autoridade decisória serão designados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Necessário para decisões transversais, prioridade e resolução de conflitos.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A confirmar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Patrocinador / governança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P-02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Serviços e ativos críticos terão critérios de criticidade definidos pelo negócio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Base para prioridade, continuidade, segurança e exceções.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A validar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Negócio + donos de serviço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P-03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Haverá acesso autorizado a fontes de dados de ITSM, inventário, monitoramento, finanças e fornecedores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Necessário para baseline e KPIs; acesso sujeito a segurança e privacidade.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A validar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Proprietários de dados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P-04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A implantação inicial será planejada para até 90 dias, com maturação até 18 meses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Horizonte de referência do programa; sujeito a capacidade e dependências.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Premissa do case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Líder do programa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P-05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Planos locais de 60 dias são estimativas, não prazo universal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Ajustar conforme escopo, criticidade, recursos e dependências.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Premissa do case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Gestores de projeto/processo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P-06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Metas de KPI serão definidas após baseline e validação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Evita metas arbitrárias ou alegações sem evidência.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Regra de governança proposta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Donos dos KPIs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P-07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As normas e frameworks serão usados como referências de trabalho até verificação de edição e aplicabilidade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Evita afirmar conformidade sem avaliação e evidência.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Regra de governança proposta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Segurança / Compliance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P-08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Registros, resultados e dados de exemplo no portfólio serão identificados como simulados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Mantém distinção entre projeto conceitual e execução real.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Premissa do case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Dono documental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P-09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As equipes terão capacidade para participar de desenho, testes e capacitação, após priorização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Pode exigir ajuste de escopo ou faseamento se a capacidade for limitada.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A validar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Gestores funcionais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P-10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Decisões financeiras e de ROI exigirão premissas rastreáveis e validação financeira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Separar projeção, orçamento aprovado e benefício realizado.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Regra de governança proposta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Finanças / patrocinador</w:t>
            </w:r>
          </w:p>
        </w:tc>
      </w:tr>
    </w:tbl>
    <w:p>
      <w:pPr>
        <w:pStyle w:val="Heading1"/>
      </w:pPr>
      <w:r>
        <w:t>5. Registro de dependências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b/>
                <w:sz w:val="14"/>
              </w:rPr>
              <w:t>ID / dependência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  <w:sz w:val="14"/>
              </w:rPr>
              <w:t>Pré-requisito / entrada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  <w:sz w:val="14"/>
              </w:rPr>
              <w:t>Dependência para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  <w:sz w:val="14"/>
              </w:rPr>
              <w:t>Responsável proposto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  <w:sz w:val="14"/>
              </w:rPr>
              <w:t>Controle / observação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D-01</w:t>
              <w:br/>
              <w:t>Documento Mestre e governança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Definição de escopo, objetivos, princípios e alçadas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Roadmap e todos os projetos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Patrocinador / líder do programa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Confirmar escopo e autoridade antes de fechar prioridades.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D-02</w:t>
              <w:br/>
              <w:t>Roadmap consolidado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Sequenciamento, marcos e capacidade compartilhada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Todos os projetos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Líder do programa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Harmonizar horizonte de 90 dias e maturação até 18 meses.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D-03</w:t>
              <w:br/>
              <w:t>Catálogo e criticidade de serviços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Serviços, donos, usuários, dependências e impacto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SLA, incidentes, continuidade, segurança, capacidade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Donos de serviço / negócio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Sem catálogo confiável, SLA e prioridade podem ser inconsistentes.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D-04</w:t>
              <w:br/>
              <w:t>Inventário ITAM/CMDB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Ativos, relacionamentos e criticidade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Mudanças, incidentes, segurança, continuidade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Gestor de Ativos/Configuração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Definir escopo, reconciliação e qualidade mínima.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D-05</w:t>
              <w:br/>
              <w:t>ITSM e taxonomia de registros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Categorias, prioridades, estados, timestamps e vínculo de registros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Incidentes, problemas, mudanças, KPIs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Gestores de processo / ferramenta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Definir taxonomia antes de comparar métricas.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D-06</w:t>
              <w:br/>
              <w:t>Fontes e dicionário de KPIs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Fórmulas, fontes, baseline, donos e regras de qualidade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Projeto 10 e reportes de todos os projetos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Donos dos KPIs / dados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Metas dependem de baseline validada.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D-07</w:t>
              <w:br/>
              <w:t>RACI e glossário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Papéis, termos e autoridade consistente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Todos os documentos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Líder do programa / governança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Validar a matriz antes de atribuir responsabilidade formal.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D-08</w:t>
              <w:br/>
              <w:t>Avaliação de risco e controles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Criticidade, ameaças, controles e aceites de risco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SGSI, mudanças, continuidade, fornecedores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Segurança / risco / negócio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Requisitos devem refletir contexto e obrigações reais.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D-09</w:t>
              <w:br/>
              <w:t>Requisitos de continuidade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BIA, RTO/RPO, estratégia e validação do negócio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Projeto 05, serviços críticos, fornecedores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Negócio + continuidade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RTO/RPO não devem ser presumidos pelo time de TI isoladamente.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D-10</w:t>
              <w:br/>
              <w:t>Contratos e dados de fornecedores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SLA, obrigações, dependências e planos de continuidade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Projeto 08, SLM, continuidade, FinOps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Gestor de fornecedor / jurídico / negócio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Exige análise contratual e validação apropriada.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D-11</w:t>
              <w:br/>
              <w:t>Dados financeiros e consumo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Faturas, custos, previsão, tags/alocação e unidades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FinOps, capacidade, ROI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Finanças / FinOps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Comparar períodos e escopos equivalentes.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D-12</w:t>
              <w:br/>
              <w:t>Plano de comunicação e capacitação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Públicos, mensagens, calendário, materiais e feedback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Adoção de processos em todos os projetos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Gestão da mudança / líderes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Coordenar com marcos e janelas operacionais.</w:t>
            </w:r>
          </w:p>
        </w:tc>
      </w:tr>
      <w:tr>
        <w:tc>
          <w:tcPr>
            <w:tcW w:type="dxa" w:w="2160"/>
          </w:tcPr>
          <w:p>
            <w:r>
              <w:rPr>
                <w:sz w:val="14"/>
              </w:rPr>
              <w:t>D-13</w:t>
              <w:br/>
              <w:t>Teste e evidência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Critérios, ambiente, aprovação, logs, rollback e aceite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Mudanças, segurança, continuidade, auditoria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Donos de processo / segurança / negócio</w:t>
            </w:r>
          </w:p>
        </w:tc>
        <w:tc>
          <w:tcPr>
            <w:tcW w:type="dxa" w:w="2160"/>
          </w:tcPr>
          <w:p>
            <w:r>
              <w:rPr>
                <w:sz w:val="14"/>
              </w:rPr>
              <w:t>Definir critérios antes de executar testes.</w:t>
            </w:r>
          </w:p>
        </w:tc>
      </w:tr>
    </w:tbl>
    <w:p>
      <w:pPr>
        <w:pStyle w:val="Heading1"/>
      </w:pPr>
      <w:r>
        <w:t>6. Cadência de revisão e escalonamento</w:t>
      </w:r>
    </w:p>
    <w:p>
      <w:pPr>
        <w:pStyle w:val="ListBullet"/>
      </w:pPr>
      <w:r>
        <w:t>Revisão inicial proposta: quinzenal durante a implantação inicial; mensal durante a maturação, ajustada à criticidade e ao ritmo do programa.</w:t>
      </w:r>
    </w:p>
    <w:p>
      <w:pPr>
        <w:pStyle w:val="ListBullet"/>
      </w:pPr>
      <w:r>
        <w:t>Escalonar imediatamente riscos com potencial de afetar serviço crítico, segurança, privacidade, obrigação legal/contratual ou integridade de dados, conforme o fluxo formal definido.</w:t>
      </w:r>
    </w:p>
    <w:p>
      <w:pPr>
        <w:pStyle w:val="ListBullet"/>
      </w:pPr>
      <w:r>
        <w:t>Cada risco ativo deve ter dono, resposta, prazo, indicador de alerta e decisão documentada sobre risco residual.</w:t>
      </w:r>
    </w:p>
    <w:p>
      <w:pPr>
        <w:pStyle w:val="ListBullet"/>
      </w:pPr>
      <w:r>
        <w:t>Riscos aceitos devem registrar autoridade competente, justificativa, prazo de validade e condições de reavaliação.</w:t>
      </w:r>
    </w:p>
    <w:p>
      <w:pPr>
        <w:pStyle w:val="ListBullet"/>
      </w:pPr>
      <w:r>
        <w:t>Premissas invalidadas devem gerar avaliação de impacto no roadmap, escopo, custo, cronograma e indicadores.</w:t>
      </w:r>
    </w:p>
    <w:p>
      <w:pPr>
        <w:pStyle w:val="ListBullet"/>
      </w:pPr>
      <w:r>
        <w:t>Dependências atrasadas devem ser registradas com responsável, data necessária, impacto e plano alternativo.</w:t>
      </w:r>
    </w:p>
    <w:p>
      <w:pPr>
        <w:pStyle w:val="Heading1"/>
      </w:pPr>
      <w:r>
        <w:t>7. Histórico e status documental</w:t>
      </w:r>
    </w:p>
    <w:p>
      <w:r>
        <w:t>Versão 1.0 — primeira consolidação conceitual de riscos, premissas e dependências. As avaliações são ilustrativas e devem ser validadas; nenhum item representa por si só um risco real confirmado, ação executada ou aprovação organizacional.</w:t>
      </w:r>
    </w:p>
    <w:sectPr w:rsidR="00FC693F" w:rsidRPr="0006063C" w:rsidSect="00034616">
      <w:footerReference w:type="default" r:id="rId9"/>
      <w:pgSz w:w="12240" w:h="15840"/>
      <w:pgMar w:top="864" w:right="720" w:bottom="86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SGS/SGSI | Registro Integrado de Riscos, Premissas e Dependências | v1.0 | Case conceitual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