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REVISÃO TRANSVERSAL DO ACERVO SGS / SGSI</w:t>
      </w:r>
    </w:p>
    <w:p>
      <w:r>
        <w:rPr>
          <w:b/>
        </w:rPr>
        <w:t>Versão 1.0 — análise de consistência documental e governança</w:t>
      </w:r>
    </w:p>
    <w:p>
      <w:r>
        <w:rPr>
          <w:b/>
        </w:rPr>
        <w:t xml:space="preserve">Natureza da revisão: </w:t>
      </w:r>
      <w:r>
        <w:t>análise preliminar dos arquivos revisados do Documento Mestre, Roadmap Consolidado, Diagnóstico Executivo e Projetos 01 a 10. Este relatório não representa auditoria de conformidade, validação normativa independente nem aprovação organizacional.</w:t>
      </w:r>
    </w:p>
    <w:p>
      <w:pPr>
        <w:pStyle w:val="Heading1"/>
      </w:pPr>
      <w:r>
        <w:t>1. Síntese executiva</w:t>
      </w:r>
    </w:p>
    <w:p>
      <w:r>
        <w:t>O acervo apresenta uma arquitetura lógica de processos de TI e uma sequência de projetos que cobrem operação, segurança, continuidade, ativos, fornecedores, FinOps e melhoria contínua. A revisão individual dos documentos incorporou ressalvas de case simulado em vários manuais operacionais. A principal oportunidade agora é uniformizar o controle editorial e consolidar dependências, cronogramas, critérios de aceite e terminologia entre os artefatos.</w:t>
      </w:r>
    </w:p>
    <w:p>
      <w:r>
        <w:t>Prioridade geral recomendada: alta para resolver a distinção entre “aprovado” como status editorial e “aprovado” como exemplo de fluxo; alta para harmonizar o horizonte de 90 dias/18 meses com os planos de processo de 60 dias; média para padronizar nomenclaturas, referências e critérios de indicadores.</w:t>
      </w:r>
    </w:p>
    <w:p>
      <w:pPr>
        <w:pStyle w:val="Heading1"/>
      </w:pPr>
      <w:r>
        <w:t>2. Achados transversais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tcPr>
          <w:p>
            <w:r>
              <w:rPr>
                <w:b/>
              </w:rPr>
              <w:t>Prioridade</w:t>
            </w:r>
          </w:p>
        </w:tc>
        <w:tc>
          <w:tcPr>
            <w:tcW w:type="dxa" w:w="1944"/>
          </w:tcPr>
          <w:p>
            <w:r>
              <w:rPr>
                <w:b/>
              </w:rPr>
              <w:t>Achado</w:t>
            </w:r>
          </w:p>
        </w:tc>
        <w:tc>
          <w:tcPr>
            <w:tcW w:type="dxa" w:w="3312"/>
          </w:tcPr>
          <w:p>
            <w:r>
              <w:rPr>
                <w:b/>
              </w:rPr>
              <w:t>Evidência/risco documental</w:t>
            </w:r>
          </w:p>
        </w:tc>
        <w:tc>
          <w:tcPr>
            <w:tcW w:type="dxa" w:w="3744"/>
          </w:tcPr>
          <w:p>
            <w:r>
              <w:rPr>
                <w:b/>
              </w:rPr>
              <w:t>Recomendação</w:t>
            </w:r>
          </w:p>
        </w:tc>
      </w:tr>
      <w:tr>
        <w:tc>
          <w:tcPr>
            <w:tcW w:type="dxa" w:w="936"/>
            <w:vAlign w:val="top"/>
          </w:tcPr>
          <w:p>
            <w:r>
              <w:t>Alta</w:t>
            </w:r>
          </w:p>
        </w:tc>
        <w:tc>
          <w:tcPr>
            <w:tcW w:type="dxa" w:w="1944"/>
            <w:vAlign w:val="top"/>
          </w:tcPr>
          <w:p>
            <w:r>
              <w:t>Cronogramas locais de 60 dias versus horizonte do programa</w:t>
            </w:r>
          </w:p>
        </w:tc>
        <w:tc>
          <w:tcPr>
            <w:tcW w:type="dxa" w:w="3312"/>
            <w:vAlign w:val="top"/>
          </w:tcPr>
          <w:p>
            <w:r>
              <w:t>Diversos projetos mantêm roadmaps de 60 dias, enquanto a convenção geral do programa é implantação inicial em 90 dias e evolução/maturação de até 18 meses.</w:t>
            </w:r>
          </w:p>
        </w:tc>
        <w:tc>
          <w:tcPr>
            <w:tcW w:type="dxa" w:w="3744"/>
            <w:vAlign w:val="top"/>
          </w:tcPr>
          <w:p>
            <w:r>
              <w:t>Padronizar a redação em todos os projetos: “plano específico de 60 dias é estimativo e cobre atividades iniciais do processo; o programa integrado prevê implantação inicial em 90 dias e maturação de até 18 meses”. Inserir marcos, dependências e critérios de saída.</w:t>
            </w:r>
          </w:p>
        </w:tc>
      </w:tr>
      <w:tr>
        <w:tc>
          <w:tcPr>
            <w:tcW w:type="dxa" w:w="936"/>
            <w:vAlign w:val="top"/>
          </w:tcPr>
          <w:p>
            <w:r>
              <w:t>Alta</w:t>
            </w:r>
          </w:p>
        </w:tc>
        <w:tc>
          <w:tcPr>
            <w:tcW w:type="dxa" w:w="1944"/>
            <w:vAlign w:val="top"/>
          </w:tcPr>
          <w:p>
            <w:r>
              <w:t>Uso residual da palavra “aprovado” em documentos simulados</w:t>
            </w:r>
          </w:p>
        </w:tc>
        <w:tc>
          <w:tcPr>
            <w:tcW w:type="dxa" w:w="3312"/>
            <w:vAlign w:val="top"/>
          </w:tcPr>
          <w:p>
            <w:r>
              <w:t>A busca textual encontrou ocorrências de “aprovado” em todos ou quase todos os projetos, incluindo manuais que agora incluem nota de case simulado. Parte pode estar em modelos de formulário, estados de fluxo, critérios de aprovação ou exemplos históricos; uma busca textual isolada não permite distinguir todos os casos.</w:t>
            </w:r>
          </w:p>
        </w:tc>
        <w:tc>
          <w:tcPr>
            <w:tcW w:type="dxa" w:w="3744"/>
            <w:vAlign w:val="top"/>
          </w:tcPr>
          <w:p>
            <w:r>
              <w:t>Executar revisão final por ocorrência e classificar cada uma como: (a) exemplo hipotético; (b) aprovação futura requerida; (c) status real comprovado. Onde for exemplo, marcar “exemplo ilustrativo — não comprova aprovação real”; onde for condição de aceite, usar “requer aprovação formal”.</w:t>
            </w:r>
          </w:p>
        </w:tc>
      </w:tr>
      <w:tr>
        <w:tc>
          <w:tcPr>
            <w:tcW w:type="dxa" w:w="936"/>
            <w:vAlign w:val="top"/>
          </w:tcPr>
          <w:p>
            <w:r>
              <w:t>Alta</w:t>
            </w:r>
          </w:p>
        </w:tc>
        <w:tc>
          <w:tcPr>
            <w:tcW w:type="dxa" w:w="1944"/>
            <w:vAlign w:val="top"/>
          </w:tcPr>
          <w:p>
            <w:r>
              <w:t>Status documental e histórico de versões</w:t>
            </w:r>
          </w:p>
        </w:tc>
        <w:tc>
          <w:tcPr>
            <w:tcW w:type="dxa" w:w="3312"/>
            <w:vAlign w:val="top"/>
          </w:tcPr>
          <w:p>
            <w:r>
              <w:t>O Documento Mestre e o Diagnóstico se identificam como case conceitual, mas o Roadmap e alguns manuais podem manter registros ou tabelas com datas, autores, aprovadores e “publicação institucional” em formato que pareça histórico real.</w:t>
            </w:r>
          </w:p>
        </w:tc>
        <w:tc>
          <w:tcPr>
            <w:tcW w:type="dxa" w:w="3744"/>
            <w:vAlign w:val="top"/>
          </w:tcPr>
          <w:p>
            <w:r>
              <w:t>Aplicar um padrão único: versão do arquivo revisado, natureza “case conceitual”; datas/autores/aprovadores ilustrativos explicitamente marcados; status “minuta para avaliação — não aprovada”, salvo evidência real documentada.</w:t>
            </w:r>
          </w:p>
        </w:tc>
      </w:tr>
      <w:tr>
        <w:tc>
          <w:tcPr>
            <w:tcW w:type="dxa" w:w="936"/>
            <w:vAlign w:val="top"/>
          </w:tcPr>
          <w:p>
            <w:r>
              <w:t>Alta</w:t>
            </w:r>
          </w:p>
        </w:tc>
        <w:tc>
          <w:tcPr>
            <w:tcW w:type="dxa" w:w="1944"/>
            <w:vAlign w:val="top"/>
          </w:tcPr>
          <w:p>
            <w:r>
              <w:t>Referências normativas e afirmações de conformidade</w:t>
            </w:r>
          </w:p>
        </w:tc>
        <w:tc>
          <w:tcPr>
            <w:tcW w:type="dxa" w:w="3312"/>
            <w:vAlign w:val="top"/>
          </w:tcPr>
          <w:p>
            <w:r>
              <w:t>Os documentos listam normas, frameworks, controles e cláusulas. A listagem, por si só, não demonstra conformidade nem confirma que toda cláusula citada é aplicável ao contexto.</w:t>
            </w:r>
          </w:p>
        </w:tc>
        <w:tc>
          <w:tcPr>
            <w:tcW w:type="dxa" w:w="3744"/>
            <w:vAlign w:val="top"/>
          </w:tcPr>
          <w:p>
            <w:r>
              <w:t>Padronizar a frase: “referências de trabalho; validar edição, cláusulas, aplicabilidade e interpretação com responsáveis técnicos/jurídicos”. Evitar “conforme”, “garante” e “100% de conformidade” sem evidência e escopo de avaliação.</w:t>
            </w:r>
          </w:p>
        </w:tc>
      </w:tr>
      <w:tr>
        <w:tc>
          <w:tcPr>
            <w:tcW w:type="dxa" w:w="936"/>
            <w:vAlign w:val="top"/>
          </w:tcPr>
          <w:p>
            <w:r>
              <w:t>Média</w:t>
            </w:r>
          </w:p>
        </w:tc>
        <w:tc>
          <w:tcPr>
            <w:tcW w:type="dxa" w:w="1944"/>
            <w:vAlign w:val="top"/>
          </w:tcPr>
          <w:p>
            <w:r>
              <w:t>Indicadores, fórmulas e metas</w:t>
            </w:r>
          </w:p>
        </w:tc>
        <w:tc>
          <w:tcPr>
            <w:tcW w:type="dxa" w:w="3312"/>
            <w:vAlign w:val="top"/>
          </w:tcPr>
          <w:p>
            <w:r>
              <w:t>Há metas numéricas de SLA, CSAT, acurácia, CAPA, cobertura, MTTD/MTTR e otimização. Sem linha de base, definição de escopo e fonte, não devem ser tratadas como desempenho observado.</w:t>
            </w:r>
          </w:p>
        </w:tc>
        <w:tc>
          <w:tcPr>
            <w:tcW w:type="dxa" w:w="3744"/>
            <w:vAlign w:val="top"/>
          </w:tcPr>
          <w:p>
            <w:r>
              <w:t>Criar dicionário central de indicadores com nome, finalidade, fórmula, unidade, fonte, periodicidade, proprietário, segmentação, baseline, meta, tolerância, exceções e evidência. Distinguir “meta proposta” de “resultado medido”.</w:t>
            </w:r>
          </w:p>
        </w:tc>
      </w:tr>
      <w:tr>
        <w:tc>
          <w:tcPr>
            <w:tcW w:type="dxa" w:w="936"/>
            <w:vAlign w:val="top"/>
          </w:tcPr>
          <w:p>
            <w:r>
              <w:t>Média</w:t>
            </w:r>
          </w:p>
        </w:tc>
        <w:tc>
          <w:tcPr>
            <w:tcW w:type="dxa" w:w="1944"/>
            <w:vAlign w:val="top"/>
          </w:tcPr>
          <w:p>
            <w:r>
              <w:t>Papéis e siglas organizacionais</w:t>
            </w:r>
          </w:p>
        </w:tc>
        <w:tc>
          <w:tcPr>
            <w:tcW w:type="dxa" w:w="3312"/>
            <w:vAlign w:val="top"/>
          </w:tcPr>
          <w:p>
            <w:r>
              <w:t>Papéis como CIO, CISO, BRM, Vendor Manager, CSI Lead, Quality Lead, Service Owner, CAB e Conselho aparecem em vários projetos, mas podem variar conforme porte e estrutura organizacional.</w:t>
            </w:r>
          </w:p>
        </w:tc>
        <w:tc>
          <w:tcPr>
            <w:tcW w:type="dxa" w:w="3744"/>
            <w:vAlign w:val="top"/>
          </w:tcPr>
          <w:p>
            <w:r>
              <w:t>Definir glossário mestre e modelo de papéis mínimo; registrar alternativas para organizações sem função dedicada. Revisar RACI para evitar múltiplos “A” por atividade sem justificativa.</w:t>
            </w:r>
          </w:p>
        </w:tc>
      </w:tr>
      <w:tr>
        <w:tc>
          <w:tcPr>
            <w:tcW w:type="dxa" w:w="936"/>
            <w:vAlign w:val="top"/>
          </w:tcPr>
          <w:p>
            <w:r>
              <w:t>Média</w:t>
            </w:r>
          </w:p>
        </w:tc>
        <w:tc>
          <w:tcPr>
            <w:tcW w:type="dxa" w:w="1944"/>
            <w:vAlign w:val="top"/>
          </w:tcPr>
          <w:p>
            <w:r>
              <w:t>Evidências e registros de auditoria</w:t>
            </w:r>
          </w:p>
        </w:tc>
        <w:tc>
          <w:tcPr>
            <w:tcW w:type="dxa" w:w="3312"/>
            <w:vAlign w:val="top"/>
          </w:tcPr>
          <w:p>
            <w:r>
              <w:t>Exemplos de logs, laudos, atas, certificados, registros de sanitização e testes são úteis como modelos, mas podem parecer evidência real quando contêm identificadores, datas e resultados específicos.</w:t>
            </w:r>
          </w:p>
        </w:tc>
        <w:tc>
          <w:tcPr>
            <w:tcW w:type="dxa" w:w="3744"/>
            <w:vAlign w:val="top"/>
          </w:tcPr>
          <w:p>
            <w:r>
              <w:t>Marcar anexos com dados de exemplo como “modelo fictício”. Não manter número de série, resultado “PASSED”, assinatura, ata ou registro com aparência de evidência real sem identificador claro de exemplo.</w:t>
            </w:r>
          </w:p>
        </w:tc>
      </w:tr>
      <w:tr>
        <w:tc>
          <w:tcPr>
            <w:tcW w:type="dxa" w:w="936"/>
            <w:vAlign w:val="top"/>
          </w:tcPr>
          <w:p>
            <w:r>
              <w:t>Média</w:t>
            </w:r>
          </w:p>
        </w:tc>
        <w:tc>
          <w:tcPr>
            <w:tcW w:type="dxa" w:w="1944"/>
            <w:vAlign w:val="top"/>
          </w:tcPr>
          <w:p>
            <w:r>
              <w:t>Orçamento e estimativas financeiras</w:t>
            </w:r>
          </w:p>
        </w:tc>
        <w:tc>
          <w:tcPr>
            <w:tcW w:type="dxa" w:w="3312"/>
            <w:vAlign w:val="top"/>
          </w:tcPr>
          <w:p>
            <w:r>
              <w:t>O Projeto 08 contém estimativa ilustrativa de orçamento; outros artefatos podem incluir benefícios ou ROI projetados. Valores simulados podem ser interpretados como orçamento aprovado ou economia realizada.</w:t>
            </w:r>
          </w:p>
        </w:tc>
        <w:tc>
          <w:tcPr>
            <w:tcW w:type="dxa" w:w="3744"/>
            <w:vAlign w:val="top"/>
          </w:tcPr>
          <w:p>
            <w:r>
              <w:t>Centralizar premissas financeiras no Roadmap: moeda, data-base, custos únicos/recorrentes, tributos, licenças, contingência, fonte da estimativa e cenário. Separar custo estimado, orçamento aprovado e benefício realizado.</w:t>
            </w:r>
          </w:p>
        </w:tc>
      </w:tr>
      <w:tr>
        <w:tc>
          <w:tcPr>
            <w:tcW w:type="dxa" w:w="936"/>
            <w:vAlign w:val="top"/>
          </w:tcPr>
          <w:p>
            <w:r>
              <w:t>Média</w:t>
            </w:r>
          </w:p>
        </w:tc>
        <w:tc>
          <w:tcPr>
            <w:tcW w:type="dxa" w:w="1944"/>
            <w:vAlign w:val="top"/>
          </w:tcPr>
          <w:p>
            <w:r>
              <w:t>Governança de exceções e automações destrutivas</w:t>
            </w:r>
          </w:p>
        </w:tc>
        <w:tc>
          <w:tcPr>
            <w:tcW w:type="dxa" w:w="3312"/>
            <w:vAlign w:val="top"/>
          </w:tcPr>
          <w:p>
            <w:r>
              <w:t>Regras como desligamento automático de recursos sem tags, bloqueio de acesso e revogação de credenciais precisam prever exceções, validação de proprietário, impacto, janela de execução e recuperação.</w:t>
            </w:r>
          </w:p>
        </w:tc>
        <w:tc>
          <w:tcPr>
            <w:tcW w:type="dxa" w:w="3744"/>
            <w:vAlign w:val="top"/>
          </w:tcPr>
          <w:p>
            <w:r>
              <w:t>Usar um padrão de controle: detecção → notificação → prazo de correção → validação de criticidade → aprovação/execução → rollback ou recuperação → registro auditável. Exceções devem ter proprietário, justificativa e vencimento.</w:t>
            </w:r>
          </w:p>
        </w:tc>
      </w:tr>
      <w:tr>
        <w:tc>
          <w:tcPr>
            <w:tcW w:type="dxa" w:w="936"/>
            <w:vAlign w:val="top"/>
          </w:tcPr>
          <w:p>
            <w:r>
              <w:t>Baixa</w:t>
            </w:r>
          </w:p>
        </w:tc>
        <w:tc>
          <w:tcPr>
            <w:tcW w:type="dxa" w:w="1944"/>
            <w:vAlign w:val="top"/>
          </w:tcPr>
          <w:p>
            <w:r>
              <w:t>Vocabulário e identidade do programa</w:t>
            </w:r>
          </w:p>
        </w:tc>
        <w:tc>
          <w:tcPr>
            <w:tcW w:type="dxa" w:w="3312"/>
            <w:vAlign w:val="top"/>
          </w:tcPr>
          <w:p>
            <w:r>
              <w:t>A nomenclatura alterna entre SGS, SGSI, programa de governança, manual operacional, projeto e processo; em alguns contextos, SGS e SGSI podem ser interpretados como sistemas diferentes.</w:t>
            </w:r>
          </w:p>
        </w:tc>
        <w:tc>
          <w:tcPr>
            <w:tcW w:type="dxa" w:w="3744"/>
            <w:vAlign w:val="top"/>
          </w:tcPr>
          <w:p>
            <w:r>
              <w:t>Incluir no Documento Mestre um glossário oficial: nome completo do programa, significado de SGS e SGSI, hierarquia documental (Nível 1/2), códigos dos projetos e regra de nomenclatura/versão.</w:t>
            </w:r>
          </w:p>
        </w:tc>
      </w:tr>
    </w:tbl>
    <w:p>
      <w:pPr>
        <w:pStyle w:val="Heading1"/>
      </w:pPr>
      <w:r>
        <w:t>3. Convenção de cronograma recomendada</w:t>
      </w:r>
    </w:p>
    <w:p>
      <w:r>
        <w:t>Adotar a mesma convenção em Documento Mestre, Roadmap, Diagnóstico e Projetos 01–10:</w:t>
      </w:r>
    </w:p>
    <w:p>
      <w:pPr>
        <w:pStyle w:val="ListBullet"/>
      </w:pPr>
      <w:r>
        <w:t>Até 90 dias — implantação inicial do programa e dos controles prioritários, com entregáveis mínimos, responsáveis e critérios de aceite definidos.</w:t>
      </w:r>
    </w:p>
    <w:p>
      <w:pPr>
        <w:pStyle w:val="ListBullet"/>
      </w:pPr>
      <w:r>
        <w:t>Até 18 meses — evolução e maturação, expansão de cobertura, automação, melhoria de indicadores e validação recorrente.</w:t>
      </w:r>
    </w:p>
    <w:p>
      <w:pPr>
        <w:pStyle w:val="ListBullet"/>
      </w:pPr>
      <w:r>
        <w:t>Roadmaps de 60 dias — estimativas específicas para iniciar ou estruturar cada processo; não substituem o horizonte integrado e devem ser recalibrados após diagnóstico real.</w:t>
      </w:r>
    </w:p>
    <w:p>
      <w:pPr>
        <w:pStyle w:val="ListBullet"/>
      </w:pPr>
      <w:r>
        <w:t>Datas, metas e marcos — tratar como proposta até que haja baseline, capacidade confirmada, dependências resolvidas e aprovação formal.</w:t>
      </w:r>
    </w:p>
    <w:p>
      <w:pPr>
        <w:pStyle w:val="Heading1"/>
      </w:pPr>
      <w:r>
        <w:t>4. Padrão editorial recomendado</w:t>
      </w:r>
    </w:p>
    <w:p>
      <w:r>
        <w:t>Usar a seguinte nota padrão nos documentos de projeto, adaptando-a somente quando necessário:</w:t>
      </w:r>
    </w:p>
    <w:p>
      <w:pPr>
        <w:ind w:left="360" w:right="360"/>
      </w:pPr>
      <w:r>
        <w:rPr>
          <w:i/>
        </w:rPr>
        <w:t>“CASE SIMULADO — este documento é uma proposta conceitual para estudo e planejamento. Diagnósticos, metas, indicadores, papéis, aprovações, datas, custos, testes e evidências são hipotéticos ou propostas, salvo quando identificados explicitamente como fatos documentados. O material não comprova implantação, aprovação, auditoria, conformidade ou certificação real. Validar escopo, requisitos aplicáveis, recursos e responsáveis antes de adoção.”</w:t>
      </w:r>
    </w:p>
    <w:p>
      <w:r>
        <w:t>Para status de tabelas e históricos, preferir “minuta para avaliação — não aprovada”, “exemplo ilustrativo” e “pendente de validação formal”. Reservar “aprovado”, “vigente”, “executado” e “conforme” para estados reais sustentados por evidência.</w:t>
      </w:r>
    </w:p>
    <w:p>
      <w:pPr>
        <w:pStyle w:val="Heading1"/>
      </w:pPr>
      <w:r>
        <w:t>5. Plano de ação sugerido</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Ação</w:t>
            </w:r>
          </w:p>
        </w:tc>
        <w:tc>
          <w:tcPr>
            <w:tcW w:type="dxa" w:w="3360"/>
          </w:tcPr>
          <w:p>
            <w:r>
              <w:rPr>
                <w:b/>
              </w:rPr>
              <w:t>Escopo</w:t>
            </w:r>
          </w:p>
        </w:tc>
        <w:tc>
          <w:tcPr>
            <w:tcW w:type="dxa" w:w="3360"/>
          </w:tcPr>
          <w:p>
            <w:r>
              <w:rPr>
                <w:b/>
              </w:rPr>
              <w:t>Prioridade</w:t>
            </w:r>
          </w:p>
        </w:tc>
      </w:tr>
      <w:tr>
        <w:tc>
          <w:tcPr>
            <w:tcW w:type="dxa" w:w="3360"/>
          </w:tcPr>
          <w:p>
            <w:r>
              <w:t>A1 — Controle de status</w:t>
            </w:r>
          </w:p>
        </w:tc>
        <w:tc>
          <w:tcPr>
            <w:tcW w:type="dxa" w:w="3360"/>
          </w:tcPr>
          <w:p>
            <w:r>
              <w:t>Revisar todas as ocorrências de aprovado/aprovação/vigente/publicado/executado e classificar como exemplo, condição futura ou fato comprovado.</w:t>
            </w:r>
          </w:p>
        </w:tc>
        <w:tc>
          <w:tcPr>
            <w:tcW w:type="dxa" w:w="3360"/>
          </w:tcPr>
          <w:p>
            <w:r>
              <w:t>Prioridade alta</w:t>
            </w:r>
          </w:p>
        </w:tc>
      </w:tr>
      <w:tr>
        <w:tc>
          <w:tcPr>
            <w:tcW w:type="dxa" w:w="3360"/>
          </w:tcPr>
          <w:p>
            <w:r>
              <w:t>A2 — Cronograma integrado</w:t>
            </w:r>
          </w:p>
        </w:tc>
        <w:tc>
          <w:tcPr>
            <w:tcW w:type="dxa" w:w="3360"/>
          </w:tcPr>
          <w:p>
            <w:r>
              <w:t>Harmonizar 60 dias, 90 dias e 18 meses e inserir dependências entre projetos no Roadmap.</w:t>
            </w:r>
          </w:p>
        </w:tc>
        <w:tc>
          <w:tcPr>
            <w:tcW w:type="dxa" w:w="3360"/>
          </w:tcPr>
          <w:p>
            <w:r>
              <w:t>Prioridade alta</w:t>
            </w:r>
          </w:p>
        </w:tc>
      </w:tr>
      <w:tr>
        <w:tc>
          <w:tcPr>
            <w:tcW w:type="dxa" w:w="3360"/>
          </w:tcPr>
          <w:p>
            <w:r>
              <w:t>A3 — Glossário e RACI</w:t>
            </w:r>
          </w:p>
        </w:tc>
        <w:tc>
          <w:tcPr>
            <w:tcW w:type="dxa" w:w="3360"/>
          </w:tcPr>
          <w:p>
            <w:r>
              <w:t>Consolidar siglas, papéis, donos de processo, aprovadores e regra de atribuição de Accountable.</w:t>
            </w:r>
          </w:p>
        </w:tc>
        <w:tc>
          <w:tcPr>
            <w:tcW w:type="dxa" w:w="3360"/>
          </w:tcPr>
          <w:p>
            <w:r>
              <w:t>Prioridade média</w:t>
            </w:r>
          </w:p>
        </w:tc>
      </w:tr>
      <w:tr>
        <w:tc>
          <w:tcPr>
            <w:tcW w:type="dxa" w:w="3360"/>
          </w:tcPr>
          <w:p>
            <w:r>
              <w:t>A4 — Dicionário de KPIs</w:t>
            </w:r>
          </w:p>
        </w:tc>
        <w:tc>
          <w:tcPr>
            <w:tcW w:type="dxa" w:w="3360"/>
          </w:tcPr>
          <w:p>
            <w:r>
              <w:t>Consolidar fórmulas, fontes, baselines, metas e evidências em um anexo central referenciado pelos projetos.</w:t>
            </w:r>
          </w:p>
        </w:tc>
        <w:tc>
          <w:tcPr>
            <w:tcW w:type="dxa" w:w="3360"/>
          </w:tcPr>
          <w:p>
            <w:r>
              <w:t>Prioridade média</w:t>
            </w:r>
          </w:p>
        </w:tc>
      </w:tr>
      <w:tr>
        <w:tc>
          <w:tcPr>
            <w:tcW w:type="dxa" w:w="3360"/>
          </w:tcPr>
          <w:p>
            <w:r>
              <w:t>A5 — Referências normativas</w:t>
            </w:r>
          </w:p>
        </w:tc>
        <w:tc>
          <w:tcPr>
            <w:tcW w:type="dxa" w:w="3360"/>
          </w:tcPr>
          <w:p>
            <w:r>
              <w:t>Revisar cláusulas e controles citados contra fontes oficiais e validar aplicabilidade antes de publicação.</w:t>
            </w:r>
          </w:p>
        </w:tc>
        <w:tc>
          <w:tcPr>
            <w:tcW w:type="dxa" w:w="3360"/>
          </w:tcPr>
          <w:p>
            <w:r>
              <w:t>Prioridade média</w:t>
            </w:r>
          </w:p>
        </w:tc>
      </w:tr>
      <w:tr>
        <w:tc>
          <w:tcPr>
            <w:tcW w:type="dxa" w:w="3360"/>
          </w:tcPr>
          <w:p>
            <w:r>
              <w:t>A6 — Pacote de publicação</w:t>
            </w:r>
          </w:p>
        </w:tc>
        <w:tc>
          <w:tcPr>
            <w:tcW w:type="dxa" w:w="3360"/>
          </w:tcPr>
          <w:p>
            <w:r>
              <w:t>Atualizar versões, sumário, controle de alterações e índice de documentos; separar claramente artefatos conceituais de evidências reais.</w:t>
            </w:r>
          </w:p>
        </w:tc>
        <w:tc>
          <w:tcPr>
            <w:tcW w:type="dxa" w:w="3360"/>
          </w:tcPr>
          <w:p>
            <w:r>
              <w:t>Prioridade alta</w:t>
            </w:r>
          </w:p>
        </w:tc>
      </w:tr>
    </w:tbl>
    <w:p>
      <w:pPr>
        <w:pStyle w:val="Heading1"/>
      </w:pPr>
      <w:r>
        <w:t>6. Limites desta revisão</w:t>
      </w:r>
    </w:p>
    <w:p>
      <w:r>
        <w:t>Esta revisão é uma leitura transversal editorial e de coerência, baseada nos documentos revisados disponíveis. Não substitui leitura técnica linha a linha de cada requisito normativo, auditoria independente, validação jurídica, cálculo de ROI, confirmação de preços ou aprovação dos donos de processo. As ocorrências indicadas devem ser confirmadas no contexto de cada tabela e parágrafo antes de alterações em lote.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