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PROGRAMA INTEGRADO DE GOVERNANÇA, SERVIÇOS E SEGURANÇA DE TI</w:t>
        <w:br/>
        <w:t>(SGS / SGSI)</w:t>
      </w:r>
    </w:p>
    <w:p>
      <w:pPr>
        <w:jc w:val="center"/>
      </w:pPr>
      <w:r>
        <w:rPr>
          <w:b/>
          <w:sz w:val="30"/>
        </w:rPr>
        <w:t>ROADMAP CONSOLIDADO INTEGRADOR DE IMPLANTAÇÃO</w:t>
      </w:r>
    </w:p>
    <w:p>
      <w:pPr>
        <w:jc w:val="center"/>
      </w:pPr>
      <w:r>
        <w:rPr>
          <w:i/>
        </w:rPr>
        <w:t>Orquestração executiva, cinco ondas, dependências críticas, orçamento demonstrativo e governança dos dez projetos</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Campo</w:t>
            </w:r>
          </w:p>
        </w:tc>
        <w:tc>
          <w:tcPr>
            <w:tcW w:type="dxa" w:w="5112"/>
            <w:shd w:fill="D9EAF7"/>
          </w:tcPr>
          <w:p>
            <w:r>
              <w:rPr>
                <w:b/>
              </w:rPr>
              <w:t>Informação</w:t>
            </w:r>
          </w:p>
        </w:tc>
      </w:tr>
      <w:tr>
        <w:tc>
          <w:tcPr>
            <w:tcW w:type="dxa" w:w="5112"/>
            <w:vAlign w:val="center"/>
          </w:tcPr>
          <w:p>
            <w:r>
              <w:t>Código do artefato</w:t>
            </w:r>
          </w:p>
        </w:tc>
        <w:tc>
          <w:tcPr>
            <w:tcW w:type="dxa" w:w="5112"/>
            <w:vAlign w:val="center"/>
          </w:tcPr>
          <w:p>
            <w:r>
              <w:t>RDM-MESTRE-GRC-2026-V1 (código preservado do original; identificador conceitual)</w:t>
            </w:r>
          </w:p>
        </w:tc>
      </w:tr>
      <w:tr>
        <w:tc>
          <w:tcPr>
            <w:tcW w:type="dxa" w:w="5112"/>
            <w:vAlign w:val="center"/>
          </w:tcPr>
          <w:p>
            <w:r>
              <w:t>Versão</w:t>
            </w:r>
          </w:p>
        </w:tc>
        <w:tc>
          <w:tcPr>
            <w:tcW w:type="dxa" w:w="5112"/>
            <w:vAlign w:val="center"/>
          </w:tcPr>
          <w:p>
            <w:r>
              <w:t>1.1 — revisão conceitual para portfólio</w:t>
            </w:r>
          </w:p>
        </w:tc>
      </w:tr>
      <w:tr>
        <w:tc>
          <w:tcPr>
            <w:tcW w:type="dxa" w:w="5112"/>
            <w:vAlign w:val="center"/>
          </w:tcPr>
          <w:p>
            <w:r>
              <w:t>Status</w:t>
            </w:r>
          </w:p>
        </w:tc>
        <w:tc>
          <w:tcPr>
            <w:tcW w:type="dxa" w:w="5112"/>
            <w:vAlign w:val="center"/>
          </w:tcPr>
          <w:p>
            <w:r>
              <w:t>Proposta de roadmap; não aprovado para execução corporativa</w:t>
            </w:r>
          </w:p>
        </w:tc>
      </w:tr>
      <w:tr>
        <w:tc>
          <w:tcPr>
            <w:tcW w:type="dxa" w:w="5112"/>
            <w:vAlign w:val="center"/>
          </w:tcPr>
          <w:p>
            <w:r>
              <w:t>Autor</w:t>
            </w:r>
          </w:p>
        </w:tc>
        <w:tc>
          <w:tcPr>
            <w:tcW w:type="dxa" w:w="5112"/>
            <w:vAlign w:val="center"/>
          </w:tcPr>
          <w:p>
            <w:r>
              <w:t>José Eduardo Moura Cardozo</w:t>
            </w:r>
          </w:p>
        </w:tc>
      </w:tr>
      <w:tr>
        <w:tc>
          <w:tcPr>
            <w:tcW w:type="dxa" w:w="5112"/>
            <w:vAlign w:val="center"/>
          </w:tcPr>
          <w:p>
            <w:r>
              <w:t>Escopo</w:t>
            </w:r>
          </w:p>
        </w:tc>
        <w:tc>
          <w:tcPr>
            <w:tcW w:type="dxa" w:w="5112"/>
            <w:vAlign w:val="center"/>
          </w:tcPr>
          <w:p>
            <w:r>
              <w:t>Integração dos dez projetos de governança, serviços e segurança de TI</w:t>
            </w:r>
          </w:p>
        </w:tc>
      </w:tr>
      <w:tr>
        <w:tc>
          <w:tcPr>
            <w:tcW w:type="dxa" w:w="5112"/>
            <w:vAlign w:val="center"/>
          </w:tcPr>
          <w:p>
            <w:r>
              <w:t>Referenciais citados</w:t>
            </w:r>
          </w:p>
        </w:tc>
        <w:tc>
          <w:tcPr>
            <w:tcW w:type="dxa" w:w="5112"/>
            <w:vAlign w:val="center"/>
          </w:tcPr>
          <w:p>
            <w:r>
              <w:t>ISO/IEC 38500, ISO/IEC 20000-1, ISO/IEC 27001/27002, COBIT, ITIL, ISO 22301, SOX, LGPD, ISO 37001/37301 e ISO/IEC 42001</w:t>
            </w:r>
          </w:p>
        </w:tc>
      </w:tr>
    </w:tbl>
    <w:p/>
    <w:p>
      <w:pPr>
        <w:pStyle w:val="Heading1"/>
      </w:pPr>
      <w:r>
        <w:t>Natureza e premissas do roadmap</w:t>
      </w:r>
    </w:p>
    <w:p>
      <w:r>
        <w:t>Este documento é parte de um case autoral e conceitual para portfólio profissional. O cenário organizacional, os diagnósticos, as metas, os resultados, os custos, as economias, as aprovações e as evidências são simulados ou propostos; não comprovam implantação, aprovação, auditoria ou certificação em uma organização real.</w:t>
      </w:r>
    </w:p>
    <w:p>
      <w:r>
        <w:t>O horizonte de 18 meses é uma estimativa para evolução e maturação do programa. A implantação inicial de 90 dias descrita no Documento Mestre constitui uma janela inicial ilustrativa, não um prazo garantido. Todos os períodos podem ser ajustados conforme diagnóstico, escopo, dependências, recursos, riscos, prioridades e condições de uma organização real.</w:t>
      </w:r>
    </w:p>
    <w:p>
      <w:r>
        <w:t>A menção a normas e frameworks não significa conformidade. Edições, títulos, cláusulas e aplicabilidade devem ser verificados antes de uso formal. Os gates, papéis e aprovações descritos abaixo são mecanismos propostos, não registros de decisões já tomadas.</w:t>
      </w:r>
    </w:p>
    <w:p>
      <w:pPr>
        <w:pStyle w:val="Heading1"/>
      </w:pPr>
      <w:r>
        <w:t>Sumário executivo</w:t>
      </w:r>
    </w:p>
    <w:p>
      <w:r>
        <w:t>O roadmap organiza a evolução dos dez projetos em cinco ondas progressivas ao longo de até 18 meses. A sequência procura reduzir risco de mudança simultânea, estabelecer fundamentos operacionais e desenvolver gradualmente controles de serviços, continuidade, segurança, fornecedores, FinOps e melhoria contínua.</w:t>
      </w:r>
    </w:p>
    <w:p>
      <w:r>
        <w:t>No cenário simulado, os objetivos incluem maior disponibilidade e resiliência, melhoria de controles, otimização financeira e alinhamento entre métricas técnicas e experiência do usuário. Os alvos são referências de planejamento, dependentes de baseline e validação.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Objetivo proposto</w:t>
            </w:r>
          </w:p>
        </w:tc>
        <w:tc>
          <w:tcPr>
            <w:tcW w:type="dxa" w:w="3408"/>
            <w:shd w:fill="D9EAF7"/>
          </w:tcPr>
          <w:p>
            <w:r>
              <w:rPr>
                <w:b/>
              </w:rPr>
              <w:t>Alvo do cenário original</w:t>
            </w:r>
          </w:p>
        </w:tc>
        <w:tc>
          <w:tcPr>
            <w:tcW w:type="dxa" w:w="3408"/>
            <w:shd w:fill="D9EAF7"/>
          </w:tcPr>
          <w:p>
            <w:r>
              <w:rPr>
                <w:b/>
              </w:rPr>
              <w:t>Nota de validação</w:t>
            </w:r>
          </w:p>
        </w:tc>
      </w:tr>
      <w:tr>
        <w:tc>
          <w:tcPr>
            <w:tcW w:type="dxa" w:w="3408"/>
            <w:vAlign w:val="center"/>
          </w:tcPr>
          <w:p>
            <w:r>
              <w:t>Continuidade e resiliência</w:t>
            </w:r>
          </w:p>
        </w:tc>
        <w:tc>
          <w:tcPr>
            <w:tcW w:type="dxa" w:w="3408"/>
            <w:vAlign w:val="center"/>
          </w:tcPr>
          <w:p>
            <w:r>
              <w:t>Disponibilidade de serviços críticos ≥ 99,9%; redução de MTTR em 60%; cobertura DRP/ITSCM de 100% para sistemas Tier 1.</w:t>
            </w:r>
          </w:p>
        </w:tc>
        <w:tc>
          <w:tcPr>
            <w:tcW w:type="dxa" w:w="3408"/>
            <w:vAlign w:val="center"/>
          </w:tcPr>
          <w:p>
            <w:r>
              <w:t>Metas simuladas; definir serviço, janela, fórmula, baseline e evidências.</w:t>
            </w:r>
          </w:p>
        </w:tc>
      </w:tr>
      <w:tr>
        <w:tc>
          <w:tcPr>
            <w:tcW w:type="dxa" w:w="3408"/>
            <w:vAlign w:val="center"/>
          </w:tcPr>
          <w:p>
            <w:r>
              <w:t>Controles e conformidade</w:t>
            </w:r>
          </w:p>
        </w:tc>
        <w:tc>
          <w:tcPr>
            <w:tcW w:type="dxa" w:w="3408"/>
            <w:vAlign w:val="center"/>
          </w:tcPr>
          <w:p>
            <w:r>
              <w:t>Objetivo de conformidade com controles aplicáveis e redução de apontamentos de auditoria.</w:t>
            </w:r>
          </w:p>
        </w:tc>
        <w:tc>
          <w:tcPr>
            <w:tcW w:type="dxa" w:w="3408"/>
            <w:vAlign w:val="center"/>
          </w:tcPr>
          <w:p>
            <w:r>
              <w:t>Não garantir 100% de conformidade ou eliminação de apontamentos sem avaliação e evidência.</w:t>
            </w:r>
          </w:p>
        </w:tc>
      </w:tr>
      <w:tr>
        <w:tc>
          <w:tcPr>
            <w:tcW w:type="dxa" w:w="3408"/>
            <w:vAlign w:val="center"/>
          </w:tcPr>
          <w:p>
            <w:r>
              <w:t>Otimização financeira</w:t>
            </w:r>
          </w:p>
        </w:tc>
        <w:tc>
          <w:tcPr>
            <w:tcW w:type="dxa" w:w="3408"/>
            <w:vAlign w:val="center"/>
          </w:tcPr>
          <w:p>
            <w:r>
              <w:t>Economia anual estimada de R$ 160.000,00 por FinOps, licenças e fornecedores.</w:t>
            </w:r>
          </w:p>
        </w:tc>
        <w:tc>
          <w:tcPr>
            <w:tcW w:type="dxa" w:w="3408"/>
            <w:vAlign w:val="center"/>
          </w:tcPr>
          <w:p>
            <w:r>
              <w:t>Valor simulado, não economia comprovada.</w:t>
            </w:r>
          </w:p>
        </w:tc>
      </w:tr>
      <w:tr>
        <w:tc>
          <w:tcPr>
            <w:tcW w:type="dxa" w:w="3408"/>
            <w:vAlign w:val="center"/>
          </w:tcPr>
          <w:p>
            <w:r>
              <w:t>Experiência do usuário</w:t>
            </w:r>
          </w:p>
        </w:tc>
        <w:tc>
          <w:tcPr>
            <w:tcW w:type="dxa" w:w="3408"/>
            <w:vAlign w:val="center"/>
          </w:tcPr>
          <w:p>
            <w:r>
              <w:t>CSAT ≥ 90% e NPS executivo positivo.</w:t>
            </w:r>
          </w:p>
        </w:tc>
        <w:tc>
          <w:tcPr>
            <w:tcW w:type="dxa" w:w="3408"/>
            <w:vAlign w:val="center"/>
          </w:tcPr>
          <w:p>
            <w:r>
              <w:t>Alvos propostos; definir instrumento, população e frequência.</w:t>
            </w:r>
          </w:p>
        </w:tc>
      </w:tr>
    </w:tbl>
    <w:p/>
    <w:p>
      <w:pPr>
        <w:pStyle w:val="Heading1"/>
      </w:pPr>
      <w:r>
        <w:t>1. Business case consolidado — cenário financeiro simulado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Métrica</w:t>
            </w:r>
          </w:p>
        </w:tc>
        <w:tc>
          <w:tcPr>
            <w:tcW w:type="dxa" w:w="3408"/>
            <w:shd w:fill="D9EAF7"/>
          </w:tcPr>
          <w:p>
            <w:r>
              <w:rPr>
                <w:b/>
              </w:rPr>
              <w:t>Premissa do original</w:t>
            </w:r>
          </w:p>
        </w:tc>
        <w:tc>
          <w:tcPr>
            <w:tcW w:type="dxa" w:w="3408"/>
            <w:shd w:fill="D9EAF7"/>
          </w:tcPr>
          <w:p>
            <w:r>
              <w:rPr>
                <w:b/>
              </w:rPr>
              <w:t>Status / observação</w:t>
            </w:r>
          </w:p>
        </w:tc>
      </w:tr>
      <w:tr>
        <w:tc>
          <w:tcPr>
            <w:tcW w:type="dxa" w:w="3408"/>
            <w:vAlign w:val="center"/>
          </w:tcPr>
          <w:p>
            <w:r>
              <w:t>Investimento total</w:t>
            </w:r>
          </w:p>
        </w:tc>
        <w:tc>
          <w:tcPr>
            <w:tcW w:type="dxa" w:w="3408"/>
            <w:vAlign w:val="center"/>
          </w:tcPr>
          <w:p>
            <w:r>
              <w:t>R$ 320.000,00 (R$ 180.000,00 CAPEX e R$ 140.000,00 OPEX)</w:t>
            </w:r>
          </w:p>
        </w:tc>
        <w:tc>
          <w:tcPr>
            <w:tcW w:type="dxa" w:w="3408"/>
            <w:vAlign w:val="center"/>
          </w:tcPr>
          <w:p>
            <w:r>
              <w:t>Estimativa simulada; composição detalhada deve ser reconciliada com o Documento Mestre.</w:t>
            </w:r>
          </w:p>
        </w:tc>
      </w:tr>
      <w:tr>
        <w:tc>
          <w:tcPr>
            <w:tcW w:type="dxa" w:w="3408"/>
            <w:vAlign w:val="center"/>
          </w:tcPr>
          <w:p>
            <w:r>
              <w:t>ROI consolidado</w:t>
            </w:r>
          </w:p>
        </w:tc>
        <w:tc>
          <w:tcPr>
            <w:tcW w:type="dxa" w:w="3408"/>
            <w:vAlign w:val="center"/>
          </w:tcPr>
          <w:p>
            <w:r>
              <w:t>240% em 36 meses</w:t>
            </w:r>
          </w:p>
        </w:tc>
        <w:tc>
          <w:tcPr>
            <w:tcW w:type="dxa" w:w="3408"/>
            <w:vAlign w:val="center"/>
          </w:tcPr>
          <w:p>
            <w:r>
              <w:t>Não validado por memória de cálculo.</w:t>
            </w:r>
          </w:p>
        </w:tc>
      </w:tr>
      <w:tr>
        <w:tc>
          <w:tcPr>
            <w:tcW w:type="dxa" w:w="3408"/>
            <w:vAlign w:val="center"/>
          </w:tcPr>
          <w:p>
            <w:r>
              <w:t>VPL</w:t>
            </w:r>
          </w:p>
        </w:tc>
        <w:tc>
          <w:tcPr>
            <w:tcW w:type="dxa" w:w="3408"/>
            <w:vAlign w:val="center"/>
          </w:tcPr>
          <w:p>
            <w:r>
              <w:t>R$ 680.000,00 com taxa de desconto indicada de 10%</w:t>
            </w:r>
          </w:p>
        </w:tc>
        <w:tc>
          <w:tcPr>
            <w:tcW w:type="dxa" w:w="3408"/>
            <w:vAlign w:val="center"/>
          </w:tcPr>
          <w:p>
            <w:r>
              <w:t>Não validado; requer fluxo de caixa e método de cálculo.</w:t>
            </w:r>
          </w:p>
        </w:tc>
      </w:tr>
      <w:tr>
        <w:tc>
          <w:tcPr>
            <w:tcW w:type="dxa" w:w="3408"/>
            <w:vAlign w:val="center"/>
          </w:tcPr>
          <w:p>
            <w:r>
              <w:t>Payback simples</w:t>
            </w:r>
          </w:p>
        </w:tc>
        <w:tc>
          <w:tcPr>
            <w:tcW w:type="dxa" w:w="3408"/>
            <w:vAlign w:val="center"/>
          </w:tcPr>
          <w:p>
            <w:r>
              <w:t>14 meses desde o início da Onda 1</w:t>
            </w:r>
          </w:p>
        </w:tc>
        <w:tc>
          <w:tcPr>
            <w:tcW w:type="dxa" w:w="3408"/>
            <w:vAlign w:val="center"/>
          </w:tcPr>
          <w:p>
            <w:r>
              <w:t>Estimativa; requer projeção de desembolsos e benefícios.</w:t>
            </w:r>
          </w:p>
        </w:tc>
      </w:tr>
      <w:tr>
        <w:tc>
          <w:tcPr>
            <w:tcW w:type="dxa" w:w="3408"/>
            <w:vAlign w:val="center"/>
          </w:tcPr>
          <w:p>
            <w:r>
              <w:t>Economia anual FinOps/SAM</w:t>
            </w:r>
          </w:p>
        </w:tc>
        <w:tc>
          <w:tcPr>
            <w:tcW w:type="dxa" w:w="3408"/>
            <w:vAlign w:val="center"/>
          </w:tcPr>
          <w:p>
            <w:r>
              <w:t>R$ 160.000,00 a partir do mês 12</w:t>
            </w:r>
          </w:p>
        </w:tc>
        <w:tc>
          <w:tcPr>
            <w:tcW w:type="dxa" w:w="3408"/>
            <w:vAlign w:val="center"/>
          </w:tcPr>
          <w:p>
            <w:r>
              <w:t>Meta simulada, não resultado comprovado.</w:t>
            </w:r>
          </w:p>
        </w:tc>
      </w:tr>
      <w:tr>
        <w:tc>
          <w:tcPr>
            <w:tcW w:type="dxa" w:w="3408"/>
            <w:vAlign w:val="center"/>
          </w:tcPr>
          <w:p>
            <w:r>
              <w:t>Produtividade preservada por redução de paradas</w:t>
            </w:r>
          </w:p>
        </w:tc>
        <w:tc>
          <w:tcPr>
            <w:tcW w:type="dxa" w:w="3408"/>
            <w:vAlign w:val="center"/>
          </w:tcPr>
          <w:p>
            <w:r>
              <w:t>R$ 220.000,00 por ano</w:t>
            </w:r>
          </w:p>
        </w:tc>
        <w:tc>
          <w:tcPr>
            <w:tcW w:type="dxa" w:w="3408"/>
            <w:vAlign w:val="center"/>
          </w:tcPr>
          <w:p>
            <w:r>
              <w:t>Estimativa do original; metodologia de cálculo não fornecida.</w:t>
            </w:r>
          </w:p>
        </w:tc>
      </w:tr>
    </w:tbl>
    <w:p/>
    <w:p>
      <w:r>
        <w:t>Os valores foram preservados como premissas do cenário original. Não foram recalculados nem validados. Para validação, documentar custos únicos e recorrentes, premissas de benefícios, fluxo de caixa, taxa de desconto, período de análise, método de ROI e tratamento de produtividade preservada.</w:t>
      </w:r>
    </w:p>
    <w:p>
      <w:pPr>
        <w:pStyle w:val="Heading1"/>
      </w:pPr>
      <w:r>
        <w:t>2. Arquitetura das cinco ondas de implantação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Onda</w:t>
            </w:r>
          </w:p>
        </w:tc>
        <w:tc>
          <w:tcPr>
            <w:tcW w:type="dxa" w:w="2556"/>
            <w:shd w:fill="D9EAF7"/>
          </w:tcPr>
          <w:p>
            <w:r>
              <w:rPr>
                <w:b/>
              </w:rPr>
              <w:t>Período indicativo</w:t>
            </w:r>
          </w:p>
        </w:tc>
        <w:tc>
          <w:tcPr>
            <w:tcW w:type="dxa" w:w="2556"/>
            <w:shd w:fill="D9EAF7"/>
          </w:tcPr>
          <w:p>
            <w:r>
              <w:rPr>
                <w:b/>
              </w:rPr>
              <w:t>Projetos integrados</w:t>
            </w:r>
          </w:p>
        </w:tc>
        <w:tc>
          <w:tcPr>
            <w:tcW w:type="dxa" w:w="2556"/>
            <w:shd w:fill="D9EAF7"/>
          </w:tcPr>
          <w:p>
            <w:r>
              <w:rPr>
                <w:b/>
              </w:rPr>
              <w:t>Objetivo e entregáveis propostos</w:t>
            </w:r>
          </w:p>
        </w:tc>
      </w:tr>
      <w:tr>
        <w:tc>
          <w:tcPr>
            <w:tcW w:type="dxa" w:w="2556"/>
            <w:vAlign w:val="center"/>
          </w:tcPr>
          <w:p>
            <w:r>
              <w:t>1 — Fundação e diagnóstico</w:t>
            </w:r>
          </w:p>
        </w:tc>
        <w:tc>
          <w:tcPr>
            <w:tcW w:type="dxa" w:w="2556"/>
            <w:vAlign w:val="center"/>
          </w:tcPr>
          <w:p>
            <w:r>
              <w:t>M01–M03</w:t>
            </w:r>
          </w:p>
        </w:tc>
        <w:tc>
          <w:tcPr>
            <w:tcW w:type="dxa" w:w="2556"/>
            <w:vAlign w:val="center"/>
          </w:tcPr>
          <w:p>
            <w:r>
              <w:t>Diagnóstico; Documento Mestre; P01 Incidentes; P07 Ativos/CMDB</w:t>
            </w:r>
          </w:p>
        </w:tc>
        <w:tc>
          <w:tcPr>
            <w:tcW w:type="dxa" w:w="2556"/>
            <w:vAlign w:val="center"/>
          </w:tcPr>
          <w:p>
            <w:r>
              <w:t>Estabilizar atendimento básico, inventariar ativos prioritários e construir CMDB inicial.</w:t>
            </w:r>
          </w:p>
        </w:tc>
      </w:tr>
      <w:tr>
        <w:tc>
          <w:tcPr>
            <w:tcW w:type="dxa" w:w="2556"/>
            <w:vAlign w:val="center"/>
          </w:tcPr>
          <w:p>
            <w:r>
              <w:t>2 — Estabilização e controle</w:t>
            </w:r>
          </w:p>
        </w:tc>
        <w:tc>
          <w:tcPr>
            <w:tcW w:type="dxa" w:w="2556"/>
            <w:vAlign w:val="center"/>
          </w:tcPr>
          <w:p>
            <w:r>
              <w:t>M04–M06</w:t>
            </w:r>
          </w:p>
        </w:tc>
        <w:tc>
          <w:tcPr>
            <w:tcW w:type="dxa" w:w="2556"/>
            <w:vAlign w:val="center"/>
          </w:tcPr>
          <w:p>
            <w:r>
              <w:t>P02 Problemas/KEDB; P03 Mudanças/GMUD</w:t>
            </w:r>
          </w:p>
        </w:tc>
        <w:tc>
          <w:tcPr>
            <w:tcW w:type="dxa" w:w="2556"/>
            <w:vAlign w:val="center"/>
          </w:tcPr>
          <w:p>
            <w:r>
              <w:t>Investigar recorrências e estabelecer avaliação e controle de mudanças.</w:t>
            </w:r>
          </w:p>
        </w:tc>
      </w:tr>
      <w:tr>
        <w:tc>
          <w:tcPr>
            <w:tcW w:type="dxa" w:w="2556"/>
            <w:vAlign w:val="center"/>
          </w:tcPr>
          <w:p>
            <w:r>
              <w:t>3 — Acordos de serviço e continuidade</w:t>
            </w:r>
          </w:p>
        </w:tc>
        <w:tc>
          <w:tcPr>
            <w:tcW w:type="dxa" w:w="2556"/>
            <w:vAlign w:val="center"/>
          </w:tcPr>
          <w:p>
            <w:r>
              <w:t>M07–M09</w:t>
            </w:r>
          </w:p>
        </w:tc>
        <w:tc>
          <w:tcPr>
            <w:tcW w:type="dxa" w:w="2556"/>
            <w:vAlign w:val="center"/>
          </w:tcPr>
          <w:p>
            <w:r>
              <w:t>P04 SLM/Catálogo; P05 Continuidade/DRP</w:t>
            </w:r>
          </w:p>
        </w:tc>
        <w:tc>
          <w:tcPr>
            <w:tcW w:type="dxa" w:w="2556"/>
            <w:vAlign w:val="center"/>
          </w:tcPr>
          <w:p>
            <w:r>
              <w:t>Desenvolver catálogo, acordos de serviço e validação planejada de continuidade.</w:t>
            </w:r>
          </w:p>
        </w:tc>
      </w:tr>
      <w:tr>
        <w:tc>
          <w:tcPr>
            <w:tcW w:type="dxa" w:w="2556"/>
            <w:vAlign w:val="center"/>
          </w:tcPr>
          <w:p>
            <w:r>
              <w:t>4 — Segurança, FinOps e terceiros</w:t>
            </w:r>
          </w:p>
        </w:tc>
        <w:tc>
          <w:tcPr>
            <w:tcW w:type="dxa" w:w="2556"/>
            <w:vAlign w:val="center"/>
          </w:tcPr>
          <w:p>
            <w:r>
              <w:t>M10–M14</w:t>
            </w:r>
          </w:p>
        </w:tc>
        <w:tc>
          <w:tcPr>
            <w:tcW w:type="dxa" w:w="2556"/>
            <w:vAlign w:val="center"/>
          </w:tcPr>
          <w:p>
            <w:r>
              <w:t>P06 SGSI; P08 Fornecedores/BRM; P09 Demanda/Capacidade/FinOps</w:t>
            </w:r>
          </w:p>
        </w:tc>
        <w:tc>
          <w:tcPr>
            <w:tcW w:type="dxa" w:w="2556"/>
            <w:vAlign w:val="center"/>
          </w:tcPr>
          <w:p>
            <w:r>
              <w:t>Desenvolver controles de segurança, gestão de terceiros e otimização de custos.</w:t>
            </w:r>
          </w:p>
        </w:tc>
      </w:tr>
      <w:tr>
        <w:tc>
          <w:tcPr>
            <w:tcW w:type="dxa" w:w="2556"/>
            <w:vAlign w:val="center"/>
          </w:tcPr>
          <w:p>
            <w:r>
              <w:t>5 — Auditoria e maturidade</w:t>
            </w:r>
          </w:p>
        </w:tc>
        <w:tc>
          <w:tcPr>
            <w:tcW w:type="dxa" w:w="2556"/>
            <w:vAlign w:val="center"/>
          </w:tcPr>
          <w:p>
            <w:r>
              <w:t>M15–M18</w:t>
            </w:r>
          </w:p>
        </w:tc>
        <w:tc>
          <w:tcPr>
            <w:tcW w:type="dxa" w:w="2556"/>
            <w:vAlign w:val="center"/>
          </w:tcPr>
          <w:p>
            <w:r>
              <w:t>P10 Desempenho/Auditoria/CSI-PDCA</w:t>
            </w:r>
          </w:p>
        </w:tc>
        <w:tc>
          <w:tcPr>
            <w:tcW w:type="dxa" w:w="2556"/>
            <w:vAlign w:val="center"/>
          </w:tcPr>
          <w:p>
            <w:r>
              <w:t>Consolidar avaliação, registro de melhoria contínua e painel de desempenho.</w:t>
            </w:r>
          </w:p>
        </w:tc>
      </w:tr>
    </w:tbl>
    <w:p/>
    <w:p>
      <w:r>
        <w:t>Os períodos são indicativos. A referência original descreve ondas de três a quatro meses; a duração real depende de escopo, contratação, disponibilidade de equipes, integrações e resultados dos gates. A onda 4 possui janela de cinco meses no plano apresentado.</w:t>
      </w:r>
    </w:p>
    <w:p>
      <w:pPr>
        <w:pStyle w:val="Heading1"/>
      </w:pPr>
      <w:r>
        <w:t>3. Matriz de interconexão e dependências críticas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Processo receptor</w:t>
            </w:r>
          </w:p>
        </w:tc>
        <w:tc>
          <w:tcPr>
            <w:tcW w:type="dxa" w:w="2556"/>
            <w:shd w:fill="D9EAF7"/>
          </w:tcPr>
          <w:p>
            <w:r>
              <w:rPr>
                <w:b/>
              </w:rPr>
              <w:t>Processo doador</w:t>
            </w:r>
          </w:p>
        </w:tc>
        <w:tc>
          <w:tcPr>
            <w:tcW w:type="dxa" w:w="2556"/>
            <w:shd w:fill="D9EAF7"/>
          </w:tcPr>
          <w:p>
            <w:r>
              <w:rPr>
                <w:b/>
              </w:rPr>
              <w:t>Artefato/dado requerido</w:t>
            </w:r>
          </w:p>
        </w:tc>
        <w:tc>
          <w:tcPr>
            <w:tcW w:type="dxa" w:w="2556"/>
            <w:shd w:fill="D9EAF7"/>
          </w:tcPr>
          <w:p>
            <w:r>
              <w:rPr>
                <w:b/>
              </w:rPr>
              <w:t>Impacto potencial se faltar</w:t>
            </w:r>
          </w:p>
        </w:tc>
      </w:tr>
      <w:tr>
        <w:tc>
          <w:tcPr>
            <w:tcW w:type="dxa" w:w="2556"/>
            <w:vAlign w:val="center"/>
          </w:tcPr>
          <w:p>
            <w:r>
              <w:t>P01 Incidentes</w:t>
            </w:r>
          </w:p>
        </w:tc>
        <w:tc>
          <w:tcPr>
            <w:tcW w:type="dxa" w:w="2556"/>
            <w:vAlign w:val="center"/>
          </w:tcPr>
          <w:p>
            <w:r>
              <w:t>P07 ITAM/CMDB</w:t>
            </w:r>
          </w:p>
        </w:tc>
        <w:tc>
          <w:tcPr>
            <w:tcW w:type="dxa" w:w="2556"/>
            <w:vAlign w:val="center"/>
          </w:tcPr>
          <w:p>
            <w:r>
              <w:t>Itens de configuração e mapa de relacionamentos</w:t>
            </w:r>
          </w:p>
        </w:tc>
        <w:tc>
          <w:tcPr>
            <w:tcW w:type="dxa" w:w="2556"/>
            <w:vAlign w:val="center"/>
          </w:tcPr>
          <w:p>
            <w:r>
              <w:t>Dificuldade para identificar o impacto no serviço de negócio.</w:t>
            </w:r>
          </w:p>
        </w:tc>
      </w:tr>
      <w:tr>
        <w:tc>
          <w:tcPr>
            <w:tcW w:type="dxa" w:w="2556"/>
            <w:vAlign w:val="center"/>
          </w:tcPr>
          <w:p>
            <w:r>
              <w:t>P02 Problemas</w:t>
            </w:r>
          </w:p>
        </w:tc>
        <w:tc>
          <w:tcPr>
            <w:tcW w:type="dxa" w:w="2556"/>
            <w:vAlign w:val="center"/>
          </w:tcPr>
          <w:p>
            <w:r>
              <w:t>P01 Incidentes</w:t>
            </w:r>
          </w:p>
        </w:tc>
        <w:tc>
          <w:tcPr>
            <w:tcW w:type="dxa" w:w="2556"/>
            <w:vAlign w:val="center"/>
          </w:tcPr>
          <w:p>
            <w:r>
              <w:t>Histórico de recorrências e incidentes P1</w:t>
            </w:r>
          </w:p>
        </w:tc>
        <w:tc>
          <w:tcPr>
            <w:tcW w:type="dxa" w:w="2556"/>
            <w:vAlign w:val="center"/>
          </w:tcPr>
          <w:p>
            <w:r>
              <w:t>Dados insuficientes para RCA e priorização de tendências.</w:t>
            </w:r>
          </w:p>
        </w:tc>
      </w:tr>
      <w:tr>
        <w:tc>
          <w:tcPr>
            <w:tcW w:type="dxa" w:w="2556"/>
            <w:vAlign w:val="center"/>
          </w:tcPr>
          <w:p>
            <w:r>
              <w:t>P03 Mudanças</w:t>
            </w:r>
          </w:p>
        </w:tc>
        <w:tc>
          <w:tcPr>
            <w:tcW w:type="dxa" w:w="2556"/>
            <w:vAlign w:val="center"/>
          </w:tcPr>
          <w:p>
            <w:r>
              <w:t>P07 ITAM/CMDB</w:t>
            </w:r>
          </w:p>
        </w:tc>
        <w:tc>
          <w:tcPr>
            <w:tcW w:type="dxa" w:w="2556"/>
            <w:vAlign w:val="center"/>
          </w:tcPr>
          <w:p>
            <w:r>
              <w:t>Baseline e CIs afetados pela RFC</w:t>
            </w:r>
          </w:p>
        </w:tc>
        <w:tc>
          <w:tcPr>
            <w:tcW w:type="dxa" w:w="2556"/>
            <w:vAlign w:val="center"/>
          </w:tcPr>
          <w:p>
            <w:r>
              <w:t>Avaliação incompleta do impacto de mudanças.</w:t>
            </w:r>
          </w:p>
        </w:tc>
      </w:tr>
      <w:tr>
        <w:tc>
          <w:tcPr>
            <w:tcW w:type="dxa" w:w="2556"/>
            <w:vAlign w:val="center"/>
          </w:tcPr>
          <w:p>
            <w:r>
              <w:t>P03 Mudanças</w:t>
            </w:r>
          </w:p>
        </w:tc>
        <w:tc>
          <w:tcPr>
            <w:tcW w:type="dxa" w:w="2556"/>
            <w:vAlign w:val="center"/>
          </w:tcPr>
          <w:p>
            <w:r>
              <w:t>P02 Problemas</w:t>
            </w:r>
          </w:p>
        </w:tc>
        <w:tc>
          <w:tcPr>
            <w:tcW w:type="dxa" w:w="2556"/>
            <w:vAlign w:val="center"/>
          </w:tcPr>
          <w:p>
            <w:r>
              <w:t>Solução definitiva e RFC associada</w:t>
            </w:r>
          </w:p>
        </w:tc>
        <w:tc>
          <w:tcPr>
            <w:tcW w:type="dxa" w:w="2556"/>
            <w:vAlign w:val="center"/>
          </w:tcPr>
          <w:p>
            <w:r>
              <w:t>Correção improvisada sem validação adequada.</w:t>
            </w:r>
          </w:p>
        </w:tc>
      </w:tr>
      <w:tr>
        <w:tc>
          <w:tcPr>
            <w:tcW w:type="dxa" w:w="2556"/>
            <w:vAlign w:val="center"/>
          </w:tcPr>
          <w:p>
            <w:r>
              <w:t>P04 SLM</w:t>
            </w:r>
          </w:p>
        </w:tc>
        <w:tc>
          <w:tcPr>
            <w:tcW w:type="dxa" w:w="2556"/>
            <w:vAlign w:val="center"/>
          </w:tcPr>
          <w:p>
            <w:r>
              <w:t>P01 Incidentes</w:t>
            </w:r>
          </w:p>
        </w:tc>
        <w:tc>
          <w:tcPr>
            <w:tcW w:type="dxa" w:w="2556"/>
            <w:vAlign w:val="center"/>
          </w:tcPr>
          <w:p>
            <w:r>
              <w:t>Relatórios de cumprimento de SLA</w:t>
            </w:r>
          </w:p>
        </w:tc>
        <w:tc>
          <w:tcPr>
            <w:tcW w:type="dxa" w:w="2556"/>
            <w:vAlign w:val="center"/>
          </w:tcPr>
          <w:p>
            <w:r>
              <w:t>Dificuldade para medir níveis de serviço e alinhar expectativas.</w:t>
            </w:r>
          </w:p>
        </w:tc>
      </w:tr>
      <w:tr>
        <w:tc>
          <w:tcPr>
            <w:tcW w:type="dxa" w:w="2556"/>
            <w:vAlign w:val="center"/>
          </w:tcPr>
          <w:p>
            <w:r>
              <w:t>P05 Continuidade</w:t>
            </w:r>
          </w:p>
        </w:tc>
        <w:tc>
          <w:tcPr>
            <w:tcW w:type="dxa" w:w="2556"/>
            <w:vAlign w:val="center"/>
          </w:tcPr>
          <w:p>
            <w:r>
              <w:t>P04 SLM/Catálogo</w:t>
            </w:r>
          </w:p>
        </w:tc>
        <w:tc>
          <w:tcPr>
            <w:tcW w:type="dxa" w:w="2556"/>
            <w:vAlign w:val="center"/>
          </w:tcPr>
          <w:p>
            <w:r>
              <w:t>Criticidade e RTO/RPO acordados</w:t>
            </w:r>
          </w:p>
        </w:tc>
        <w:tc>
          <w:tcPr>
            <w:tcW w:type="dxa" w:w="2556"/>
            <w:vAlign w:val="center"/>
          </w:tcPr>
          <w:p>
            <w:r>
              <w:t>Dimensionamento de DRP desalinhado às prioridades do negócio.</w:t>
            </w:r>
          </w:p>
        </w:tc>
      </w:tr>
      <w:tr>
        <w:tc>
          <w:tcPr>
            <w:tcW w:type="dxa" w:w="2556"/>
            <w:vAlign w:val="center"/>
          </w:tcPr>
          <w:p>
            <w:r>
              <w:t>P06 SGSI</w:t>
            </w:r>
          </w:p>
        </w:tc>
        <w:tc>
          <w:tcPr>
            <w:tcW w:type="dxa" w:w="2556"/>
            <w:vAlign w:val="center"/>
          </w:tcPr>
          <w:p>
            <w:r>
              <w:t>P07 ITAM/CMDB</w:t>
            </w:r>
          </w:p>
        </w:tc>
        <w:tc>
          <w:tcPr>
            <w:tcW w:type="dxa" w:w="2556"/>
            <w:vAlign w:val="center"/>
          </w:tcPr>
          <w:p>
            <w:r>
              <w:t>Inventário atualizado de ativos</w:t>
            </w:r>
          </w:p>
        </w:tc>
        <w:tc>
          <w:tcPr>
            <w:tcW w:type="dxa" w:w="2556"/>
            <w:vAlign w:val="center"/>
          </w:tcPr>
          <w:p>
            <w:r>
              <w:t>Pontos cegos de segurança por ativos não mapeados.</w:t>
            </w:r>
          </w:p>
        </w:tc>
      </w:tr>
      <w:tr>
        <w:tc>
          <w:tcPr>
            <w:tcW w:type="dxa" w:w="2556"/>
            <w:vAlign w:val="center"/>
          </w:tcPr>
          <w:p>
            <w:r>
              <w:t>P08 Fornecedores</w:t>
            </w:r>
          </w:p>
        </w:tc>
        <w:tc>
          <w:tcPr>
            <w:tcW w:type="dxa" w:w="2556"/>
            <w:vAlign w:val="center"/>
          </w:tcPr>
          <w:p>
            <w:r>
              <w:t>P06 SGSI/LGPD</w:t>
            </w:r>
          </w:p>
        </w:tc>
        <w:tc>
          <w:tcPr>
            <w:tcW w:type="dxa" w:w="2556"/>
            <w:vAlign w:val="center"/>
          </w:tcPr>
          <w:p>
            <w:r>
              <w:t>Requisitos de segurança e acordos de tratamento de dados</w:t>
            </w:r>
          </w:p>
        </w:tc>
        <w:tc>
          <w:tcPr>
            <w:tcW w:type="dxa" w:w="2556"/>
            <w:vAlign w:val="center"/>
          </w:tcPr>
          <w:p>
            <w:r>
              <w:t>Risco de contratação sem cláusulas adequadas.</w:t>
            </w:r>
          </w:p>
        </w:tc>
      </w:tr>
      <w:tr>
        <w:tc>
          <w:tcPr>
            <w:tcW w:type="dxa" w:w="2556"/>
            <w:vAlign w:val="center"/>
          </w:tcPr>
          <w:p>
            <w:r>
              <w:t>P09 FinOps</w:t>
            </w:r>
          </w:p>
        </w:tc>
        <w:tc>
          <w:tcPr>
            <w:tcW w:type="dxa" w:w="2556"/>
            <w:vAlign w:val="center"/>
          </w:tcPr>
          <w:p>
            <w:r>
              <w:t>P07 ITAM/SAM</w:t>
            </w:r>
          </w:p>
        </w:tc>
        <w:tc>
          <w:tcPr>
            <w:tcW w:type="dxa" w:w="2556"/>
            <w:vAlign w:val="center"/>
          </w:tcPr>
          <w:p>
            <w:r>
              <w:t>Inventário de licenças e recursos de nuvem</w:t>
            </w:r>
          </w:p>
        </w:tc>
        <w:tc>
          <w:tcPr>
            <w:tcW w:type="dxa" w:w="2556"/>
            <w:vAlign w:val="center"/>
          </w:tcPr>
          <w:p>
            <w:r>
              <w:t>Desperdício por recursos ociosos, subutilizados ou duplicados.</w:t>
            </w:r>
          </w:p>
        </w:tc>
      </w:tr>
      <w:tr>
        <w:tc>
          <w:tcPr>
            <w:tcW w:type="dxa" w:w="2556"/>
            <w:vAlign w:val="center"/>
          </w:tcPr>
          <w:p>
            <w:r>
              <w:t>P10 CSI/Auditoria</w:t>
            </w:r>
          </w:p>
        </w:tc>
        <w:tc>
          <w:tcPr>
            <w:tcW w:type="dxa" w:w="2556"/>
            <w:vAlign w:val="center"/>
          </w:tcPr>
          <w:p>
            <w:r>
              <w:t>P01 a P09</w:t>
            </w:r>
          </w:p>
        </w:tc>
        <w:tc>
          <w:tcPr>
            <w:tcW w:type="dxa" w:w="2556"/>
            <w:vAlign w:val="center"/>
          </w:tcPr>
          <w:p>
            <w:r>
              <w:t>Evidências de processo e KPIs</w:t>
            </w:r>
          </w:p>
        </w:tc>
        <w:tc>
          <w:tcPr>
            <w:tcW w:type="dxa" w:w="2556"/>
            <w:vAlign w:val="center"/>
          </w:tcPr>
          <w:p>
            <w:r>
              <w:t>Limitação para avaliar controles e manter registro de melhorias.</w:t>
            </w:r>
          </w:p>
        </w:tc>
      </w:tr>
    </w:tbl>
    <w:p/>
    <w:p>
      <w:pPr>
        <w:pStyle w:val="Heading1"/>
      </w:pPr>
      <w:r>
        <w:t>4. Cronograma e marcos de transição (Quality Gates)</w:t>
      </w:r>
    </w:p>
    <w:p>
      <w:r>
        <w:t>Os gates abaixo são critérios propostos para decidir se há condições de avançar. A aprovação formal, quando aplicável a uma organização real, deverá ocorrer por instâncias designadas pela própria organização. Percentuais e resultados são metas do cenário, não resultados alcançados.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Gate</w:t>
            </w:r>
          </w:p>
        </w:tc>
        <w:tc>
          <w:tcPr>
            <w:tcW w:type="dxa" w:w="3408"/>
            <w:shd w:fill="D9EAF7"/>
          </w:tcPr>
          <w:p>
            <w:r>
              <w:rPr>
                <w:b/>
              </w:rPr>
              <w:t>Momento</w:t>
            </w:r>
          </w:p>
        </w:tc>
        <w:tc>
          <w:tcPr>
            <w:tcW w:type="dxa" w:w="3408"/>
            <w:shd w:fill="D9EAF7"/>
          </w:tcPr>
          <w:p>
            <w:r>
              <w:rPr>
                <w:b/>
              </w:rPr>
              <w:t>Critérios propostos do original, contextualizados</w:t>
            </w:r>
          </w:p>
        </w:tc>
      </w:tr>
      <w:tr>
        <w:tc>
          <w:tcPr>
            <w:tcW w:type="dxa" w:w="3408"/>
            <w:vAlign w:val="center"/>
          </w:tcPr>
          <w:p>
            <w:r>
              <w:t>1</w:t>
            </w:r>
          </w:p>
        </w:tc>
        <w:tc>
          <w:tcPr>
            <w:tcW w:type="dxa" w:w="3408"/>
            <w:vAlign w:val="center"/>
          </w:tcPr>
          <w:p>
            <w:r>
              <w:t>Fim do Mês 03</w:t>
            </w:r>
          </w:p>
        </w:tc>
        <w:tc>
          <w:tcPr>
            <w:tcW w:type="dxa" w:w="3408"/>
            <w:vAlign w:val="center"/>
          </w:tcPr>
          <w:p>
            <w:r>
              <w:t>Revisão do diagnóstico e do Documento Mestre; operação inicial do Service Desk N1/N2; CMDB inicial com ≥ 90% dos CIs críticos mapeados, se a métrica e o universo estiverem definidos.</w:t>
            </w:r>
          </w:p>
        </w:tc>
      </w:tr>
      <w:tr>
        <w:tc>
          <w:tcPr>
            <w:tcW w:type="dxa" w:w="3408"/>
            <w:vAlign w:val="center"/>
          </w:tcPr>
          <w:p>
            <w:r>
              <w:t>2</w:t>
            </w:r>
          </w:p>
        </w:tc>
        <w:tc>
          <w:tcPr>
            <w:tcW w:type="dxa" w:w="3408"/>
            <w:vAlign w:val="center"/>
          </w:tcPr>
          <w:p>
            <w:r>
              <w:t>Fim do Mês 06</w:t>
            </w:r>
          </w:p>
        </w:tc>
        <w:tc>
          <w:tcPr>
            <w:tcW w:type="dxa" w:w="3408"/>
            <w:vAlign w:val="center"/>
          </w:tcPr>
          <w:p>
            <w:r>
              <w:t>Fluxo de mudanças em operação; meta proposta de aprovação prévia de 100% das implantações abrangidas; redução de 30% em recorrências por meio de KEDB, comparada a baseline definido.</w:t>
            </w:r>
          </w:p>
        </w:tc>
      </w:tr>
      <w:tr>
        <w:tc>
          <w:tcPr>
            <w:tcW w:type="dxa" w:w="3408"/>
            <w:vAlign w:val="center"/>
          </w:tcPr>
          <w:p>
            <w:r>
              <w:t>3</w:t>
            </w:r>
          </w:p>
        </w:tc>
        <w:tc>
          <w:tcPr>
            <w:tcW w:type="dxa" w:w="3408"/>
            <w:vAlign w:val="center"/>
          </w:tcPr>
          <w:p>
            <w:r>
              <w:t>Fim do Mês 09</w:t>
            </w:r>
          </w:p>
        </w:tc>
        <w:tc>
          <w:tcPr>
            <w:tcW w:type="dxa" w:w="3408"/>
            <w:vAlign w:val="center"/>
          </w:tcPr>
          <w:p>
            <w:r>
              <w:t>Catálogo publicado e SLAs pactuados; exercício de continuidade/DRP realizado para sistemas críticos conforme escopo e critérios aprovados.</w:t>
            </w:r>
          </w:p>
        </w:tc>
      </w:tr>
      <w:tr>
        <w:tc>
          <w:tcPr>
            <w:tcW w:type="dxa" w:w="3408"/>
            <w:vAlign w:val="center"/>
          </w:tcPr>
          <w:p>
            <w:r>
              <w:t>4</w:t>
            </w:r>
          </w:p>
        </w:tc>
        <w:tc>
          <w:tcPr>
            <w:tcW w:type="dxa" w:w="3408"/>
            <w:vAlign w:val="center"/>
          </w:tcPr>
          <w:p>
            <w:r>
              <w:t>Fim do Mês 14</w:t>
            </w:r>
          </w:p>
        </w:tc>
        <w:tc>
          <w:tcPr>
            <w:tcW w:type="dxa" w:w="3408"/>
            <w:vAlign w:val="center"/>
          </w:tcPr>
          <w:p>
            <w:r>
              <w:t>Avaliação de prontidão para eventual certificação ISO/IEC 27001; contratos e acordos de proteção de dados revistos para fornecedores críticos; avaliação de economia FinOps estimada em R$ 160.000,00.</w:t>
            </w:r>
          </w:p>
        </w:tc>
      </w:tr>
      <w:tr>
        <w:tc>
          <w:tcPr>
            <w:tcW w:type="dxa" w:w="3408"/>
            <w:vAlign w:val="center"/>
          </w:tcPr>
          <w:p>
            <w:r>
              <w:t>5</w:t>
            </w:r>
          </w:p>
        </w:tc>
        <w:tc>
          <w:tcPr>
            <w:tcW w:type="dxa" w:w="3408"/>
            <w:vAlign w:val="center"/>
          </w:tcPr>
          <w:p>
            <w:r>
              <w:t>Fim do Mês 18</w:t>
            </w:r>
          </w:p>
        </w:tc>
        <w:tc>
          <w:tcPr>
            <w:tcW w:type="dxa" w:w="3408"/>
            <w:vAlign w:val="center"/>
          </w:tcPr>
          <w:p>
            <w:r>
              <w:t>Ciclo de avaliação/auditoria interna concluído conforme escopo definido; registro de melhoria contínua operante; resultados apresentados à governança competente.</w:t>
            </w:r>
          </w:p>
        </w:tc>
      </w:tr>
    </w:tbl>
    <w:p/>
    <w:p>
      <w:r>
        <w:t>O texto original alterna critérios de entrega, resultados e certificação. Nesta versão, o Gate 4 não presume certificação ISO/IEC 27001, e o Gate 5 não presume auditoria independente ou conformidade normativa. A evidência e o método de verificação devem ser definidos antes de cada gate.</w:t>
      </w:r>
    </w:p>
    <w:p>
      <w:pPr>
        <w:pStyle w:val="Heading1"/>
      </w:pPr>
      <w:r>
        <w:t>5. Alocação de recursos e matriz RACI</w:t>
      </w:r>
    </w:p>
    <w:p>
      <w:r>
        <w:t>A matriz abaixo preserva a distribuição RACI apresentada no original como exemplo de desenho de responsabilidades. Os papéis são funções genéricas propostas e devem ser adaptados ao organograma e às regras de independência da organização.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rPr>
              <w:t>Projeto/processo</w:t>
            </w:r>
          </w:p>
        </w:tc>
        <w:tc>
          <w:tcPr>
            <w:tcW w:type="dxa" w:w="1704"/>
            <w:shd w:fill="D9EAF7"/>
          </w:tcPr>
          <w:p>
            <w:r>
              <w:rPr>
                <w:b/>
              </w:rPr>
              <w:t>Sponsor/Board</w:t>
            </w:r>
          </w:p>
        </w:tc>
        <w:tc>
          <w:tcPr>
            <w:tcW w:type="dxa" w:w="1704"/>
            <w:shd w:fill="D9EAF7"/>
          </w:tcPr>
          <w:p>
            <w:r>
              <w:rPr>
                <w:b/>
              </w:rPr>
              <w:t>Lead Governance Manager</w:t>
            </w:r>
          </w:p>
        </w:tc>
        <w:tc>
          <w:tcPr>
            <w:tcW w:type="dxa" w:w="1704"/>
            <w:shd w:fill="D9EAF7"/>
          </w:tcPr>
          <w:p>
            <w:r>
              <w:rPr>
                <w:b/>
              </w:rPr>
              <w:t>Process Owner</w:t>
            </w:r>
          </w:p>
        </w:tc>
        <w:tc>
          <w:tcPr>
            <w:tcW w:type="dxa" w:w="1704"/>
            <w:shd w:fill="D9EAF7"/>
          </w:tcPr>
          <w:p>
            <w:r>
              <w:rPr>
                <w:b/>
              </w:rPr>
              <w:t>Equipe N1/N2/N3</w:t>
            </w:r>
          </w:p>
        </w:tc>
        <w:tc>
          <w:tcPr>
            <w:tcW w:type="dxa" w:w="1704"/>
            <w:shd w:fill="D9EAF7"/>
          </w:tcPr>
          <w:p>
            <w:r>
              <w:rPr>
                <w:b/>
              </w:rPr>
              <w:t>Auditor/CISO</w:t>
            </w:r>
          </w:p>
        </w:tc>
      </w:tr>
      <w:tr>
        <w:tc>
          <w:tcPr>
            <w:tcW w:type="dxa" w:w="1704"/>
            <w:vAlign w:val="center"/>
          </w:tcPr>
          <w:p>
            <w:r>
              <w:t>P01 Incidentes</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R</w:t>
            </w:r>
          </w:p>
        </w:tc>
        <w:tc>
          <w:tcPr>
            <w:tcW w:type="dxa" w:w="1704"/>
            <w:vAlign w:val="center"/>
          </w:tcPr>
          <w:p>
            <w:r>
              <w:t>I</w:t>
            </w:r>
          </w:p>
        </w:tc>
      </w:tr>
      <w:tr>
        <w:tc>
          <w:tcPr>
            <w:tcW w:type="dxa" w:w="1704"/>
            <w:vAlign w:val="center"/>
          </w:tcPr>
          <w:p>
            <w:r>
              <w:t>P02 Problemas/KEDB</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R</w:t>
            </w:r>
          </w:p>
        </w:tc>
        <w:tc>
          <w:tcPr>
            <w:tcW w:type="dxa" w:w="1704"/>
            <w:vAlign w:val="center"/>
          </w:tcPr>
          <w:p>
            <w:r>
              <w:t>I</w:t>
            </w:r>
          </w:p>
        </w:tc>
      </w:tr>
      <w:tr>
        <w:tc>
          <w:tcPr>
            <w:tcW w:type="dxa" w:w="1704"/>
            <w:vAlign w:val="center"/>
          </w:tcPr>
          <w:p>
            <w:r>
              <w:t>P03 Mudanças/GMUD</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C</w:t>
            </w:r>
          </w:p>
        </w:tc>
        <w:tc>
          <w:tcPr>
            <w:tcW w:type="dxa" w:w="1704"/>
            <w:vAlign w:val="center"/>
          </w:tcPr>
          <w:p>
            <w:r>
              <w:t>C</w:t>
            </w:r>
          </w:p>
        </w:tc>
      </w:tr>
      <w:tr>
        <w:tc>
          <w:tcPr>
            <w:tcW w:type="dxa" w:w="1704"/>
            <w:vAlign w:val="center"/>
          </w:tcPr>
          <w:p>
            <w:r>
              <w:t>P04 SLM</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I</w:t>
            </w:r>
          </w:p>
        </w:tc>
        <w:tc>
          <w:tcPr>
            <w:tcW w:type="dxa" w:w="1704"/>
            <w:vAlign w:val="center"/>
          </w:tcPr>
          <w:p>
            <w:r>
              <w:t>I</w:t>
            </w:r>
          </w:p>
        </w:tc>
      </w:tr>
      <w:tr>
        <w:tc>
          <w:tcPr>
            <w:tcW w:type="dxa" w:w="1704"/>
            <w:vAlign w:val="center"/>
          </w:tcPr>
          <w:p>
            <w:r>
              <w:t>P05 Continuidade/DRP</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R</w:t>
            </w:r>
          </w:p>
        </w:tc>
        <w:tc>
          <w:tcPr>
            <w:tcW w:type="dxa" w:w="1704"/>
            <w:vAlign w:val="center"/>
          </w:tcPr>
          <w:p>
            <w:r>
              <w:t>C</w:t>
            </w:r>
          </w:p>
        </w:tc>
      </w:tr>
      <w:tr>
        <w:tc>
          <w:tcPr>
            <w:tcW w:type="dxa" w:w="1704"/>
            <w:vAlign w:val="center"/>
          </w:tcPr>
          <w:p>
            <w:r>
              <w:t>P06 SGSI</w:t>
            </w:r>
          </w:p>
        </w:tc>
        <w:tc>
          <w:tcPr>
            <w:tcW w:type="dxa" w:w="1704"/>
            <w:vAlign w:val="center"/>
          </w:tcPr>
          <w:p>
            <w:r>
              <w:t>A</w:t>
            </w:r>
          </w:p>
        </w:tc>
        <w:tc>
          <w:tcPr>
            <w:tcW w:type="dxa" w:w="1704"/>
            <w:vAlign w:val="center"/>
          </w:tcPr>
          <w:p>
            <w:r>
              <w:t>C</w:t>
            </w:r>
          </w:p>
        </w:tc>
        <w:tc>
          <w:tcPr>
            <w:tcW w:type="dxa" w:w="1704"/>
            <w:vAlign w:val="center"/>
          </w:tcPr>
          <w:p>
            <w:r>
              <w:t>C</w:t>
            </w:r>
          </w:p>
        </w:tc>
        <w:tc>
          <w:tcPr>
            <w:tcW w:type="dxa" w:w="1704"/>
            <w:vAlign w:val="center"/>
          </w:tcPr>
          <w:p>
            <w:r>
              <w:t>R</w:t>
            </w:r>
          </w:p>
        </w:tc>
        <w:tc>
          <w:tcPr>
            <w:tcW w:type="dxa" w:w="1704"/>
            <w:vAlign w:val="center"/>
          </w:tcPr>
          <w:p>
            <w:r>
              <w:t>R</w:t>
            </w:r>
          </w:p>
        </w:tc>
      </w:tr>
      <w:tr>
        <w:tc>
          <w:tcPr>
            <w:tcW w:type="dxa" w:w="1704"/>
            <w:vAlign w:val="center"/>
          </w:tcPr>
          <w:p>
            <w:r>
              <w:t>P07 Ativos/CMDB</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R</w:t>
            </w:r>
          </w:p>
        </w:tc>
        <w:tc>
          <w:tcPr>
            <w:tcW w:type="dxa" w:w="1704"/>
            <w:vAlign w:val="center"/>
          </w:tcPr>
          <w:p>
            <w:r>
              <w:t>I</w:t>
            </w:r>
          </w:p>
        </w:tc>
      </w:tr>
      <w:tr>
        <w:tc>
          <w:tcPr>
            <w:tcW w:type="dxa" w:w="1704"/>
            <w:vAlign w:val="center"/>
          </w:tcPr>
          <w:p>
            <w:r>
              <w:t>P08 Fornecedores/BRM</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I</w:t>
            </w:r>
          </w:p>
        </w:tc>
        <w:tc>
          <w:tcPr>
            <w:tcW w:type="dxa" w:w="1704"/>
            <w:vAlign w:val="center"/>
          </w:tcPr>
          <w:p>
            <w:r>
              <w:t>C</w:t>
            </w:r>
          </w:p>
        </w:tc>
      </w:tr>
      <w:tr>
        <w:tc>
          <w:tcPr>
            <w:tcW w:type="dxa" w:w="1704"/>
            <w:vAlign w:val="center"/>
          </w:tcPr>
          <w:p>
            <w:r>
              <w:t>P09 Demanda/Capacidade/FinOps</w:t>
            </w:r>
          </w:p>
        </w:tc>
        <w:tc>
          <w:tcPr>
            <w:tcW w:type="dxa" w:w="1704"/>
            <w:vAlign w:val="center"/>
          </w:tcPr>
          <w:p>
            <w:r>
              <w:t>A</w:t>
            </w:r>
          </w:p>
        </w:tc>
        <w:tc>
          <w:tcPr>
            <w:tcW w:type="dxa" w:w="1704"/>
            <w:vAlign w:val="center"/>
          </w:tcPr>
          <w:p>
            <w:r>
              <w:t>C</w:t>
            </w:r>
          </w:p>
        </w:tc>
        <w:tc>
          <w:tcPr>
            <w:tcW w:type="dxa" w:w="1704"/>
            <w:vAlign w:val="center"/>
          </w:tcPr>
          <w:p>
            <w:r>
              <w:t>R</w:t>
            </w:r>
          </w:p>
        </w:tc>
        <w:tc>
          <w:tcPr>
            <w:tcW w:type="dxa" w:w="1704"/>
            <w:vAlign w:val="center"/>
          </w:tcPr>
          <w:p>
            <w:r>
              <w:t>R</w:t>
            </w:r>
          </w:p>
        </w:tc>
        <w:tc>
          <w:tcPr>
            <w:tcW w:type="dxa" w:w="1704"/>
            <w:vAlign w:val="center"/>
          </w:tcPr>
          <w:p>
            <w:r>
              <w:t>I</w:t>
            </w:r>
          </w:p>
        </w:tc>
      </w:tr>
      <w:tr>
        <w:tc>
          <w:tcPr>
            <w:tcW w:type="dxa" w:w="1704"/>
            <w:vAlign w:val="center"/>
          </w:tcPr>
          <w:p>
            <w:r>
              <w:t>P10 Avaliação/Auditoria/CSI</w:t>
            </w:r>
          </w:p>
        </w:tc>
        <w:tc>
          <w:tcPr>
            <w:tcW w:type="dxa" w:w="1704"/>
            <w:vAlign w:val="center"/>
          </w:tcPr>
          <w:p>
            <w:r>
              <w:t>A</w:t>
            </w:r>
          </w:p>
        </w:tc>
        <w:tc>
          <w:tcPr>
            <w:tcW w:type="dxa" w:w="1704"/>
            <w:vAlign w:val="center"/>
          </w:tcPr>
          <w:p>
            <w:r>
              <w:t>C</w:t>
            </w:r>
          </w:p>
        </w:tc>
        <w:tc>
          <w:tcPr>
            <w:tcW w:type="dxa" w:w="1704"/>
            <w:vAlign w:val="center"/>
          </w:tcPr>
          <w:p>
            <w:r>
              <w:t>C</w:t>
            </w:r>
          </w:p>
        </w:tc>
        <w:tc>
          <w:tcPr>
            <w:tcW w:type="dxa" w:w="1704"/>
            <w:vAlign w:val="center"/>
          </w:tcPr>
          <w:p>
            <w:r>
              <w:t>I</w:t>
            </w:r>
          </w:p>
        </w:tc>
        <w:tc>
          <w:tcPr>
            <w:tcW w:type="dxa" w:w="1704"/>
            <w:vAlign w:val="center"/>
          </w:tcPr>
          <w:p>
            <w:r>
              <w:t>R</w:t>
            </w:r>
          </w:p>
        </w:tc>
      </w:tr>
    </w:tbl>
    <w:p/>
    <w:p>
      <w:r>
        <w:t>Legenda: R = responsável pela execução; A = accountable/dono da decisão; C = consultado; I = informado. A matriz requer validação para evitar acúmulo de responsabilidade incompatível, especialmente entre execução de controles, segurança e avaliação independente.</w:t>
      </w:r>
    </w:p>
    <w:p>
      <w:pPr>
        <w:pStyle w:val="Heading1"/>
      </w:pPr>
      <w:r>
        <w:t>6. Gestão da mudança organizacional</w:t>
      </w:r>
    </w:p>
    <w:p>
      <w:r>
        <w:t>O roadmap cita o modelo de Kotter em oito passos como referência para apoiar adoção e comunicação. As atividades são propostas e não indicam que tenham sido executadas.</w:t>
      </w:r>
    </w:p>
    <w:p>
      <w:pPr>
        <w:pStyle w:val="ListNumber"/>
      </w:pPr>
      <w:r>
        <w:t>Criar senso de urgência com base em riscos e oportunidades comprovados no diagnóstico.</w:t>
      </w:r>
    </w:p>
    <w:p>
      <w:pPr>
        <w:pStyle w:val="ListNumber"/>
      </w:pPr>
      <w:r>
        <w:t>Formar uma coalizão orientadora com liderança e áreas relevantes.</w:t>
      </w:r>
    </w:p>
    <w:p>
      <w:pPr>
        <w:pStyle w:val="ListNumber"/>
      </w:pPr>
      <w:r>
        <w:t>Desenvolver uma visão de TI orientada a valor, segurança e transparência de custos.</w:t>
      </w:r>
    </w:p>
    <w:p>
      <w:pPr>
        <w:pStyle w:val="ListNumber"/>
      </w:pPr>
      <w:r>
        <w:t>Comunicar a visão e o andamento com workshops e boletins apropriados.</w:t>
      </w:r>
    </w:p>
    <w:p>
      <w:pPr>
        <w:pStyle w:val="ListNumber"/>
      </w:pPr>
      <w:r>
        <w:t>Capacitar as equipes e remover barreiras à adoção de processos e ferramentas.</w:t>
      </w:r>
    </w:p>
    <w:p>
      <w:pPr>
        <w:pStyle w:val="ListNumber"/>
      </w:pPr>
      <w:r>
        <w:t>Definir quick wins mensuráveis, com baseline e evidências.</w:t>
      </w:r>
    </w:p>
    <w:p>
      <w:pPr>
        <w:pStyle w:val="ListNumber"/>
      </w:pPr>
      <w:r>
        <w:t>Expandir práticas de segurança, FinOps e continuidade de forma progressiva.</w:t>
      </w:r>
    </w:p>
    <w:p>
      <w:pPr>
        <w:pStyle w:val="ListNumber"/>
      </w:pPr>
      <w:r>
        <w:t>Integrar a melhoria contínua às rotinas de gestão e avaliação.</w:t>
      </w:r>
    </w:p>
    <w:p>
      <w:pPr>
        <w:pStyle w:val="Heading1"/>
      </w:pPr>
      <w:r>
        <w:t>7. Matriz de riscos e contingências do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Risco do projeto</w:t>
            </w:r>
          </w:p>
        </w:tc>
        <w:tc>
          <w:tcPr>
            <w:tcW w:type="dxa" w:w="2556"/>
            <w:shd w:fill="D9EAF7"/>
          </w:tcPr>
          <w:p>
            <w:r>
              <w:rPr>
                <w:b/>
              </w:rPr>
              <w:t>Probabilidade/impacto indicados no original</w:t>
            </w:r>
          </w:p>
        </w:tc>
        <w:tc>
          <w:tcPr>
            <w:tcW w:type="dxa" w:w="2556"/>
            <w:shd w:fill="D9EAF7"/>
          </w:tcPr>
          <w:p>
            <w:r>
              <w:rPr>
                <w:b/>
              </w:rPr>
              <w:t>Ação preventiva proposta</w:t>
            </w:r>
          </w:p>
        </w:tc>
        <w:tc>
          <w:tcPr>
            <w:tcW w:type="dxa" w:w="2556"/>
            <w:shd w:fill="D9EAF7"/>
          </w:tcPr>
          <w:p>
            <w:r>
              <w:rPr>
                <w:b/>
              </w:rPr>
              <w:t>Contingência proposta</w:t>
            </w:r>
          </w:p>
        </w:tc>
      </w:tr>
      <w:tr>
        <w:tc>
          <w:tcPr>
            <w:tcW w:type="dxa" w:w="2556"/>
            <w:vAlign w:val="center"/>
          </w:tcPr>
          <w:p>
            <w:r>
              <w:t>Resistência das equipes técnicas</w:t>
            </w:r>
          </w:p>
        </w:tc>
        <w:tc>
          <w:tcPr>
            <w:tcW w:type="dxa" w:w="2556"/>
            <w:vAlign w:val="center"/>
          </w:tcPr>
          <w:p>
            <w:r>
              <w:t>Média/Alto</w:t>
            </w:r>
          </w:p>
        </w:tc>
        <w:tc>
          <w:tcPr>
            <w:tcW w:type="dxa" w:w="2556"/>
            <w:vAlign w:val="center"/>
          </w:tcPr>
          <w:p>
            <w:r>
              <w:t>Capacitação e participação das equipes no desenho dos procedimentos.</w:t>
            </w:r>
          </w:p>
        </w:tc>
        <w:tc>
          <w:tcPr>
            <w:tcW w:type="dxa" w:w="2556"/>
            <w:vAlign w:val="center"/>
          </w:tcPr>
          <w:p>
            <w:r>
              <w:t>Escalonamento de impedimentos e plano de adoção; evitar vinculação automática à avaliação individual sem governança adequada.</w:t>
            </w:r>
          </w:p>
        </w:tc>
      </w:tr>
      <w:tr>
        <w:tc>
          <w:tcPr>
            <w:tcW w:type="dxa" w:w="2556"/>
            <w:vAlign w:val="center"/>
          </w:tcPr>
          <w:p>
            <w:r>
              <w:t>Atraso na contratação de ITSM/CMDB/FinOps</w:t>
            </w:r>
          </w:p>
        </w:tc>
        <w:tc>
          <w:tcPr>
            <w:tcW w:type="dxa" w:w="2556"/>
            <w:vAlign w:val="center"/>
          </w:tcPr>
          <w:p>
            <w:r>
              <w:t>Média/Média</w:t>
            </w:r>
          </w:p>
        </w:tc>
        <w:tc>
          <w:tcPr>
            <w:tcW w:type="dxa" w:w="2556"/>
            <w:vAlign w:val="center"/>
          </w:tcPr>
          <w:p>
            <w:r>
              <w:t>Planejar requisitos técnicos, aquisição e contratação com antecedência.</w:t>
            </w:r>
          </w:p>
        </w:tc>
        <w:tc>
          <w:tcPr>
            <w:tcW w:type="dxa" w:w="2556"/>
            <w:vAlign w:val="center"/>
          </w:tcPr>
          <w:p>
            <w:r>
              <w:t>Utilizar templates temporários aprovados e com controles de acesso, retenção e segurança.</w:t>
            </w:r>
          </w:p>
        </w:tc>
      </w:tr>
      <w:tr>
        <w:tc>
          <w:tcPr>
            <w:tcW w:type="dxa" w:w="2556"/>
            <w:vAlign w:val="center"/>
          </w:tcPr>
          <w:p>
            <w:r>
              <w:t>Turnover de analistas-chave</w:t>
            </w:r>
          </w:p>
        </w:tc>
        <w:tc>
          <w:tcPr>
            <w:tcW w:type="dxa" w:w="2556"/>
            <w:vAlign w:val="center"/>
          </w:tcPr>
          <w:p>
            <w:r>
              <w:t>Média/Alto</w:t>
            </w:r>
          </w:p>
        </w:tc>
        <w:tc>
          <w:tcPr>
            <w:tcW w:type="dxa" w:w="2556"/>
            <w:vAlign w:val="center"/>
          </w:tcPr>
          <w:p>
            <w:r>
              <w:t>Documentar procedimentos e rotinas e organizar matriz de treinamento.</w:t>
            </w:r>
          </w:p>
        </w:tc>
        <w:tc>
          <w:tcPr>
            <w:tcW w:type="dxa" w:w="2556"/>
            <w:vAlign w:val="center"/>
          </w:tcPr>
          <w:p>
            <w:r>
              <w:t>Onboarding estruturado e redistribuição temporária de responsabilidades.</w:t>
            </w:r>
          </w:p>
        </w:tc>
      </w:tr>
      <w:tr>
        <w:tc>
          <w:tcPr>
            <w:tcW w:type="dxa" w:w="2556"/>
            <w:vAlign w:val="center"/>
          </w:tcPr>
          <w:p>
            <w:r>
              <w:t>Perda de patrocínio executivo</w:t>
            </w:r>
          </w:p>
        </w:tc>
        <w:tc>
          <w:tcPr>
            <w:tcW w:type="dxa" w:w="2556"/>
            <w:vAlign w:val="center"/>
          </w:tcPr>
          <w:p>
            <w:r>
              <w:t>Baixa/Crítico</w:t>
            </w:r>
          </w:p>
        </w:tc>
        <w:tc>
          <w:tcPr>
            <w:tcW w:type="dxa" w:w="2556"/>
            <w:vAlign w:val="center"/>
          </w:tcPr>
          <w:p>
            <w:r>
              <w:t>Reportar andamento, riscos, decisões pendentes e benefícios validados em intervalos definidos.</w:t>
            </w:r>
          </w:p>
        </w:tc>
        <w:tc>
          <w:tcPr>
            <w:tcW w:type="dxa" w:w="2556"/>
            <w:vAlign w:val="center"/>
          </w:tcPr>
          <w:p>
            <w:r>
              <w:t>Revalidar patrocínio, escopo, prioridades e business case com a nova liderança.</w:t>
            </w:r>
          </w:p>
        </w:tc>
      </w:tr>
    </w:tbl>
    <w:p/>
    <w:p>
      <w:pPr>
        <w:pStyle w:val="Heading1"/>
      </w:pPr>
      <w:r>
        <w:t>8. Anexos operacionais</w:t>
      </w:r>
    </w:p>
    <w:p>
      <w:pPr>
        <w:pStyle w:val="Heading2"/>
      </w:pPr>
      <w:r>
        <w:t>Anexo A — Checklist de transição entre fases</w:t>
      </w:r>
    </w:p>
    <w:p>
      <w:pPr>
        <w:pStyle w:val="ListBullet"/>
      </w:pPr>
      <w:r>
        <w:t>Os documentos e entregáveis previstos para a onda foram elaborados e revisados?</w:t>
      </w:r>
    </w:p>
    <w:p>
      <w:pPr>
        <w:pStyle w:val="ListBullet"/>
      </w:pPr>
      <w:r>
        <w:t>Os procedimentos operacionais foram revisados e as equipes relevantes receberam capacitação?</w:t>
      </w:r>
    </w:p>
    <w:p>
      <w:pPr>
        <w:pStyle w:val="ListBullet"/>
      </w:pPr>
      <w:r>
        <w:t>As ferramentas e integrações foram testadas em ambiente apropriado e a entrada em produção foi autorizada?</w:t>
      </w:r>
    </w:p>
    <w:p>
      <w:pPr>
        <w:pStyle w:val="ListBullet"/>
      </w:pPr>
      <w:r>
        <w:t>Os indicadores foram medidos com fórmulas, fontes, períodos e critérios definidos?</w:t>
      </w:r>
    </w:p>
    <w:p>
      <w:pPr>
        <w:pStyle w:val="ListBullet"/>
      </w:pPr>
      <w:r>
        <w:t>Riscos, pendências, achados e ações de melhoria foram registrados com responsáveis e prazos?</w:t>
      </w:r>
    </w:p>
    <w:p>
      <w:r>
        <w:t>O checklist deve ser adaptado ao escopo de cada onda. Assinaturas e aprovações somente devem ser registradas quando efetivamente realizadas.</w:t>
      </w:r>
    </w:p>
    <w:p>
      <w:pPr>
        <w:pStyle w:val="Heading2"/>
      </w:pPr>
      <w:r>
        <w:t>Anexo B — Modelo de relatório mensal de progresso (PSR)</w:t>
      </w:r>
    </w:p>
    <w:p>
      <w:pPr>
        <w:pStyle w:val="ListBullet"/>
      </w:pPr>
      <w:r>
        <w:t>Status do cronograma: avanço real versus planejado por onda.</w:t>
      </w:r>
    </w:p>
    <w:p>
      <w:pPr>
        <w:pStyle w:val="ListBullet"/>
      </w:pPr>
      <w:r>
        <w:t>Execução financeira: CAPEX/OPEX incorrido versus orçamento simulado.</w:t>
      </w:r>
    </w:p>
    <w:p>
      <w:pPr>
        <w:pStyle w:val="ListBullet"/>
      </w:pPr>
      <w:r>
        <w:t>Entregas e resultados do período, com evidências.</w:t>
      </w:r>
    </w:p>
    <w:p>
      <w:pPr>
        <w:pStyle w:val="ListBullet"/>
      </w:pPr>
      <w:r>
        <w:t>Riscos, bloqueios, decisões requeridas e planos de ação.</w:t>
      </w:r>
    </w:p>
    <w:p>
      <w:pPr>
        <w:pStyle w:val="ListBullet"/>
      </w:pPr>
      <w:r>
        <w:t>Indicadores operacionais: SLA, MTTR, CSAT, FinOps e métricas pertinentes.</w:t>
      </w:r>
    </w:p>
    <w:p>
      <w:pPr>
        <w:pStyle w:val="Heading2"/>
      </w:pPr>
      <w:r>
        <w:t>Anexo C — Matriz integrada de rastreabilidade normativa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Domínio</w:t>
            </w:r>
          </w:p>
        </w:tc>
        <w:tc>
          <w:tcPr>
            <w:tcW w:type="dxa" w:w="2556"/>
            <w:shd w:fill="D9EAF7"/>
          </w:tcPr>
          <w:p>
            <w:r>
              <w:rPr>
                <w:b/>
              </w:rPr>
              <w:t>Referenciais citados no original</w:t>
            </w:r>
          </w:p>
        </w:tc>
        <w:tc>
          <w:tcPr>
            <w:tcW w:type="dxa" w:w="2556"/>
            <w:shd w:fill="D9EAF7"/>
          </w:tcPr>
          <w:p>
            <w:r>
              <w:rPr>
                <w:b/>
              </w:rPr>
              <w:t>Processos relacionados</w:t>
            </w:r>
          </w:p>
        </w:tc>
        <w:tc>
          <w:tcPr>
            <w:tcW w:type="dxa" w:w="2556"/>
            <w:shd w:fill="D9EAF7"/>
          </w:tcPr>
          <w:p>
            <w:r>
              <w:rPr>
                <w:b/>
              </w:rPr>
              <w:t>Exemplos de evidência a produzir</w:t>
            </w:r>
          </w:p>
        </w:tc>
      </w:tr>
      <w:tr>
        <w:tc>
          <w:tcPr>
            <w:tcW w:type="dxa" w:w="2556"/>
            <w:vAlign w:val="center"/>
          </w:tcPr>
          <w:p>
            <w:r>
              <w:t>Governança e direcionamento</w:t>
            </w:r>
          </w:p>
        </w:tc>
        <w:tc>
          <w:tcPr>
            <w:tcW w:type="dxa" w:w="2556"/>
            <w:vAlign w:val="center"/>
          </w:tcPr>
          <w:p>
            <w:r>
              <w:t>ISO/IEC 38500; COBIT; ISO 37001/37301</w:t>
            </w:r>
          </w:p>
        </w:tc>
        <w:tc>
          <w:tcPr>
            <w:tcW w:type="dxa" w:w="2556"/>
            <w:vAlign w:val="center"/>
          </w:tcPr>
          <w:p>
            <w:r>
              <w:t>Documento Mestre, P04, P08, P10</w:t>
            </w:r>
          </w:p>
        </w:tc>
        <w:tc>
          <w:tcPr>
            <w:tcW w:type="dxa" w:w="2556"/>
            <w:vAlign w:val="center"/>
          </w:tcPr>
          <w:p>
            <w:r>
              <w:t>Atas reais, matriz RACI validada e relatórios de desempenho, quando existentes.</w:t>
            </w:r>
          </w:p>
        </w:tc>
      </w:tr>
      <w:tr>
        <w:tc>
          <w:tcPr>
            <w:tcW w:type="dxa" w:w="2556"/>
            <w:vAlign w:val="center"/>
          </w:tcPr>
          <w:p>
            <w:r>
              <w:t>Gestão de serviços</w:t>
            </w:r>
          </w:p>
        </w:tc>
        <w:tc>
          <w:tcPr>
            <w:tcW w:type="dxa" w:w="2556"/>
            <w:vAlign w:val="center"/>
          </w:tcPr>
          <w:p>
            <w:r>
              <w:t>ISO/IEC 20000-1; ITIL; Lean IT</w:t>
            </w:r>
          </w:p>
        </w:tc>
        <w:tc>
          <w:tcPr>
            <w:tcW w:type="dxa" w:w="2556"/>
            <w:vAlign w:val="center"/>
          </w:tcPr>
          <w:p>
            <w:r>
              <w:t>P01, P02, P03, P04, P07</w:t>
            </w:r>
          </w:p>
        </w:tc>
        <w:tc>
          <w:tcPr>
            <w:tcW w:type="dxa" w:w="2556"/>
            <w:vAlign w:val="center"/>
          </w:tcPr>
          <w:p>
            <w:r>
              <w:t>Registros ITSM, mudanças, KEDB e CMDB.</w:t>
            </w:r>
          </w:p>
        </w:tc>
      </w:tr>
      <w:tr>
        <w:tc>
          <w:tcPr>
            <w:tcW w:type="dxa" w:w="2556"/>
            <w:vAlign w:val="center"/>
          </w:tcPr>
          <w:p>
            <w:r>
              <w:t>Segurança e ciberdefesa</w:t>
            </w:r>
          </w:p>
        </w:tc>
        <w:tc>
          <w:tcPr>
            <w:tcW w:type="dxa" w:w="2556"/>
            <w:vAlign w:val="center"/>
          </w:tcPr>
          <w:p>
            <w:r>
              <w:t>ISO/IEC 27001/27002; CIS Controls</w:t>
            </w:r>
          </w:p>
        </w:tc>
        <w:tc>
          <w:tcPr>
            <w:tcW w:type="dxa" w:w="2556"/>
            <w:vAlign w:val="center"/>
          </w:tcPr>
          <w:p>
            <w:r>
              <w:t>P06, P01, P07, P08</w:t>
            </w:r>
          </w:p>
        </w:tc>
        <w:tc>
          <w:tcPr>
            <w:tcW w:type="dxa" w:w="2556"/>
            <w:vAlign w:val="center"/>
          </w:tcPr>
          <w:p>
            <w:r>
              <w:t>Políticas aprovadas, SoA, logs e relatórios de segurança, quando implementados.</w:t>
            </w:r>
          </w:p>
        </w:tc>
      </w:tr>
      <w:tr>
        <w:tc>
          <w:tcPr>
            <w:tcW w:type="dxa" w:w="2556"/>
            <w:vAlign w:val="center"/>
          </w:tcPr>
          <w:p>
            <w:r>
              <w:t>Riscos e continuidade</w:t>
            </w:r>
          </w:p>
        </w:tc>
        <w:tc>
          <w:tcPr>
            <w:tcW w:type="dxa" w:w="2556"/>
            <w:vAlign w:val="center"/>
          </w:tcPr>
          <w:p>
            <w:r>
              <w:t>ISO 31000; ISO 22301; ISO/IEC 27005</w:t>
            </w:r>
          </w:p>
        </w:tc>
        <w:tc>
          <w:tcPr>
            <w:tcW w:type="dxa" w:w="2556"/>
            <w:vAlign w:val="center"/>
          </w:tcPr>
          <w:p>
            <w:r>
              <w:t>P05, P02, P06, P10</w:t>
            </w:r>
          </w:p>
        </w:tc>
        <w:tc>
          <w:tcPr>
            <w:tcW w:type="dxa" w:w="2556"/>
            <w:vAlign w:val="center"/>
          </w:tcPr>
          <w:p>
            <w:r>
              <w:t>BIA, plano de recuperação, resultados de exercício e avaliação de riscos.</w:t>
            </w:r>
          </w:p>
        </w:tc>
      </w:tr>
      <w:tr>
        <w:tc>
          <w:tcPr>
            <w:tcW w:type="dxa" w:w="2556"/>
            <w:vAlign w:val="center"/>
          </w:tcPr>
          <w:p>
            <w:r>
              <w:t>Finanças e agilidade</w:t>
            </w:r>
          </w:p>
        </w:tc>
        <w:tc>
          <w:tcPr>
            <w:tcW w:type="dxa" w:w="2556"/>
            <w:vAlign w:val="center"/>
          </w:tcPr>
          <w:p>
            <w:r>
              <w:t>FinOps; COSO; SOX; DevOps Handbook</w:t>
            </w:r>
          </w:p>
        </w:tc>
        <w:tc>
          <w:tcPr>
            <w:tcW w:type="dxa" w:w="2556"/>
            <w:vAlign w:val="center"/>
          </w:tcPr>
          <w:p>
            <w:r>
              <w:t>P09, P03, P08, P10</w:t>
            </w:r>
          </w:p>
        </w:tc>
        <w:tc>
          <w:tcPr>
            <w:tcW w:type="dxa" w:w="2556"/>
            <w:vAlign w:val="center"/>
          </w:tcPr>
          <w:p>
            <w:r>
              <w:t>Relatórios de custos, registros de mudanças e controles aplicáveis.</w:t>
            </w:r>
          </w:p>
        </w:tc>
      </w:tr>
    </w:tbl>
    <w:p/>
    <w:p>
      <w:r>
        <w:t>O original menciona 59 fontes técnicas e normativas, mas este documento não apresenta o inventário integral. A matriz é parcial e ilustrativa; não comprova rastreabilidade completa nem conformidade.</w:t>
      </w:r>
    </w:p>
    <w:p>
      <w:pPr>
        <w:pStyle w:val="Heading1"/>
      </w:pPr>
      <w:r>
        <w:t>Premissas, limitações e próximos passos</w:t>
      </w:r>
    </w:p>
    <w:p>
      <w:pPr>
        <w:pStyle w:val="ListBullet"/>
      </w:pPr>
      <w:r>
        <w:t>Todos os valores financeiros, metas, economias, resultados, níveis de maturidade e prazos são simulados ou estimados.</w:t>
      </w:r>
    </w:p>
    <w:p>
      <w:pPr>
        <w:pStyle w:val="ListBullet"/>
      </w:pPr>
      <w:r>
        <w:t>Os 90 dias representam uma implantação inicial ilustrativa; os 18 meses representam evolução e maturação. Ambos os horizontes podem ser revistos.</w:t>
      </w:r>
    </w:p>
    <w:p>
      <w:pPr>
        <w:pStyle w:val="ListBullet"/>
      </w:pPr>
      <w:r>
        <w:t>Não se afirma que houve implantação, aprovação corporativa, auditoria concluída, conformidade integral ou certificação.</w:t>
      </w:r>
    </w:p>
    <w:p>
      <w:pPr>
        <w:pStyle w:val="ListBullet"/>
      </w:pPr>
      <w:r>
        <w:t>Antes de uso real, validar referências normativas, aplicabilidade, metas, critérios de aceite, segurança, privacidade e governança.</w:t>
      </w:r>
    </w:p>
    <w:p>
      <w:pPr>
        <w:pStyle w:val="ListBullet"/>
      </w:pPr>
      <w:r>
        <w:t>Antes de usar ROI, VPL, payback ou economia estimada como decisão financeira, elaborar e revisar memória de cálculo reproduzível.</w:t>
      </w:r>
    </w:p>
    <w:p>
      <w:pPr>
        <w:pStyle w:val="ListBullet"/>
      </w:pPr>
      <w:r>
        <w:t>Os documentos e evidências de uma eventual implantação real devem ser gerados a partir de atividades efetivamente realizadas, não de exemplos do case.</w:t>
      </w:r>
    </w:p>
    <w:p>
      <w:pPr>
        <w:pStyle w:val="Heading1"/>
      </w:pPr>
      <w:r>
        <w:t>Registro das principais decisões editoriais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Tema</w:t>
            </w:r>
          </w:p>
        </w:tc>
        <w:tc>
          <w:tcPr>
            <w:tcW w:type="dxa" w:w="5112"/>
            <w:shd w:fill="D9EAF7"/>
          </w:tcPr>
          <w:p>
            <w:r>
              <w:rPr>
                <w:b/>
              </w:rPr>
              <w:t>Tratamento nesta versão</w:t>
            </w:r>
          </w:p>
        </w:tc>
      </w:tr>
      <w:tr>
        <w:tc>
          <w:tcPr>
            <w:tcW w:type="dxa" w:w="5112"/>
            <w:vAlign w:val="center"/>
          </w:tcPr>
          <w:p>
            <w:r>
              <w:t>Natureza e status</w:t>
            </w:r>
          </w:p>
        </w:tc>
        <w:tc>
          <w:tcPr>
            <w:tcW w:type="dxa" w:w="5112"/>
            <w:vAlign w:val="center"/>
          </w:tcPr>
          <w:p>
            <w:r>
              <w:t>Removidas afirmações de aprovação corporativa; documento identificado como case conceitual.</w:t>
            </w:r>
          </w:p>
        </w:tc>
      </w:tr>
      <w:tr>
        <w:tc>
          <w:tcPr>
            <w:tcW w:type="dxa" w:w="5112"/>
            <w:vAlign w:val="center"/>
          </w:tcPr>
          <w:p>
            <w:r>
              <w:t>Prazos</w:t>
            </w:r>
          </w:p>
        </w:tc>
        <w:tc>
          <w:tcPr>
            <w:tcW w:type="dxa" w:w="5112"/>
            <w:vAlign w:val="center"/>
          </w:tcPr>
          <w:p>
            <w:r>
              <w:t>18 meses como horizonte de evolução; implantação inicial de 90 dias como estimativa não garantida.</w:t>
            </w:r>
          </w:p>
        </w:tc>
      </w:tr>
      <w:tr>
        <w:tc>
          <w:tcPr>
            <w:tcW w:type="dxa" w:w="5112"/>
            <w:vAlign w:val="center"/>
          </w:tcPr>
          <w:p>
            <w:r>
              <w:t>Financeiro</w:t>
            </w:r>
          </w:p>
        </w:tc>
        <w:tc>
          <w:tcPr>
            <w:tcW w:type="dxa" w:w="5112"/>
            <w:vAlign w:val="center"/>
          </w:tcPr>
          <w:p>
            <w:r>
              <w:t>Valores preservados como simulados; não foram recalculados.</w:t>
            </w:r>
          </w:p>
        </w:tc>
      </w:tr>
      <w:tr>
        <w:tc>
          <w:tcPr>
            <w:tcW w:type="dxa" w:w="5112"/>
            <w:vAlign w:val="center"/>
          </w:tcPr>
          <w:p>
            <w:r>
              <w:t>Metas e gates</w:t>
            </w:r>
          </w:p>
        </w:tc>
        <w:tc>
          <w:tcPr>
            <w:tcW w:type="dxa" w:w="5112"/>
            <w:vAlign w:val="center"/>
          </w:tcPr>
          <w:p>
            <w:r>
              <w:t>Mantidos como alvos propostos, com ressalvas sobre baseline e evidência.</w:t>
            </w:r>
          </w:p>
        </w:tc>
      </w:tr>
      <w:tr>
        <w:tc>
          <w:tcPr>
            <w:tcW w:type="dxa" w:w="5112"/>
            <w:vAlign w:val="center"/>
          </w:tcPr>
          <w:p>
            <w:r>
              <w:t>RACI</w:t>
            </w:r>
          </w:p>
        </w:tc>
        <w:tc>
          <w:tcPr>
            <w:tcW w:type="dxa" w:w="5112"/>
            <w:vAlign w:val="center"/>
          </w:tcPr>
          <w:p>
            <w:r>
              <w:t>Matriz preservada como exemplo, sujeita a validação organizacional.</w:t>
            </w:r>
          </w:p>
        </w:tc>
      </w:tr>
      <w:tr>
        <w:tc>
          <w:tcPr>
            <w:tcW w:type="dxa" w:w="5112"/>
            <w:vAlign w:val="center"/>
          </w:tcPr>
          <w:p>
            <w:r>
              <w:t>Referências</w:t>
            </w:r>
          </w:p>
        </w:tc>
        <w:tc>
          <w:tcPr>
            <w:tcW w:type="dxa" w:w="5112"/>
            <w:vAlign w:val="center"/>
          </w:tcPr>
          <w:p>
            <w:r>
              <w:t>Referenciais citados mantidos; verificação de edição, correspondência e aplicabilidade pendente.</w:t>
            </w:r>
          </w:p>
        </w:tc>
      </w:tr>
      <w:tr>
        <w:tc>
          <w:tcPr>
            <w:tcW w:type="dxa" w:w="5112"/>
            <w:vAlign w:val="center"/>
          </w:tcPr>
          <w:p>
            <w:r>
              <w:t>Evidências</w:t>
            </w:r>
          </w:p>
        </w:tc>
        <w:tc>
          <w:tcPr>
            <w:tcW w:type="dxa" w:w="5112"/>
            <w:vAlign w:val="center"/>
          </w:tcPr>
          <w:p>
            <w:r>
              <w:t>Descritas como evidências esperadas, não como registros já existentes.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SGS / SGSI — Projeto autoral e conceitual | Material demonstrativo para portfólio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Consolidado Integrador SGS / SGSI</dc:title>
  <dc:subject>Case conceitual de implantação e maturação de governança de TI</dc:subject>
  <dc:creator>José Eduardo Moura Cardozo</dc:creator>
  <cp:keywords/>
  <dc:description>Versão revisada para portfólio; estimativas e resultados são simulados.</dc:description>
  <cp:lastModifiedBy/>
  <cp:revision>1</cp:revision>
  <dcterms:created xsi:type="dcterms:W3CDTF">2013-12-23T23:15:00Z</dcterms:created>
  <dcterms:modified xsi:type="dcterms:W3CDTF">2013-12-23T23:15:00Z</dcterms:modified>
  <cp:category/>
</cp:coreProperties>
</file>