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App CRM Audit Pack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task-app-crm-2026-audit-report-pack"/>
    <w:p>
      <w:pPr>
        <w:pStyle w:val="Heading1"/>
      </w:pPr>
      <w:r>
        <w:t xml:space="preserve">Task App CRM 2026 Audit Report Pack</w:t>
      </w:r>
    </w:p>
    <w:p>
      <w:pPr>
        <w:pStyle w:val="FirstParagraph"/>
      </w:pPr>
      <w:r>
        <w:t xml:space="preserve">Assessment date: 2026-05-21</w:t>
      </w:r>
    </w:p>
    <w:p>
      <w:pPr>
        <w:pStyle w:val="BodyText"/>
      </w:pPr>
      <w:r>
        <w:t xml:space="preserve">This folder contains an industry-standard audit pack for the current Task App CRM repository state.</w:t>
      </w:r>
    </w:p>
    <w:p>
      <w:pPr>
        <w:pStyle w:val="BodyText"/>
      </w:pPr>
      <w:r>
        <w:t xml:space="preserve">Reports:</w:t>
      </w:r>
    </w:p>
    <w:p>
      <w:pPr>
        <w:pStyle w:val="Compact"/>
        <w:numPr>
          <w:ilvl w:val="0"/>
          <w:numId w:val="1001"/>
        </w:numPr>
      </w:pPr>
      <w:hyperlink r:id="rId9">
        <w:r>
          <w:rPr>
            <w:rStyle w:val="Hyperlink"/>
          </w:rPr>
          <w:t xml:space="preserve">Executive Report</w:t>
        </w:r>
      </w:hyperlink>
    </w:p>
    <w:p>
      <w:pPr>
        <w:pStyle w:val="Compact"/>
        <w:numPr>
          <w:ilvl w:val="0"/>
          <w:numId w:val="1001"/>
        </w:numPr>
      </w:pPr>
      <w:hyperlink r:id="rId10">
        <w:r>
          <w:rPr>
            <w:rStyle w:val="Hyperlink"/>
          </w:rPr>
          <w:t xml:space="preserve">Engineering and Production Readiness</w:t>
        </w:r>
      </w:hyperlink>
    </w:p>
    <w:p>
      <w:pPr>
        <w:pStyle w:val="Compact"/>
        <w:numPr>
          <w:ilvl w:val="0"/>
          <w:numId w:val="1001"/>
        </w:numPr>
      </w:pPr>
      <w:hyperlink r:id="rId11">
        <w:r>
          <w:rPr>
            <w:rStyle w:val="Hyperlink"/>
          </w:rPr>
          <w:t xml:space="preserve">Security, Privacy, and Compliance</w:t>
        </w:r>
      </w:hyperlink>
    </w:p>
    <w:p>
      <w:pPr>
        <w:pStyle w:val="Compact"/>
        <w:numPr>
          <w:ilvl w:val="0"/>
          <w:numId w:val="1001"/>
        </w:numPr>
      </w:pPr>
      <w:hyperlink r:id="rId12">
        <w:r>
          <w:rPr>
            <w:rStyle w:val="Hyperlink"/>
          </w:rPr>
          <w:t xml:space="preserve">AI Governance and Accessibility</w:t>
        </w:r>
      </w:hyperlink>
    </w:p>
    <w:p>
      <w:pPr>
        <w:pStyle w:val="Compact"/>
        <w:numPr>
          <w:ilvl w:val="0"/>
          <w:numId w:val="1001"/>
        </w:numPr>
      </w:pPr>
      <w:hyperlink r:id="rId13">
        <w:r>
          <w:rPr>
            <w:rStyle w:val="Hyperlink"/>
          </w:rPr>
          <w:t xml:space="preserve">Risk Register</w:t>
        </w:r>
      </w:hyperlink>
    </w:p>
    <w:p>
      <w:pPr>
        <w:pStyle w:val="FirstParagraph"/>
      </w:pPr>
      <w:r>
        <w:t xml:space="preserve">Validation performed:</w:t>
      </w:r>
    </w:p>
    <w:p>
      <w:pPr>
        <w:pStyle w:val="Compact"/>
        <w:numPr>
          <w:ilvl w:val="0"/>
          <w:numId w:val="1002"/>
        </w:numPr>
      </w:pPr>
      <w:r>
        <w:rPr>
          <w:rStyle w:val="VerbatimChar"/>
        </w:rPr>
        <w:t xml:space="preserve">pnpm run typecheck</w:t>
      </w:r>
      <w:r>
        <w:t xml:space="preserve">: failed</w:t>
      </w:r>
    </w:p>
    <w:p>
      <w:pPr>
        <w:pStyle w:val="Compact"/>
        <w:numPr>
          <w:ilvl w:val="0"/>
          <w:numId w:val="1002"/>
        </w:numPr>
      </w:pPr>
      <w:r>
        <w:rPr>
          <w:rStyle w:val="VerbatimChar"/>
        </w:rPr>
        <w:t xml:space="preserve">pnpm run test</w:t>
      </w:r>
      <w:r>
        <w:t xml:space="preserve">: passed, 12 files, 190 tests passed, 3 skipped, 100 todo</w:t>
      </w:r>
    </w:p>
    <w:p>
      <w:pPr>
        <w:pStyle w:val="Compact"/>
        <w:numPr>
          <w:ilvl w:val="0"/>
          <w:numId w:val="1002"/>
        </w:numPr>
      </w:pPr>
      <w:r>
        <w:rPr>
          <w:rStyle w:val="VerbatimChar"/>
        </w:rPr>
        <w:t xml:space="preserve">pnpm run build:offline</w:t>
      </w:r>
      <w:r>
        <w:t xml:space="preserve">: passed</w:t>
      </w:r>
    </w:p>
    <w:p>
      <w:pPr>
        <w:pStyle w:val="Compact"/>
        <w:numPr>
          <w:ilvl w:val="0"/>
          <w:numId w:val="1002"/>
        </w:numPr>
      </w:pPr>
      <w:r>
        <w:rPr>
          <w:rStyle w:val="VerbatimChar"/>
        </w:rPr>
        <w:t xml:space="preserve">node scripts/assert-offline-bundle.mjs</w:t>
      </w:r>
      <w:r>
        <w:t xml:space="preserve">: passed for</w:t>
      </w:r>
      <w:r>
        <w:t xml:space="preserve"> </w:t>
      </w:r>
      <w:r>
        <w:rPr>
          <w:rStyle w:val="VerbatimChar"/>
        </w:rPr>
        <w:t xml:space="preserve">dist/offline/index.html</w:t>
      </w:r>
    </w:p>
    <w:p>
      <w:pPr>
        <w:pStyle w:val="Compact"/>
        <w:numPr>
          <w:ilvl w:val="0"/>
          <w:numId w:val="1002"/>
        </w:numPr>
      </w:pPr>
      <w:r>
        <w:rPr>
          <w:rStyle w:val="VerbatimChar"/>
        </w:rPr>
        <w:t xml:space="preserve">node scripts/assert-bundle-size.mjs</w:t>
      </w:r>
      <w:r>
        <w:t xml:space="preserve">: failed, browser AI build over budget by 12,318 raw bytes and 620 gzip bytes</w:t>
      </w:r>
    </w:p>
    <w:p>
      <w:pPr>
        <w:pStyle w:val="Compact"/>
        <w:numPr>
          <w:ilvl w:val="0"/>
          <w:numId w:val="1002"/>
        </w:numPr>
      </w:pPr>
      <w:r>
        <w:rPr>
          <w:rStyle w:val="VerbatimChar"/>
        </w:rPr>
        <w:t xml:space="preserve">pnpm run lint</w:t>
      </w:r>
      <w:r>
        <w:t xml:space="preserve">: failed because root script asks ESLint to lint</w:t>
      </w:r>
      <w:r>
        <w:t xml:space="preserve"> </w:t>
      </w:r>
      <w:r>
        <w:rPr>
          <w:rStyle w:val="VerbatimChar"/>
        </w:rPr>
        <w:t xml:space="preserve">server</w:t>
      </w:r>
      <w:r>
        <w:t xml:space="preserve"> </w:t>
      </w:r>
      <w:r>
        <w:t xml:space="preserve">while</w:t>
      </w:r>
      <w:r>
        <w:t xml:space="preserve"> </w:t>
      </w:r>
      <w:r>
        <w:rPr>
          <w:rStyle w:val="VerbatimChar"/>
        </w:rPr>
        <w:t xml:space="preserve">eslint.config.mjs</w:t>
      </w:r>
      <w:r>
        <w:t xml:space="preserve"> </w:t>
      </w:r>
      <w:r>
        <w:t xml:space="preserve">ignores</w:t>
      </w:r>
      <w:r>
        <w:t xml:space="preserve"> </w:t>
      </w:r>
      <w:r>
        <w:rPr>
          <w:rStyle w:val="VerbatimChar"/>
        </w:rPr>
        <w:t xml:space="preserve">server/**</w:t>
      </w:r>
    </w:p>
    <w:p>
      <w:pPr>
        <w:pStyle w:val="Compact"/>
        <w:numPr>
          <w:ilvl w:val="0"/>
          <w:numId w:val="1002"/>
        </w:numPr>
      </w:pPr>
      <w:r>
        <w:rPr>
          <w:rStyle w:val="VerbatimChar"/>
        </w:rPr>
        <w:t xml:space="preserve">pnpm audit --audit-level moderate</w:t>
      </w:r>
      <w:r>
        <w:t xml:space="preserve">: failed, 1 high vulnerability in</w:t>
      </w:r>
      <w:r>
        <w:t xml:space="preserve"> </w:t>
      </w:r>
      <w:r>
        <w:rPr>
          <w:rStyle w:val="VerbatimChar"/>
        </w:rPr>
        <w:t xml:space="preserve">drizzle-orm &lt;0.45.2</w:t>
      </w:r>
    </w:p>
    <w:p>
      <w:pPr>
        <w:pStyle w:val="FirstParagraph"/>
      </w:pPr>
      <w:r>
        <w:t xml:space="preserve">External benchmarks used:</w:t>
      </w:r>
    </w:p>
    <w:p>
      <w:pPr>
        <w:pStyle w:val="Compact"/>
        <w:numPr>
          <w:ilvl w:val="0"/>
          <w:numId w:val="1003"/>
        </w:numPr>
      </w:pPr>
      <w:r>
        <w:t xml:space="preserve">OWASP Top 10:2025: https://owasp.org/Top10/</w:t>
      </w:r>
    </w:p>
    <w:p>
      <w:pPr>
        <w:pStyle w:val="Compact"/>
        <w:numPr>
          <w:ilvl w:val="0"/>
          <w:numId w:val="1003"/>
        </w:numPr>
      </w:pPr>
      <w:r>
        <w:t xml:space="preserve">OWASP ASVS 5.0.0: https://owasp.org/www-project-application-security-verification-standard/</w:t>
      </w:r>
    </w:p>
    <w:p>
      <w:pPr>
        <w:pStyle w:val="Compact"/>
        <w:numPr>
          <w:ilvl w:val="0"/>
          <w:numId w:val="1003"/>
        </w:numPr>
      </w:pPr>
      <w:r>
        <w:t xml:space="preserve">OWASP LLM guidance: https://owasp.org/www-project-top-10-for-large-language-model-applications/</w:t>
      </w:r>
    </w:p>
    <w:p>
      <w:pPr>
        <w:pStyle w:val="Compact"/>
        <w:numPr>
          <w:ilvl w:val="0"/>
          <w:numId w:val="1003"/>
        </w:numPr>
      </w:pPr>
      <w:r>
        <w:t xml:space="preserve">OWASP LLMSVS 2.0: https://owasp.org/www-project-llm-verification-standard/LLMSVS-v2.0-en.html</w:t>
      </w:r>
    </w:p>
    <w:p>
      <w:pPr>
        <w:pStyle w:val="Compact"/>
        <w:numPr>
          <w:ilvl w:val="0"/>
          <w:numId w:val="1003"/>
        </w:numPr>
      </w:pPr>
      <w:r>
        <w:t xml:space="preserve">NIST CSF 2.0: https://www.nist.gov/publications/nist-cybersecurity-framework-csf-20</w:t>
      </w:r>
    </w:p>
    <w:p>
      <w:pPr>
        <w:pStyle w:val="Compact"/>
        <w:numPr>
          <w:ilvl w:val="0"/>
          <w:numId w:val="1003"/>
        </w:numPr>
      </w:pPr>
      <w:r>
        <w:t xml:space="preserve">NIST AI RMF 1.0 and 2026 AI RMF updates: https://www.nist.gov/itl/ai-risk-management-framework</w:t>
      </w:r>
    </w:p>
    <w:p>
      <w:pPr>
        <w:pStyle w:val="Compact"/>
        <w:numPr>
          <w:ilvl w:val="0"/>
          <w:numId w:val="1003"/>
        </w:numPr>
      </w:pPr>
      <w:r>
        <w:t xml:space="preserve">CSA Cloud Controls Matrix v4.1, released 2026-01-27: https://cloudsecurityalliance.org/artifacts/cloud-controls-matrix-v4-1</w:t>
      </w:r>
    </w:p>
    <w:p>
      <w:pPr>
        <w:pStyle w:val="Compact"/>
        <w:numPr>
          <w:ilvl w:val="0"/>
          <w:numId w:val="1003"/>
        </w:numPr>
      </w:pPr>
      <w:r>
        <w:t xml:space="preserve">EU AI Act, Regulation (EU) 2024/1689: https://eur-lex.europa.eu/eli/reg/2024/1689/oj/eng</w:t>
      </w:r>
    </w:p>
    <w:p>
      <w:pPr>
        <w:pStyle w:val="Compact"/>
        <w:numPr>
          <w:ilvl w:val="0"/>
          <w:numId w:val="1003"/>
        </w:numPr>
      </w:pPr>
      <w:r>
        <w:t xml:space="preserve">W3C WCAG 2.2 / ISO/IEC 40500:2025: https://www.w3.org/press-releases/2025/wcag22-iso-pas/</w:t>
      </w:r>
    </w:p>
    <w:bookmarkEnd w:id="14"/>
    <w:bookmarkStart w:id="19" w:name="executive-report"/>
    <w:p>
      <w:pPr>
        <w:pStyle w:val="Heading1"/>
      </w:pPr>
      <w:r>
        <w:t xml:space="preserve">Executive Report</w:t>
      </w:r>
    </w:p>
    <w:p>
      <w:pPr>
        <w:pStyle w:val="FirstParagraph"/>
      </w:pPr>
      <w:r>
        <w:t xml:space="preserve">Assessment date: 2026-05-21</w:t>
      </w:r>
    </w:p>
    <w:bookmarkStart w:id="15" w:name="overall-rating"/>
    <w:p>
      <w:pPr>
        <w:pStyle w:val="Heading2"/>
      </w:pPr>
      <w:r>
        <w:t xml:space="preserve">Overall Rating</w:t>
      </w:r>
    </w:p>
    <w:p>
      <w:pPr>
        <w:pStyle w:val="FirstParagraph"/>
      </w:pPr>
      <w:r>
        <w:t xml:space="preserve">Task App CRM is best described as a strong offline-first encrypted CRM prototype with serious security architecture work already present, plus an enterprise server path that is not production-ready yet.</w:t>
      </w:r>
    </w:p>
    <w:p>
      <w:pPr>
        <w:pStyle w:val="BodyText"/>
      </w:pPr>
      <w:r>
        <w:t xml:space="preserve">The offline single-file build is the strongest release candidate. It builds successfully, regenerates CSP hashes, and passes the forbidden cloud endpoint assertion. The server-backed enterprise implementation is materially blocked by dependency/workspace, typecheck, lint, audit, and container-build issues.</w:t>
      </w:r>
    </w:p>
    <w:p>
      <w:pPr>
        <w:pStyle w:val="BodyText"/>
      </w:pPr>
      <w:r>
        <w:t xml:space="preserve">Readiness scores:</w:t>
      </w:r>
    </w:p>
    <w:tbl>
      <w:tblPr>
        <w:tblStyle w:val="Table"/>
        <w:tblW w:type="pct" w:w="5000"/>
        <w:tblLayout w:type="fixed"/>
        <w:tblLook w:firstRow="1" w:lastRow="0" w:firstColumn="0" w:lastColumn="0" w:noHBand="0" w:noVBand="0" w:val="0020"/>
      </w:tblPr>
      <w:tblGrid>
        <w:gridCol w:w="880"/>
        <w:gridCol w:w="277"/>
        <w:gridCol w:w="6762"/>
      </w:tblGrid>
      <w:tr>
        <w:trPr>
          <w:tblHeader w:val="on"/>
        </w:trPr>
        <w:tc>
          <w:tcPr/>
          <w:p>
            <w:pPr>
              <w:pStyle w:val="Compact"/>
            </w:pPr>
            <w:r>
              <w:t xml:space="preserve">Domain</w:t>
            </w:r>
          </w:p>
        </w:tc>
        <w:tc>
          <w:tcPr/>
          <w:p>
            <w:pPr>
              <w:pStyle w:val="Compact"/>
            </w:pPr>
            <w:r>
              <w:t xml:space="preserve">Rating</w:t>
            </w:r>
          </w:p>
        </w:tc>
        <w:tc>
          <w:tcPr/>
          <w:p>
            <w:pPr>
              <w:pStyle w:val="Compact"/>
            </w:pPr>
            <w:r>
              <w:t xml:space="preserve">Summary</w:t>
            </w:r>
          </w:p>
        </w:tc>
      </w:tr>
      <w:tr>
        <w:tc>
          <w:tcPr/>
          <w:p>
            <w:pPr>
              <w:pStyle w:val="Compact"/>
            </w:pPr>
            <w:r>
              <w:t xml:space="preserve">Offline web product</w:t>
            </w:r>
          </w:p>
        </w:tc>
        <w:tc>
          <w:tcPr/>
          <w:p>
            <w:pPr>
              <w:pStyle w:val="Compact"/>
            </w:pPr>
            <w:r>
              <w:t xml:space="preserve">7/10</w:t>
            </w:r>
          </w:p>
        </w:tc>
        <w:tc>
          <w:tcPr/>
          <w:p>
            <w:pPr>
              <w:pStyle w:val="Compact"/>
            </w:pPr>
            <w:r>
              <w:t xml:space="preserve">Functional build with solid local encryption and CSP posture; bundle budget and accessibility evidence still need work.</w:t>
            </w:r>
          </w:p>
        </w:tc>
      </w:tr>
      <w:tr>
        <w:tc>
          <w:tcPr/>
          <w:p>
            <w:pPr>
              <w:pStyle w:val="Compact"/>
            </w:pPr>
            <w:r>
              <w:t xml:space="preserve">Enterprise server</w:t>
            </w:r>
          </w:p>
        </w:tc>
        <w:tc>
          <w:tcPr/>
          <w:p>
            <w:pPr>
              <w:pStyle w:val="Compact"/>
            </w:pPr>
            <w:r>
              <w:t xml:space="preserve">3/10</w:t>
            </w:r>
          </w:p>
        </w:tc>
        <w:tc>
          <w:tcPr/>
          <w:p>
            <w:pPr>
              <w:pStyle w:val="Compact"/>
            </w:pPr>
            <w:r>
              <w:t xml:space="preserve">Architecture exists, but typecheck fails, server is outside pnpm workspace, Docker build path appears invalid, and auth/KMS pieces need hardening.</w:t>
            </w:r>
          </w:p>
        </w:tc>
      </w:tr>
      <w:tr>
        <w:tc>
          <w:tcPr/>
          <w:p>
            <w:pPr>
              <w:pStyle w:val="Compact"/>
            </w:pPr>
            <w:r>
              <w:t xml:space="preserve">Security</w:t>
            </w:r>
          </w:p>
        </w:tc>
        <w:tc>
          <w:tcPr/>
          <w:p>
            <w:pPr>
              <w:pStyle w:val="Compact"/>
            </w:pPr>
            <w:r>
              <w:t xml:space="preserve">6/10</w:t>
            </w:r>
          </w:p>
        </w:tc>
        <w:tc>
          <w:tcPr/>
          <w:p>
            <w:pPr>
              <w:pStyle w:val="Compact"/>
            </w:pPr>
            <w:r>
              <w:t xml:space="preserve">Strong browser crypto/XSS controls; one high dependency advisory and several auth/tenant risks remain.</w:t>
            </w:r>
          </w:p>
        </w:tc>
      </w:tr>
      <w:tr>
        <w:tc>
          <w:tcPr/>
          <w:p>
            <w:pPr>
              <w:pStyle w:val="Compact"/>
            </w:pPr>
            <w:r>
              <w:t xml:space="preserve">Privacy/GDPR</w:t>
            </w:r>
          </w:p>
        </w:tc>
        <w:tc>
          <w:tcPr/>
          <w:p>
            <w:pPr>
              <w:pStyle w:val="Compact"/>
            </w:pPr>
            <w:r>
              <w:t xml:space="preserve">5/10</w:t>
            </w:r>
          </w:p>
        </w:tc>
        <w:tc>
          <w:tcPr/>
          <w:p>
            <w:pPr>
              <w:pStyle w:val="Compact"/>
            </w:pPr>
            <w:r>
              <w:t xml:space="preserve">Offline privacy story is credible; enterprise erasure is partially implemented but not enough for production evidence.</w:t>
            </w:r>
          </w:p>
        </w:tc>
      </w:tr>
      <w:tr>
        <w:tc>
          <w:tcPr/>
          <w:p>
            <w:pPr>
              <w:pStyle w:val="Compact"/>
            </w:pPr>
            <w:r>
              <w:t xml:space="preserve">AI governance</w:t>
            </w:r>
          </w:p>
        </w:tc>
        <w:tc>
          <w:tcPr/>
          <w:p>
            <w:pPr>
              <w:pStyle w:val="Compact"/>
            </w:pPr>
            <w:r>
              <w:t xml:space="preserve">6/10</w:t>
            </w:r>
          </w:p>
        </w:tc>
        <w:tc>
          <w:tcPr/>
          <w:p>
            <w:pPr>
              <w:pStyle w:val="Compact"/>
            </w:pPr>
            <w:r>
              <w:t xml:space="preserve">Good human approval and prompt-injection design; formal ISO 42001 management evidence remains mostly partial or missing.</w:t>
            </w:r>
          </w:p>
        </w:tc>
      </w:tr>
      <w:tr>
        <w:tc>
          <w:tcPr/>
          <w:p>
            <w:pPr>
              <w:pStyle w:val="Compact"/>
            </w:pPr>
            <w:r>
              <w:t xml:space="preserve">Accessibility</w:t>
            </w:r>
          </w:p>
        </w:tc>
        <w:tc>
          <w:tcPr/>
          <w:p>
            <w:pPr>
              <w:pStyle w:val="Compact"/>
            </w:pPr>
            <w:r>
              <w:t xml:space="preserve">4/10</w:t>
            </w:r>
          </w:p>
        </w:tc>
        <w:tc>
          <w:tcPr/>
          <w:p>
            <w:pPr>
              <w:pStyle w:val="Compact"/>
            </w:pPr>
            <w:r>
              <w:t xml:space="preserve">Static/unit checks exist, but WCAG 2.2 AA cannot be claimed until browser E2E tests are active and color contrast/focus traps are verified.</w:t>
            </w:r>
          </w:p>
        </w:tc>
      </w:tr>
      <w:tr>
        <w:tc>
          <w:tcPr/>
          <w:p>
            <w:pPr>
              <w:pStyle w:val="Compact"/>
            </w:pPr>
            <w:r>
              <w:t xml:space="preserve">DevOps/release</w:t>
            </w:r>
          </w:p>
        </w:tc>
        <w:tc>
          <w:tcPr/>
          <w:p>
            <w:pPr>
              <w:pStyle w:val="Compact"/>
            </w:pPr>
            <w:r>
              <w:t xml:space="preserve">4/10</w:t>
            </w:r>
          </w:p>
        </w:tc>
        <w:tc>
          <w:tcPr/>
          <w:p>
            <w:pPr>
              <w:pStyle w:val="Compact"/>
            </w:pPr>
            <w:r>
              <w:t xml:space="preserve">CI/security workflows exist, but current local gates fail and the release bundle-size gate is red.</w:t>
            </w:r>
          </w:p>
        </w:tc>
      </w:tr>
    </w:tbl>
    <w:bookmarkEnd w:id="15"/>
    <w:bookmarkStart w:id="16" w:name="board-level-findings"/>
    <w:p>
      <w:pPr>
        <w:pStyle w:val="Heading2"/>
      </w:pPr>
      <w:r>
        <w:t xml:space="preserve">Board-Level Findings</w:t>
      </w:r>
    </w:p>
    <w:p>
      <w:pPr>
        <w:numPr>
          <w:ilvl w:val="0"/>
          <w:numId w:val="1004"/>
        </w:numPr>
      </w:pPr>
      <w:r>
        <w:t xml:space="preserve">The enterprise server cannot be considered production-ready while</w:t>
      </w:r>
      <w:r>
        <w:t xml:space="preserve"> </w:t>
      </w:r>
      <w:r>
        <w:rPr>
          <w:rStyle w:val="VerbatimChar"/>
        </w:rPr>
        <w:t xml:space="preserve">pnpm run typecheck</w:t>
      </w:r>
      <w:r>
        <w:t xml:space="preserve">,</w:t>
      </w:r>
      <w:r>
        <w:t xml:space="preserve"> </w:t>
      </w:r>
      <w:r>
        <w:rPr>
          <w:rStyle w:val="VerbatimChar"/>
        </w:rPr>
        <w:t xml:space="preserve">pnpm run lint</w:t>
      </w:r>
      <w:r>
        <w:t xml:space="preserve">, and</w:t>
      </w:r>
      <w:r>
        <w:t xml:space="preserve"> </w:t>
      </w:r>
      <w:r>
        <w:rPr>
          <w:rStyle w:val="VerbatimChar"/>
        </w:rPr>
        <w:t xml:space="preserve">pnpm audit</w:t>
      </w:r>
      <w:r>
        <w:t xml:space="preserve"> </w:t>
      </w:r>
      <w:r>
        <w:t xml:space="preserve">fail.</w:t>
      </w:r>
    </w:p>
    <w:p>
      <w:pPr>
        <w:numPr>
          <w:ilvl w:val="0"/>
          <w:numId w:val="1004"/>
        </w:numPr>
      </w:pPr>
      <w:r>
        <w:t xml:space="preserve">The root workspace excludes</w:t>
      </w:r>
      <w:r>
        <w:t xml:space="preserve"> </w:t>
      </w:r>
      <w:r>
        <w:rPr>
          <w:rStyle w:val="VerbatimChar"/>
        </w:rPr>
        <w:t xml:space="preserve">server</w:t>
      </w:r>
      <w:r>
        <w:t xml:space="preserve">, while root scripts and Docker assume it is part of the monorepo. Evidence:</w:t>
      </w:r>
      <w:r>
        <w:t xml:space="preserve"> </w:t>
      </w:r>
      <w:r>
        <w:rPr>
          <w:rStyle w:val="VerbatimChar"/>
        </w:rPr>
        <w:t xml:space="preserve">pnpm-workspace.yaml</w:t>
      </w:r>
      <w:r>
        <w:t xml:space="preserve"> </w:t>
      </w:r>
      <w:r>
        <w:t xml:space="preserve">only includes</w:t>
      </w:r>
      <w:r>
        <w:t xml:space="preserve"> </w:t>
      </w:r>
      <w:r>
        <w:rPr>
          <w:rStyle w:val="VerbatimChar"/>
        </w:rPr>
        <w:t xml:space="preserve">packages/*</w:t>
      </w:r>
      <w:r>
        <w:t xml:space="preserve"> </w:t>
      </w:r>
      <w:r>
        <w:t xml:space="preserve">and</w:t>
      </w:r>
      <w:r>
        <w:t xml:space="preserve"> </w:t>
      </w:r>
      <w:r>
        <w:rPr>
          <w:rStyle w:val="VerbatimChar"/>
        </w:rPr>
        <w:t xml:space="preserve">apps/*</w:t>
      </w:r>
      <w:r>
        <w:t xml:space="preserve">; root</w:t>
      </w:r>
      <w:r>
        <w:t xml:space="preserve"> </w:t>
      </w:r>
      <w:r>
        <w:rPr>
          <w:rStyle w:val="VerbatimChar"/>
        </w:rPr>
        <w:t xml:space="preserve">typecheck</w:t>
      </w:r>
      <w:r>
        <w:t xml:space="preserve"> </w:t>
      </w:r>
      <w:r>
        <w:t xml:space="preserve">includes</w:t>
      </w:r>
      <w:r>
        <w:t xml:space="preserve"> </w:t>
      </w:r>
      <w:r>
        <w:rPr>
          <w:rStyle w:val="VerbatimChar"/>
        </w:rPr>
        <w:t xml:space="preserve">server/src/**/*.ts</w:t>
      </w:r>
      <w:r>
        <w:t xml:space="preserve">; Docker runs</w:t>
      </w:r>
      <w:r>
        <w:t xml:space="preserve"> </w:t>
      </w:r>
      <w:r>
        <w:rPr>
          <w:rStyle w:val="VerbatimChar"/>
        </w:rPr>
        <w:t xml:space="preserve">pnpm turbo run build:server</w:t>
      </w:r>
      <w:r>
        <w:t xml:space="preserve">, but no such task exists.</w:t>
      </w:r>
    </w:p>
    <w:p>
      <w:pPr>
        <w:numPr>
          <w:ilvl w:val="0"/>
          <w:numId w:val="1004"/>
        </w:numPr>
      </w:pPr>
      <w:r>
        <w:t xml:space="preserve">A high-severity npm advisory affects</w:t>
      </w:r>
      <w:r>
        <w:t xml:space="preserve"> </w:t>
      </w:r>
      <w:r>
        <w:rPr>
          <w:rStyle w:val="VerbatimChar"/>
        </w:rPr>
        <w:t xml:space="preserve">drizzle-orm &lt;0.45.2</w:t>
      </w:r>
      <w:r>
        <w:t xml:space="preserve"> </w:t>
      </w:r>
      <w:r>
        <w:t xml:space="preserve">via GHSA-gpj5-g38j-94v9. The root currently pins</w:t>
      </w:r>
      <w:r>
        <w:t xml:space="preserve"> </w:t>
      </w:r>
      <w:r>
        <w:rPr>
          <w:rStyle w:val="VerbatimChar"/>
        </w:rPr>
        <w:t xml:space="preserve">drizzle-orm ^0.43.1</w:t>
      </w:r>
      <w:r>
        <w:t xml:space="preserve">; server declares</w:t>
      </w:r>
      <w:r>
        <w:t xml:space="preserve"> </w:t>
      </w:r>
      <w:r>
        <w:rPr>
          <w:rStyle w:val="VerbatimChar"/>
        </w:rPr>
        <w:t xml:space="preserve">^0.44</w:t>
      </w:r>
      <w:r>
        <w:t xml:space="preserve">. Upgrade to</w:t>
      </w:r>
      <w:r>
        <w:t xml:space="preserve"> </w:t>
      </w:r>
      <w:r>
        <w:rPr>
          <w:rStyle w:val="VerbatimChar"/>
        </w:rPr>
        <w:t xml:space="preserve">&gt;=0.45.2</w:t>
      </w:r>
      <w:r>
        <w:t xml:space="preserve"> </w:t>
      </w:r>
      <w:r>
        <w:t xml:space="preserve">and rerun tests.</w:t>
      </w:r>
    </w:p>
    <w:p>
      <w:pPr>
        <w:numPr>
          <w:ilvl w:val="0"/>
          <w:numId w:val="1004"/>
        </w:numPr>
      </w:pPr>
      <w:r>
        <w:t xml:space="preserve">Offline data protection is a strong asset: PBKDF2-HMAC-SHA-256 at 600,000 iterations, AES-256-GCM, non-extractable WebCrypto keys, encrypted IndexedDB, Trusted Types, DOMPurify, and CSP hash generation are all present.</w:t>
      </w:r>
    </w:p>
    <w:p>
      <w:pPr>
        <w:numPr>
          <w:ilvl w:val="0"/>
          <w:numId w:val="1004"/>
        </w:numPr>
      </w:pPr>
      <w:r>
        <w:t xml:space="preserve">The current enterprise authentication middleware defaults unknown users to</w:t>
      </w:r>
      <w:r>
        <w:t xml:space="preserve"> </w:t>
      </w:r>
      <w:r>
        <w:rPr>
          <w:rStyle w:val="VerbatimChar"/>
        </w:rPr>
        <w:t xml:space="preserve">viewer</w:t>
      </w:r>
      <w:r>
        <w:t xml:space="preserve"> </w:t>
      </w:r>
      <w:r>
        <w:t xml:space="preserve">and does not bind the user lookup to tenant/org. This is a meaningful BOLA/tenant isolation risk for server deployments.</w:t>
      </w:r>
    </w:p>
    <w:p>
      <w:pPr>
        <w:numPr>
          <w:ilvl w:val="0"/>
          <w:numId w:val="1004"/>
        </w:numPr>
      </w:pPr>
      <w:r>
        <w:t xml:space="preserve">AI governance is unusually thoughtful for this stage: mutating AI actions require human approval, tool arguments are schema-validated, and CRM data is treated as adversarial context. The weak spot is evidence: model evaluation, incident response, nonconformity handling, and management sign-off are not complete.</w:t>
      </w:r>
    </w:p>
    <w:p>
      <w:pPr>
        <w:numPr>
          <w:ilvl w:val="0"/>
          <w:numId w:val="1004"/>
        </w:numPr>
      </w:pPr>
      <w:r>
        <w:t xml:space="preserve">Accessibility maturity is not yet enough for legal/commercial claims. The repo has many</w:t>
      </w:r>
      <w:r>
        <w:t xml:space="preserve"> </w:t>
      </w:r>
      <w:r>
        <w:rPr>
          <w:rStyle w:val="VerbatimChar"/>
        </w:rPr>
        <w:t xml:space="preserve">it.todo</w:t>
      </w:r>
      <w:r>
        <w:t xml:space="preserve"> </w:t>
      </w:r>
      <w:r>
        <w:t xml:space="preserve">accessibility tests and CI disables color contrast checks on the pre-auth axe scan.</w:t>
      </w:r>
    </w:p>
    <w:bookmarkEnd w:id="16"/>
    <w:bookmarkStart w:id="17" w:name="gono-go"/>
    <w:p>
      <w:pPr>
        <w:pStyle w:val="Heading2"/>
      </w:pPr>
      <w:r>
        <w:t xml:space="preserve">Go/No-Go</w:t>
      </w:r>
    </w:p>
    <w:tbl>
      <w:tblPr>
        <w:tblStyle w:val="Table"/>
        <w:tblW w:type="pct" w:w="5000"/>
        <w:tblLayout w:type="fixed"/>
        <w:tblLook w:firstRow="1" w:lastRow="0" w:firstColumn="0" w:lastColumn="0" w:noHBand="0" w:noVBand="0" w:val="0020"/>
      </w:tblPr>
      <w:tblGrid>
        <w:gridCol w:w="1476"/>
        <w:gridCol w:w="626"/>
        <w:gridCol w:w="5816"/>
      </w:tblGrid>
      <w:tr>
        <w:trPr>
          <w:tblHeader w:val="on"/>
        </w:trPr>
        <w:tc>
          <w:tcPr/>
          <w:p>
            <w:pPr>
              <w:pStyle w:val="Compact"/>
            </w:pPr>
            <w:r>
              <w:t xml:space="preserve">Release target</w:t>
            </w:r>
          </w:p>
        </w:tc>
        <w:tc>
          <w:tcPr/>
          <w:p>
            <w:pPr>
              <w:pStyle w:val="Compact"/>
            </w:pPr>
            <w:r>
              <w:t xml:space="preserve">Decision</w:t>
            </w:r>
          </w:p>
        </w:tc>
        <w:tc>
          <w:tcPr/>
          <w:p>
            <w:pPr>
              <w:pStyle w:val="Compact"/>
            </w:pPr>
            <w:r>
              <w:t xml:space="preserve">Conditions</w:t>
            </w:r>
          </w:p>
        </w:tc>
      </w:tr>
      <w:tr>
        <w:tc>
          <w:tcPr/>
          <w:p>
            <w:pPr>
              <w:pStyle w:val="Compact"/>
            </w:pPr>
            <w:r>
              <w:t xml:space="preserve">Offline single-user HTML artifact</w:t>
            </w:r>
          </w:p>
        </w:tc>
        <w:tc>
          <w:tcPr/>
          <w:p>
            <w:pPr>
              <w:pStyle w:val="Compact"/>
            </w:pPr>
            <w:r>
              <w:t xml:space="preserve">Conditional go</w:t>
            </w:r>
          </w:p>
        </w:tc>
        <w:tc>
          <w:tcPr/>
          <w:p>
            <w:pPr>
              <w:pStyle w:val="Compact"/>
            </w:pPr>
            <w:r>
              <w:t xml:space="preserve">Fix or explicitly waive bundle budget; run browser accessibility smoke tests; document browser support and backup recovery limits.</w:t>
            </w:r>
          </w:p>
        </w:tc>
      </w:tr>
      <w:tr>
        <w:tc>
          <w:tcPr/>
          <w:p>
            <w:pPr>
              <w:pStyle w:val="Compact"/>
            </w:pPr>
            <w:r>
              <w:t xml:space="preserve">PWA sync</w:t>
            </w:r>
          </w:p>
        </w:tc>
        <w:tc>
          <w:tcPr/>
          <w:p>
            <w:pPr>
              <w:pStyle w:val="Compact"/>
            </w:pPr>
            <w:r>
              <w:t xml:space="preserve">No-go</w:t>
            </w:r>
          </w:p>
        </w:tc>
        <w:tc>
          <w:tcPr/>
          <w:p>
            <w:pPr>
              <w:pStyle w:val="Compact"/>
            </w:pPr>
            <w:r>
              <w:t xml:space="preserve">Sync adapter and deployment evidence are not production complete.</w:t>
            </w:r>
          </w:p>
        </w:tc>
      </w:tr>
      <w:tr>
        <w:tc>
          <w:tcPr/>
          <w:p>
            <w:pPr>
              <w:pStyle w:val="Compact"/>
            </w:pPr>
            <w:r>
              <w:t xml:space="preserve">Mobile</w:t>
            </w:r>
          </w:p>
        </w:tc>
        <w:tc>
          <w:tcPr/>
          <w:p>
            <w:pPr>
              <w:pStyle w:val="Compact"/>
            </w:pPr>
            <w:r>
              <w:t xml:space="preserve">No-go</w:t>
            </w:r>
          </w:p>
        </w:tc>
        <w:tc>
          <w:tcPr/>
          <w:p>
            <w:pPr>
              <w:pStyle w:val="Compact"/>
            </w:pPr>
            <w:r>
              <w:t xml:space="preserve">Capacitor/native storage/security tests are mostly stubbed or hardware-dependent.</w:t>
            </w:r>
          </w:p>
        </w:tc>
      </w:tr>
      <w:tr>
        <w:tc>
          <w:tcPr/>
          <w:p>
            <w:pPr>
              <w:pStyle w:val="Compact"/>
            </w:pPr>
            <w:r>
              <w:t xml:space="preserve">Enterprise server/API</w:t>
            </w:r>
          </w:p>
        </w:tc>
        <w:tc>
          <w:tcPr/>
          <w:p>
            <w:pPr>
              <w:pStyle w:val="Compact"/>
            </w:pPr>
            <w:r>
              <w:t xml:space="preserve">No-go</w:t>
            </w:r>
          </w:p>
        </w:tc>
        <w:tc>
          <w:tcPr/>
          <w:p>
            <w:pPr>
              <w:pStyle w:val="Compact"/>
            </w:pPr>
            <w:r>
              <w:t xml:space="preserve">Must fix workspace/dependency/build/typecheck/lint/audit/auth issues first.</w:t>
            </w:r>
          </w:p>
        </w:tc>
      </w:tr>
      <w:tr>
        <w:tc>
          <w:tcPr/>
          <w:p>
            <w:pPr>
              <w:pStyle w:val="Compact"/>
            </w:pPr>
            <w:r>
              <w:t xml:space="preserve">AI cloud/enterprise profile</w:t>
            </w:r>
          </w:p>
        </w:tc>
        <w:tc>
          <w:tcPr/>
          <w:p>
            <w:pPr>
              <w:pStyle w:val="Compact"/>
            </w:pPr>
            <w:r>
              <w:t xml:space="preserve">No-go</w:t>
            </w:r>
          </w:p>
        </w:tc>
        <w:tc>
          <w:tcPr/>
          <w:p>
            <w:pPr>
              <w:pStyle w:val="Compact"/>
            </w:pPr>
            <w:r>
              <w:t xml:space="preserve">Needs DPIA/DPA, AI incident process, model monitoring, prompt-injection active tests, and tenant controls.</w:t>
            </w:r>
          </w:p>
        </w:tc>
      </w:tr>
    </w:tbl>
    <w:bookmarkEnd w:id="17"/>
    <w:bookmarkStart w:id="18" w:name="day-priorities"/>
    <w:p>
      <w:pPr>
        <w:pStyle w:val="Heading2"/>
      </w:pPr>
      <w:r>
        <w:t xml:space="preserve">30-Day Priorities</w:t>
      </w:r>
    </w:p>
    <w:p>
      <w:pPr>
        <w:pStyle w:val="Compact"/>
        <w:numPr>
          <w:ilvl w:val="0"/>
          <w:numId w:val="1005"/>
        </w:numPr>
      </w:pPr>
      <w:r>
        <w:t xml:space="preserve">Fix monorepo/server integration: add</w:t>
      </w:r>
      <w:r>
        <w:t xml:space="preserve"> </w:t>
      </w:r>
      <w:r>
        <w:rPr>
          <w:rStyle w:val="VerbatimChar"/>
        </w:rPr>
        <w:t xml:space="preserve">server</w:t>
      </w:r>
      <w:r>
        <w:t xml:space="preserve"> </w:t>
      </w:r>
      <w:r>
        <w:t xml:space="preserve">to</w:t>
      </w:r>
      <w:r>
        <w:t xml:space="preserve"> </w:t>
      </w:r>
      <w:r>
        <w:rPr>
          <w:rStyle w:val="VerbatimChar"/>
        </w:rPr>
        <w:t xml:space="preserve">pnpm-workspace.yaml</w:t>
      </w:r>
      <w:r>
        <w:t xml:space="preserve">, add real package manifests for packages/apps or adjust Docker copy, define server build scripts, install</w:t>
      </w:r>
      <w:r>
        <w:t xml:space="preserve"> </w:t>
      </w:r>
      <w:r>
        <w:rPr>
          <w:rStyle w:val="VerbatimChar"/>
        </w:rPr>
        <w:t xml:space="preserve">esbuild</w:t>
      </w:r>
      <w:r>
        <w:t xml:space="preserve"> </w:t>
      </w:r>
      <w:r>
        <w:t xml:space="preserve">and</w:t>
      </w:r>
      <w:r>
        <w:t xml:space="preserve"> </w:t>
      </w:r>
      <w:r>
        <w:rPr>
          <w:rStyle w:val="VerbatimChar"/>
        </w:rPr>
        <w:t xml:space="preserve">ioredis</w:t>
      </w:r>
      <w:r>
        <w:t xml:space="preserve"> </w:t>
      </w:r>
      <w:r>
        <w:t xml:space="preserve">where used.</w:t>
      </w:r>
    </w:p>
    <w:p>
      <w:pPr>
        <w:pStyle w:val="Compact"/>
        <w:numPr>
          <w:ilvl w:val="0"/>
          <w:numId w:val="1005"/>
        </w:numPr>
      </w:pPr>
      <w:r>
        <w:t xml:space="preserve">Upgrade</w:t>
      </w:r>
      <w:r>
        <w:t xml:space="preserve"> </w:t>
      </w:r>
      <w:r>
        <w:rPr>
          <w:rStyle w:val="VerbatimChar"/>
        </w:rPr>
        <w:t xml:space="preserve">drizzle-orm</w:t>
      </w:r>
      <w:r>
        <w:t xml:space="preserve"> </w:t>
      </w:r>
      <w:r>
        <w:t xml:space="preserve">to</w:t>
      </w:r>
      <w:r>
        <w:t xml:space="preserve"> </w:t>
      </w:r>
      <w:r>
        <w:rPr>
          <w:rStyle w:val="VerbatimChar"/>
        </w:rPr>
        <w:t xml:space="preserve">&gt;=0.45.2</w:t>
      </w:r>
      <w:r>
        <w:t xml:space="preserve"> </w:t>
      </w:r>
      <w:r>
        <w:t xml:space="preserve">and rerun</w:t>
      </w:r>
      <w:r>
        <w:t xml:space="preserve"> </w:t>
      </w:r>
      <w:r>
        <w:rPr>
          <w:rStyle w:val="VerbatimChar"/>
        </w:rPr>
        <w:t xml:space="preserve">pnpm audit</w:t>
      </w:r>
      <w:r>
        <w:t xml:space="preserve">.</w:t>
      </w:r>
    </w:p>
    <w:p>
      <w:pPr>
        <w:pStyle w:val="Compact"/>
        <w:numPr>
          <w:ilvl w:val="0"/>
          <w:numId w:val="1005"/>
        </w:numPr>
      </w:pPr>
      <w:r>
        <w:t xml:space="preserve">Make</w:t>
      </w:r>
      <w:r>
        <w:t xml:space="preserve"> </w:t>
      </w:r>
      <w:r>
        <w:rPr>
          <w:rStyle w:val="VerbatimChar"/>
        </w:rPr>
        <w:t xml:space="preserve">pnpm run typecheck</w:t>
      </w:r>
      <w:r>
        <w:t xml:space="preserve">,</w:t>
      </w:r>
      <w:r>
        <w:t xml:space="preserve"> </w:t>
      </w:r>
      <w:r>
        <w:rPr>
          <w:rStyle w:val="VerbatimChar"/>
        </w:rPr>
        <w:t xml:space="preserve">pnpm run lint</w:t>
      </w:r>
      <w:r>
        <w:t xml:space="preserve">,</w:t>
      </w:r>
      <w:r>
        <w:t xml:space="preserve"> </w:t>
      </w:r>
      <w:r>
        <w:rPr>
          <w:rStyle w:val="VerbatimChar"/>
        </w:rPr>
        <w:t xml:space="preserve">pnpm run test</w:t>
      </w:r>
      <w:r>
        <w:t xml:space="preserve">,</w:t>
      </w:r>
      <w:r>
        <w:t xml:space="preserve"> </w:t>
      </w:r>
      <w:r>
        <w:rPr>
          <w:rStyle w:val="VerbatimChar"/>
        </w:rPr>
        <w:t xml:space="preserve">pnpm run build:offline</w:t>
      </w:r>
      <w:r>
        <w:t xml:space="preserve">, bundle assertions, and audit green locally and in CI.</w:t>
      </w:r>
    </w:p>
    <w:p>
      <w:pPr>
        <w:pStyle w:val="Compact"/>
        <w:numPr>
          <w:ilvl w:val="0"/>
          <w:numId w:val="1005"/>
        </w:numPr>
      </w:pPr>
      <w:r>
        <w:t xml:space="preserve">Harden enterprise auth: no implicit viewer for unprovisioned users, tenant/org lookup binding, account status checks, and role claim reconciliation.</w:t>
      </w:r>
    </w:p>
    <w:p>
      <w:pPr>
        <w:pStyle w:val="Compact"/>
        <w:numPr>
          <w:ilvl w:val="0"/>
          <w:numId w:val="1005"/>
        </w:numPr>
      </w:pPr>
      <w:r>
        <w:t xml:space="preserve">Activate Playwright accessibility tests and remove/justify disabled color contrast coverage.</w:t>
      </w:r>
    </w:p>
    <w:p>
      <w:pPr>
        <w:pStyle w:val="Compact"/>
        <w:numPr>
          <w:ilvl w:val="0"/>
          <w:numId w:val="1005"/>
        </w:numPr>
      </w:pPr>
      <w:r>
        <w:t xml:space="preserve">Create formal compliance evidence: risk register, incident response, AI model cards, data inventory, retention schedule, and audit evidence map.</w:t>
      </w:r>
    </w:p>
    <w:bookmarkEnd w:id="18"/>
    <w:bookmarkEnd w:id="19"/>
    <w:bookmarkStart w:id="31" w:name="X1ac67c43377e9f31ce919b6ce3bd0b1a24fdcc1"/>
    <w:p>
      <w:pPr>
        <w:pStyle w:val="Heading1"/>
      </w:pPr>
      <w:r>
        <w:t xml:space="preserve">Engineering and Production Readiness Report</w:t>
      </w:r>
    </w:p>
    <w:p>
      <w:pPr>
        <w:pStyle w:val="FirstParagraph"/>
      </w:pPr>
      <w:r>
        <w:t xml:space="preserve">Assessment date: 2026-05-21</w:t>
      </w:r>
    </w:p>
    <w:bookmarkStart w:id="20" w:name="system-overview"/>
    <w:p>
      <w:pPr>
        <w:pStyle w:val="Heading2"/>
      </w:pPr>
      <w:r>
        <w:t xml:space="preserve">System Overview</w:t>
      </w:r>
    </w:p>
    <w:p>
      <w:pPr>
        <w:pStyle w:val="FirstParagraph"/>
      </w:pPr>
      <w:r>
        <w:t xml:space="preserve">Task App CRM is a TypeScript/pnpm monorepo-style project with:</w:t>
      </w:r>
    </w:p>
    <w:p>
      <w:pPr>
        <w:pStyle w:val="Compact"/>
        <w:numPr>
          <w:ilvl w:val="0"/>
          <w:numId w:val="1006"/>
        </w:numPr>
      </w:pPr>
      <w:r>
        <w:t xml:space="preserve">Offline browser CRM in</w:t>
      </w:r>
      <w:r>
        <w:t xml:space="preserve"> </w:t>
      </w:r>
      <w:r>
        <w:rPr>
          <w:rStyle w:val="VerbatimChar"/>
        </w:rPr>
        <w:t xml:space="preserve">packages/core/src</w:t>
      </w:r>
    </w:p>
    <w:p>
      <w:pPr>
        <w:pStyle w:val="Compact"/>
        <w:numPr>
          <w:ilvl w:val="0"/>
          <w:numId w:val="1006"/>
        </w:numPr>
      </w:pPr>
      <w:r>
        <w:t xml:space="preserve">Single-file Vite offline build in</w:t>
      </w:r>
      <w:r>
        <w:t xml:space="preserve"> </w:t>
      </w:r>
      <w:r>
        <w:rPr>
          <w:rStyle w:val="VerbatimChar"/>
        </w:rPr>
        <w:t xml:space="preserve">apps/offline-web</w:t>
      </w:r>
    </w:p>
    <w:p>
      <w:pPr>
        <w:pStyle w:val="Compact"/>
        <w:numPr>
          <w:ilvl w:val="0"/>
          <w:numId w:val="1006"/>
        </w:numPr>
      </w:pPr>
      <w:r>
        <w:t xml:space="preserve">PWA, Dataverse, mobile, and enterprise entry points</w:t>
      </w:r>
    </w:p>
    <w:p>
      <w:pPr>
        <w:pStyle w:val="Compact"/>
        <w:numPr>
          <w:ilvl w:val="0"/>
          <w:numId w:val="1006"/>
        </w:numPr>
      </w:pPr>
      <w:r>
        <w:t xml:space="preserve">Hono/PostgreSQL/Drizzle/OPA/OpenTelemetry enterprise server under</w:t>
      </w:r>
      <w:r>
        <w:t xml:space="preserve"> </w:t>
      </w:r>
      <w:r>
        <w:rPr>
          <w:rStyle w:val="VerbatimChar"/>
        </w:rPr>
        <w:t xml:space="preserve">server</w:t>
      </w:r>
    </w:p>
    <w:p>
      <w:pPr>
        <w:pStyle w:val="Compact"/>
        <w:numPr>
          <w:ilvl w:val="0"/>
          <w:numId w:val="1006"/>
        </w:numPr>
      </w:pPr>
      <w:r>
        <w:t xml:space="preserve">Docker Compose, Kubernetes manifests, GitHub Actions, CodeQL, dependency review, and security scan workflows</w:t>
      </w:r>
    </w:p>
    <w:p>
      <w:pPr>
        <w:pStyle w:val="FirstParagraph"/>
      </w:pPr>
      <w:r>
        <w:t xml:space="preserve">Current source inventory from local inspection:</w:t>
      </w:r>
    </w:p>
    <w:p>
      <w:pPr>
        <w:pStyle w:val="Compact"/>
        <w:numPr>
          <w:ilvl w:val="0"/>
          <w:numId w:val="1007"/>
        </w:numPr>
      </w:pPr>
      <w:r>
        <w:t xml:space="preserve">276 tracked non-</w:t>
      </w:r>
      <w:r>
        <w:rPr>
          <w:rStyle w:val="VerbatimChar"/>
        </w:rPr>
        <w:t xml:space="preserve">node_modules</w:t>
      </w:r>
      <w:r>
        <w:t xml:space="preserve">, non-</w:t>
      </w:r>
      <w:r>
        <w:rPr>
          <w:rStyle w:val="VerbatimChar"/>
        </w:rPr>
        <w:t xml:space="preserve">dist</w:t>
      </w:r>
      <w:r>
        <w:t xml:space="preserve"> </w:t>
      </w:r>
      <w:r>
        <w:t xml:space="preserve">files</w:t>
      </w:r>
    </w:p>
    <w:p>
      <w:pPr>
        <w:pStyle w:val="Compact"/>
        <w:numPr>
          <w:ilvl w:val="0"/>
          <w:numId w:val="1007"/>
        </w:numPr>
      </w:pPr>
      <w:r>
        <w:t xml:space="preserve">72 TypeScript files in</w:t>
      </w:r>
      <w:r>
        <w:t xml:space="preserve"> </w:t>
      </w:r>
      <w:r>
        <w:rPr>
          <w:rStyle w:val="VerbatimChar"/>
        </w:rPr>
        <w:t xml:space="preserve">packages/core/src</w:t>
      </w:r>
    </w:p>
    <w:p>
      <w:pPr>
        <w:pStyle w:val="Compact"/>
        <w:numPr>
          <w:ilvl w:val="0"/>
          <w:numId w:val="1007"/>
        </w:numPr>
      </w:pPr>
      <w:r>
        <w:t xml:space="preserve">69 TypeScript files in</w:t>
      </w:r>
      <w:r>
        <w:t xml:space="preserve"> </w:t>
      </w:r>
      <w:r>
        <w:rPr>
          <w:rStyle w:val="VerbatimChar"/>
        </w:rPr>
        <w:t xml:space="preserve">server/src</w:t>
      </w:r>
    </w:p>
    <w:p>
      <w:pPr>
        <w:pStyle w:val="Compact"/>
        <w:numPr>
          <w:ilvl w:val="0"/>
          <w:numId w:val="1007"/>
        </w:numPr>
      </w:pPr>
      <w:r>
        <w:t xml:space="preserve">Package folders under</w:t>
      </w:r>
      <w:r>
        <w:t xml:space="preserve"> </w:t>
      </w:r>
      <w:r>
        <w:rPr>
          <w:rStyle w:val="VerbatimChar"/>
        </w:rPr>
        <w:t xml:space="preserve">packages/*</w:t>
      </w:r>
      <w:r>
        <w:t xml:space="preserve"> </w:t>
      </w:r>
      <w:r>
        <w:t xml:space="preserve">have no</w:t>
      </w:r>
      <w:r>
        <w:t xml:space="preserve"> </w:t>
      </w:r>
      <w:r>
        <w:rPr>
          <w:rStyle w:val="VerbatimChar"/>
        </w:rPr>
        <w:t xml:space="preserve">package.json</w:t>
      </w:r>
    </w:p>
    <w:p>
      <w:pPr>
        <w:pStyle w:val="Compact"/>
        <w:numPr>
          <w:ilvl w:val="0"/>
          <w:numId w:val="1007"/>
        </w:numPr>
      </w:pPr>
      <w:r>
        <w:t xml:space="preserve">Only</w:t>
      </w:r>
      <w:r>
        <w:t xml:space="preserve"> </w:t>
      </w:r>
      <w:r>
        <w:rPr>
          <w:rStyle w:val="VerbatimChar"/>
        </w:rPr>
        <w:t xml:space="preserve">apps/offline-web</w:t>
      </w:r>
      <w:r>
        <w:t xml:space="preserve"> </w:t>
      </w:r>
      <w:r>
        <w:t xml:space="preserve">has an app-level</w:t>
      </w:r>
      <w:r>
        <w:t xml:space="preserve"> </w:t>
      </w:r>
      <w:r>
        <w:rPr>
          <w:rStyle w:val="VerbatimChar"/>
        </w:rPr>
        <w:t xml:space="preserve">package.json</w:t>
      </w:r>
    </w:p>
    <w:bookmarkEnd w:id="20"/>
    <w:bookmarkStart w:id="21" w:name="verified-gates"/>
    <w:p>
      <w:pPr>
        <w:pStyle w:val="Heading2"/>
      </w:pPr>
      <w:r>
        <w:t xml:space="preserve">Verified Gates</w:t>
      </w:r>
    </w:p>
    <w:tbl>
      <w:tblPr>
        <w:tblStyle w:val="Table"/>
        <w:tblW w:type="pct" w:w="5000"/>
        <w:tblLayout w:type="fixed"/>
        <w:tblLook w:firstRow="1" w:lastRow="0" w:firstColumn="0" w:lastColumn="0" w:noHBand="0" w:noVBand="0" w:val="0020"/>
      </w:tblPr>
      <w:tblGrid>
        <w:gridCol w:w="2475"/>
        <w:gridCol w:w="371"/>
        <w:gridCol w:w="5073"/>
      </w:tblGrid>
      <w:tr>
        <w:trPr>
          <w:tblHeader w:val="on"/>
        </w:trPr>
        <w:tc>
          <w:tcPr/>
          <w:p>
            <w:pPr>
              <w:pStyle w:val="Compact"/>
            </w:pPr>
            <w:r>
              <w:t xml:space="preserve">Gate</w:t>
            </w:r>
          </w:p>
        </w:tc>
        <w:tc>
          <w:tcPr/>
          <w:p>
            <w:pPr>
              <w:pStyle w:val="Compact"/>
            </w:pPr>
            <w:r>
              <w:t xml:space="preserve">Result</w:t>
            </w:r>
          </w:p>
        </w:tc>
        <w:tc>
          <w:tcPr/>
          <w:p>
            <w:pPr>
              <w:pStyle w:val="Compact"/>
            </w:pPr>
            <w:r>
              <w:t xml:space="preserve">Notes</w:t>
            </w:r>
          </w:p>
        </w:tc>
      </w:tr>
      <w:tr>
        <w:tc>
          <w:tcPr/>
          <w:p>
            <w:pPr>
              <w:pStyle w:val="Compact"/>
            </w:pPr>
            <w:r>
              <w:rPr>
                <w:rStyle w:val="VerbatimChar"/>
              </w:rPr>
              <w:t xml:space="preserve">pnpm run typecheck</w:t>
            </w:r>
          </w:p>
        </w:tc>
        <w:tc>
          <w:tcPr/>
          <w:p>
            <w:pPr>
              <w:pStyle w:val="Compact"/>
            </w:pPr>
            <w:r>
              <w:t xml:space="preserve">Failed</w:t>
            </w:r>
          </w:p>
        </w:tc>
        <w:tc>
          <w:tcPr/>
          <w:p>
            <w:pPr>
              <w:pStyle w:val="Compact"/>
            </w:pPr>
            <w:r>
              <w:t xml:space="preserve">Server dependency resolution, strict optional props, Drizzle transaction types.</w:t>
            </w:r>
          </w:p>
        </w:tc>
      </w:tr>
      <w:tr>
        <w:tc>
          <w:tcPr/>
          <w:p>
            <w:pPr>
              <w:pStyle w:val="Compact"/>
            </w:pPr>
            <w:r>
              <w:rPr>
                <w:rStyle w:val="VerbatimChar"/>
              </w:rPr>
              <w:t xml:space="preserve">pnpm run test</w:t>
            </w:r>
          </w:p>
        </w:tc>
        <w:tc>
          <w:tcPr/>
          <w:p>
            <w:pPr>
              <w:pStyle w:val="Compact"/>
            </w:pPr>
            <w:r>
              <w:t xml:space="preserve">Passed</w:t>
            </w:r>
          </w:p>
        </w:tc>
        <w:tc>
          <w:tcPr/>
          <w:p>
            <w:pPr>
              <w:pStyle w:val="Compact"/>
            </w:pPr>
            <w:r>
              <w:t xml:space="preserve">12 files, 190 passed, 3 skipped, 100 todo.</w:t>
            </w:r>
          </w:p>
        </w:tc>
      </w:tr>
      <w:tr>
        <w:tc>
          <w:tcPr/>
          <w:p>
            <w:pPr>
              <w:pStyle w:val="Compact"/>
            </w:pPr>
            <w:r>
              <w:rPr>
                <w:rStyle w:val="VerbatimChar"/>
              </w:rPr>
              <w:t xml:space="preserve">pnpm run build:offline</w:t>
            </w:r>
          </w:p>
        </w:tc>
        <w:tc>
          <w:tcPr/>
          <w:p>
            <w:pPr>
              <w:pStyle w:val="Compact"/>
            </w:pPr>
            <w:r>
              <w:t xml:space="preserve">Passed</w:t>
            </w:r>
          </w:p>
        </w:tc>
        <w:tc>
          <w:tcPr/>
          <w:p>
            <w:pPr>
              <w:pStyle w:val="Compact"/>
            </w:pPr>
            <w:r>
              <w:t xml:space="preserve">Built</w:t>
            </w:r>
            <w:r>
              <w:t xml:space="preserve"> </w:t>
            </w:r>
            <w:r>
              <w:rPr>
                <w:rStyle w:val="VerbatimChar"/>
              </w:rPr>
              <w:t xml:space="preserve">dist/offline/index.html</w:t>
            </w:r>
            <w:r>
              <w:t xml:space="preserve">, 452.28 kB raw, 121.23 kB gzip before CSP rewrite.</w:t>
            </w:r>
          </w:p>
        </w:tc>
      </w:tr>
      <w:tr>
        <w:tc>
          <w:tcPr/>
          <w:p>
            <w:pPr>
              <w:pStyle w:val="Compact"/>
            </w:pPr>
            <w:r>
              <w:rPr>
                <w:rStyle w:val="VerbatimChar"/>
              </w:rPr>
              <w:t xml:space="preserve">node scripts/assert-offline-bundle.mjs</w:t>
            </w:r>
          </w:p>
        </w:tc>
        <w:tc>
          <w:tcPr/>
          <w:p>
            <w:pPr>
              <w:pStyle w:val="Compact"/>
            </w:pPr>
            <w:r>
              <w:t xml:space="preserve">Passed</w:t>
            </w:r>
          </w:p>
        </w:tc>
        <w:tc>
          <w:tcPr/>
          <w:p>
            <w:pPr>
              <w:pStyle w:val="Compact"/>
            </w:pPr>
            <w:r>
              <w:t xml:space="preserve">No forbidden cloud/provider strings found in browser-AI artifact.</w:t>
            </w:r>
          </w:p>
        </w:tc>
      </w:tr>
      <w:tr>
        <w:tc>
          <w:tcPr/>
          <w:p>
            <w:pPr>
              <w:pStyle w:val="Compact"/>
            </w:pPr>
            <w:r>
              <w:rPr>
                <w:rStyle w:val="VerbatimChar"/>
              </w:rPr>
              <w:t xml:space="preserve">node scripts/assert-bundle-size.mjs</w:t>
            </w:r>
          </w:p>
        </w:tc>
        <w:tc>
          <w:tcPr/>
          <w:p>
            <w:pPr>
              <w:pStyle w:val="Compact"/>
            </w:pPr>
            <w:r>
              <w:t xml:space="preserve">Failed</w:t>
            </w:r>
          </w:p>
        </w:tc>
        <w:tc>
          <w:tcPr/>
          <w:p>
            <w:pPr>
              <w:pStyle w:val="Compact"/>
            </w:pPr>
            <w:r>
              <w:t xml:space="preserve">452,318 raw bytes vs 440,000 budget; 120,620 gzip bytes vs 120,000 budget.</w:t>
            </w:r>
          </w:p>
        </w:tc>
      </w:tr>
      <w:tr>
        <w:tc>
          <w:tcPr/>
          <w:p>
            <w:pPr>
              <w:pStyle w:val="Compact"/>
            </w:pPr>
            <w:r>
              <w:rPr>
                <w:rStyle w:val="VerbatimChar"/>
              </w:rPr>
              <w:t xml:space="preserve">pnpm run lint</w:t>
            </w:r>
          </w:p>
        </w:tc>
        <w:tc>
          <w:tcPr/>
          <w:p>
            <w:pPr>
              <w:pStyle w:val="Compact"/>
            </w:pPr>
            <w:r>
              <w:t xml:space="preserve">Failed</w:t>
            </w:r>
          </w:p>
        </w:tc>
        <w:tc>
          <w:tcPr/>
          <w:p>
            <w:pPr>
              <w:pStyle w:val="Compact"/>
            </w:pPr>
            <w:r>
              <w:t xml:space="preserve">Root script includes</w:t>
            </w:r>
            <w:r>
              <w:t xml:space="preserve"> </w:t>
            </w:r>
            <w:r>
              <w:rPr>
                <w:rStyle w:val="VerbatimChar"/>
              </w:rPr>
              <w:t xml:space="preserve">server</w:t>
            </w:r>
            <w:r>
              <w:t xml:space="preserve">; ESLint config ignores</w:t>
            </w:r>
            <w:r>
              <w:t xml:space="preserve"> </w:t>
            </w:r>
            <w:r>
              <w:rPr>
                <w:rStyle w:val="VerbatimChar"/>
              </w:rPr>
              <w:t xml:space="preserve">server/**</w:t>
            </w:r>
            <w:r>
              <w:t xml:space="preserve">.</w:t>
            </w:r>
          </w:p>
        </w:tc>
      </w:tr>
      <w:tr>
        <w:tc>
          <w:tcPr/>
          <w:p>
            <w:pPr>
              <w:pStyle w:val="Compact"/>
            </w:pPr>
            <w:r>
              <w:rPr>
                <w:rStyle w:val="VerbatimChar"/>
              </w:rPr>
              <w:t xml:space="preserve">pnpm audit --audit-level moderate</w:t>
            </w:r>
          </w:p>
        </w:tc>
        <w:tc>
          <w:tcPr/>
          <w:p>
            <w:pPr>
              <w:pStyle w:val="Compact"/>
            </w:pPr>
            <w:r>
              <w:t xml:space="preserve">Failed</w:t>
            </w:r>
          </w:p>
        </w:tc>
        <w:tc>
          <w:tcPr/>
          <w:p>
            <w:pPr>
              <w:pStyle w:val="Compact"/>
            </w:pPr>
            <w:r>
              <w:t xml:space="preserve">High advisory for</w:t>
            </w:r>
            <w:r>
              <w:t xml:space="preserve"> </w:t>
            </w:r>
            <w:r>
              <w:rPr>
                <w:rStyle w:val="VerbatimChar"/>
              </w:rPr>
              <w:t xml:space="preserve">drizzle-orm &lt;0.45.2</w:t>
            </w:r>
            <w:r>
              <w:t xml:space="preserve">.</w:t>
            </w:r>
          </w:p>
        </w:tc>
      </w:tr>
    </w:tbl>
    <w:bookmarkEnd w:id="21"/>
    <w:bookmarkStart w:id="22" w:name="architecture-strengths"/>
    <w:p>
      <w:pPr>
        <w:pStyle w:val="Heading2"/>
      </w:pPr>
      <w:r>
        <w:t xml:space="preserve">Architecture Strengths</w:t>
      </w:r>
    </w:p>
    <w:p>
      <w:pPr>
        <w:pStyle w:val="Compact"/>
        <w:numPr>
          <w:ilvl w:val="0"/>
          <w:numId w:val="1008"/>
        </w:numPr>
      </w:pPr>
      <w:r>
        <w:t xml:space="preserve">Good offline architecture separation:</w:t>
      </w:r>
    </w:p>
    <w:p>
      <w:pPr>
        <w:pStyle w:val="Compact"/>
        <w:numPr>
          <w:ilvl w:val="1"/>
          <w:numId w:val="1009"/>
        </w:numPr>
      </w:pPr>
      <w:r>
        <w:t xml:space="preserve">Core business logic is centralized in</w:t>
      </w:r>
      <w:r>
        <w:t xml:space="preserve"> </w:t>
      </w:r>
      <w:r>
        <w:rPr>
          <w:rStyle w:val="VerbatimChar"/>
        </w:rPr>
        <w:t xml:space="preserve">packages/core/src</w:t>
      </w:r>
      <w:r>
        <w:t xml:space="preserve">.</w:t>
      </w:r>
    </w:p>
    <w:p>
      <w:pPr>
        <w:pStyle w:val="Compact"/>
        <w:numPr>
          <w:ilvl w:val="1"/>
          <w:numId w:val="1009"/>
        </w:numPr>
      </w:pPr>
      <w:r>
        <w:t xml:space="preserve">Offline build profile aliases cloud providers out of the default artifact.</w:t>
      </w:r>
    </w:p>
    <w:p>
      <w:pPr>
        <w:pStyle w:val="Compact"/>
        <w:numPr>
          <w:ilvl w:val="1"/>
          <w:numId w:val="1009"/>
        </w:numPr>
      </w:pPr>
      <w:r>
        <w:rPr>
          <w:rStyle w:val="VerbatimChar"/>
        </w:rPr>
        <w:t xml:space="preserve">scripts/assert-offline-bundle.mjs</w:t>
      </w:r>
      <w:r>
        <w:t xml:space="preserve"> </w:t>
      </w:r>
      <w:r>
        <w:t xml:space="preserve">verifies forbidden endpoints are absent.</w:t>
      </w:r>
    </w:p>
    <w:p>
      <w:pPr>
        <w:pStyle w:val="Compact"/>
        <w:numPr>
          <w:ilvl w:val="0"/>
          <w:numId w:val="1008"/>
        </w:numPr>
      </w:pPr>
      <w:r>
        <w:t xml:space="preserve">Strong local-first security choices:</w:t>
      </w:r>
    </w:p>
    <w:p>
      <w:pPr>
        <w:pStyle w:val="Compact"/>
        <w:numPr>
          <w:ilvl w:val="1"/>
          <w:numId w:val="1010"/>
        </w:numPr>
      </w:pPr>
      <w:r>
        <w:t xml:space="preserve">Browser data is encrypted with AES-256-GCM and PBKDF2-HMAC-SHA-256 at 600k iterations.</w:t>
      </w:r>
    </w:p>
    <w:p>
      <w:pPr>
        <w:pStyle w:val="Compact"/>
        <w:numPr>
          <w:ilvl w:val="1"/>
          <w:numId w:val="1010"/>
        </w:numPr>
      </w:pPr>
      <w:r>
        <w:t xml:space="preserve">Large document/conversation stores are individually encrypted in IndexedDB.</w:t>
      </w:r>
    </w:p>
    <w:p>
      <w:pPr>
        <w:pStyle w:val="Compact"/>
        <w:numPr>
          <w:ilvl w:val="1"/>
          <w:numId w:val="1010"/>
        </w:numPr>
      </w:pPr>
      <w:r>
        <w:t xml:space="preserve">CSP hashes are generated after build and a</w:t>
      </w:r>
      <w:r>
        <w:t xml:space="preserve"> </w:t>
      </w:r>
      <w:r>
        <w:rPr>
          <w:rStyle w:val="VerbatimChar"/>
        </w:rPr>
        <w:t xml:space="preserve">.sha256</w:t>
      </w:r>
      <w:r>
        <w:t xml:space="preserve"> </w:t>
      </w:r>
      <w:r>
        <w:t xml:space="preserve">integrity file is emitted.</w:t>
      </w:r>
    </w:p>
    <w:p>
      <w:pPr>
        <w:pStyle w:val="Compact"/>
        <w:numPr>
          <w:ilvl w:val="0"/>
          <w:numId w:val="1008"/>
        </w:numPr>
      </w:pPr>
      <w:r>
        <w:t xml:space="preserve">Server architecture points in the right direction:</w:t>
      </w:r>
    </w:p>
    <w:p>
      <w:pPr>
        <w:pStyle w:val="Compact"/>
        <w:numPr>
          <w:ilvl w:val="1"/>
          <w:numId w:val="1011"/>
        </w:numPr>
      </w:pPr>
      <w:r>
        <w:t xml:space="preserve">OIDC, OPA, PostgreSQL RLS, OpenTelemetry, KMS, audit logs, and health probes are represented.</w:t>
      </w:r>
    </w:p>
    <w:p>
      <w:pPr>
        <w:pStyle w:val="Compact"/>
        <w:numPr>
          <w:ilvl w:val="1"/>
          <w:numId w:val="1011"/>
        </w:numPr>
      </w:pPr>
      <w:r>
        <w:t xml:space="preserve">Kubernetes manifests use non-root user, read-only filesystem, dropped capabilities, and resource limits.</w:t>
      </w:r>
    </w:p>
    <w:bookmarkEnd w:id="22"/>
    <w:bookmarkStart w:id="28" w:name="production-blockers"/>
    <w:p>
      <w:pPr>
        <w:pStyle w:val="Heading2"/>
      </w:pPr>
      <w:r>
        <w:t xml:space="preserve">Production Blockers</w:t>
      </w:r>
    </w:p>
    <w:bookmarkStart w:id="23" w:name="X7b93b8ca01acd49ab5fb3f2911985ae2bd42235"/>
    <w:p>
      <w:pPr>
        <w:pStyle w:val="Heading3"/>
      </w:pPr>
      <w:r>
        <w:t xml:space="preserve">PRD-01: Server is not a working workspace package</w:t>
      </w:r>
    </w:p>
    <w:p>
      <w:pPr>
        <w:pStyle w:val="FirstParagraph"/>
      </w:pPr>
      <w:r>
        <w:t xml:space="preserve">Severity: Critical</w:t>
      </w:r>
    </w:p>
    <w:p>
      <w:pPr>
        <w:pStyle w:val="BodyText"/>
      </w:pPr>
      <w:r>
        <w:t xml:space="preserve">Evidence:</w:t>
      </w:r>
    </w:p>
    <w:p>
      <w:pPr>
        <w:pStyle w:val="Compact"/>
        <w:numPr>
          <w:ilvl w:val="0"/>
          <w:numId w:val="1012"/>
        </w:numPr>
      </w:pPr>
      <w:r>
        <w:rPr>
          <w:rStyle w:val="VerbatimChar"/>
        </w:rPr>
        <w:t xml:space="preserve">pnpm-workspace.yaml</w:t>
      </w:r>
      <w:r>
        <w:t xml:space="preserve"> </w:t>
      </w:r>
      <w:r>
        <w:t xml:space="preserve">includes only</w:t>
      </w:r>
      <w:r>
        <w:t xml:space="preserve"> </w:t>
      </w:r>
      <w:r>
        <w:rPr>
          <w:rStyle w:val="VerbatimChar"/>
        </w:rPr>
        <w:t xml:space="preserve">packages/*</w:t>
      </w:r>
      <w:r>
        <w:t xml:space="preserve"> </w:t>
      </w:r>
      <w:r>
        <w:t xml:space="preserve">and</w:t>
      </w:r>
      <w:r>
        <w:t xml:space="preserve"> </w:t>
      </w:r>
      <w:r>
        <w:rPr>
          <w:rStyle w:val="VerbatimChar"/>
        </w:rPr>
        <w:t xml:space="preserve">apps/*</w:t>
      </w:r>
      <w:r>
        <w:t xml:space="preserve">;</w:t>
      </w:r>
      <w:r>
        <w:t xml:space="preserve"> </w:t>
      </w:r>
      <w:r>
        <w:rPr>
          <w:rStyle w:val="VerbatimChar"/>
        </w:rPr>
        <w:t xml:space="preserve">server</w:t>
      </w:r>
      <w:r>
        <w:t xml:space="preserve"> </w:t>
      </w:r>
      <w:r>
        <w:t xml:space="preserve">is excluded.</w:t>
      </w:r>
    </w:p>
    <w:p>
      <w:pPr>
        <w:pStyle w:val="Compact"/>
        <w:numPr>
          <w:ilvl w:val="0"/>
          <w:numId w:val="1012"/>
        </w:numPr>
      </w:pPr>
      <w:r>
        <w:t xml:space="preserve">Root</w:t>
      </w:r>
      <w:r>
        <w:t xml:space="preserve"> </w:t>
      </w:r>
      <w:r>
        <w:rPr>
          <w:rStyle w:val="VerbatimChar"/>
        </w:rPr>
        <w:t xml:space="preserve">tsconfig.json</w:t>
      </w:r>
      <w:r>
        <w:t xml:space="preserve"> </w:t>
      </w:r>
      <w:r>
        <w:t xml:space="preserve">includes</w:t>
      </w:r>
      <w:r>
        <w:t xml:space="preserve"> </w:t>
      </w:r>
      <w:r>
        <w:rPr>
          <w:rStyle w:val="VerbatimChar"/>
        </w:rPr>
        <w:t xml:space="preserve">server/src/**/*.ts</w:t>
      </w:r>
      <w:r>
        <w:t xml:space="preserve">.</w:t>
      </w:r>
    </w:p>
    <w:p>
      <w:pPr>
        <w:pStyle w:val="Compact"/>
        <w:numPr>
          <w:ilvl w:val="0"/>
          <w:numId w:val="1012"/>
        </w:numPr>
      </w:pPr>
      <w:r>
        <w:t xml:space="preserve">Root</w:t>
      </w:r>
      <w:r>
        <w:t xml:space="preserve"> </w:t>
      </w:r>
      <w:r>
        <w:rPr>
          <w:rStyle w:val="VerbatimChar"/>
        </w:rPr>
        <w:t xml:space="preserve">package.json</w:t>
      </w:r>
      <w:r>
        <w:t xml:space="preserve"> </w:t>
      </w:r>
      <w:r>
        <w:t xml:space="preserve">runs</w:t>
      </w:r>
      <w:r>
        <w:t xml:space="preserve"> </w:t>
      </w:r>
      <w:r>
        <w:rPr>
          <w:rStyle w:val="VerbatimChar"/>
        </w:rPr>
        <w:t xml:space="preserve">eslint packages apps config server</w:t>
      </w:r>
      <w:r>
        <w:t xml:space="preserve">.</w:t>
      </w:r>
    </w:p>
    <w:p>
      <w:pPr>
        <w:pStyle w:val="Compact"/>
        <w:numPr>
          <w:ilvl w:val="0"/>
          <w:numId w:val="1012"/>
        </w:numPr>
      </w:pPr>
      <w:r>
        <w:t xml:space="preserve">Server package dependencies such as</w:t>
      </w:r>
      <w:r>
        <w:t xml:space="preserve"> </w:t>
      </w:r>
      <w:r>
        <w:rPr>
          <w:rStyle w:val="VerbatimChar"/>
        </w:rPr>
        <w:t xml:space="preserve">hono</w:t>
      </w:r>
      <w:r>
        <w:t xml:space="preserve"> </w:t>
      </w:r>
      <w:r>
        <w:t xml:space="preserve">and</w:t>
      </w:r>
      <w:r>
        <w:t xml:space="preserve"> </w:t>
      </w:r>
      <w:r>
        <w:rPr>
          <w:rStyle w:val="VerbatimChar"/>
        </w:rPr>
        <w:t xml:space="preserve">zod</w:t>
      </w:r>
      <w:r>
        <w:t xml:space="preserve"> </w:t>
      </w:r>
      <w:r>
        <w:t xml:space="preserve">are not resolved by root typecheck.</w:t>
      </w:r>
    </w:p>
    <w:p>
      <w:pPr>
        <w:pStyle w:val="FirstParagraph"/>
      </w:pPr>
      <w:r>
        <w:t xml:space="preserve">Impact:</w:t>
      </w:r>
    </w:p>
    <w:p>
      <w:pPr>
        <w:pStyle w:val="Compact"/>
        <w:numPr>
          <w:ilvl w:val="0"/>
          <w:numId w:val="1013"/>
        </w:numPr>
      </w:pPr>
      <w:r>
        <w:t xml:space="preserve">CI will fail typecheck.</w:t>
      </w:r>
    </w:p>
    <w:p>
      <w:pPr>
        <w:pStyle w:val="Compact"/>
        <w:numPr>
          <w:ilvl w:val="0"/>
          <w:numId w:val="1013"/>
        </w:numPr>
      </w:pPr>
      <w:r>
        <w:t xml:space="preserve">Docker build is likely broken.</w:t>
      </w:r>
    </w:p>
    <w:p>
      <w:pPr>
        <w:pStyle w:val="Compact"/>
        <w:numPr>
          <w:ilvl w:val="0"/>
          <w:numId w:val="1013"/>
        </w:numPr>
      </w:pPr>
      <w:r>
        <w:t xml:space="preserve">Server dependency graph is not reproducible from root install.</w:t>
      </w:r>
    </w:p>
    <w:p>
      <w:pPr>
        <w:pStyle w:val="FirstParagraph"/>
      </w:pPr>
      <w:r>
        <w:t xml:space="preserve">Recommended fix:</w:t>
      </w:r>
    </w:p>
    <w:p>
      <w:pPr>
        <w:pStyle w:val="Compact"/>
        <w:numPr>
          <w:ilvl w:val="0"/>
          <w:numId w:val="1014"/>
        </w:numPr>
      </w:pPr>
      <w:r>
        <w:t xml:space="preserve">Add</w:t>
      </w:r>
      <w:r>
        <w:t xml:space="preserve"> </w:t>
      </w:r>
      <w:r>
        <w:rPr>
          <w:rStyle w:val="VerbatimChar"/>
        </w:rPr>
        <w:t xml:space="preserve">server</w:t>
      </w:r>
      <w:r>
        <w:t xml:space="preserve"> </w:t>
      </w:r>
      <w:r>
        <w:t xml:space="preserve">to</w:t>
      </w:r>
      <w:r>
        <w:t xml:space="preserve"> </w:t>
      </w:r>
      <w:r>
        <w:rPr>
          <w:rStyle w:val="VerbatimChar"/>
        </w:rPr>
        <w:t xml:space="preserve">pnpm-workspace.yaml</w:t>
      </w:r>
      <w:r>
        <w:t xml:space="preserve">.</w:t>
      </w:r>
    </w:p>
    <w:p>
      <w:pPr>
        <w:pStyle w:val="Compact"/>
        <w:numPr>
          <w:ilvl w:val="0"/>
          <w:numId w:val="1014"/>
        </w:numPr>
      </w:pPr>
      <w:r>
        <w:t xml:space="preserve">Add missing package manifests for actual workspace packages or remove invalid Docker copy assumptions.</w:t>
      </w:r>
    </w:p>
    <w:p>
      <w:pPr>
        <w:pStyle w:val="Compact"/>
        <w:numPr>
          <w:ilvl w:val="0"/>
          <w:numId w:val="1014"/>
        </w:numPr>
      </w:pPr>
      <w:r>
        <w:t xml:space="preserve">Use</w:t>
      </w:r>
      <w:r>
        <w:t xml:space="preserve"> </w:t>
      </w:r>
      <w:r>
        <w:rPr>
          <w:rStyle w:val="VerbatimChar"/>
        </w:rPr>
        <w:t xml:space="preserve">pnpm --filter @tktaskapp/server run build</w:t>
      </w:r>
      <w:r>
        <w:t xml:space="preserve">.</w:t>
      </w:r>
    </w:p>
    <w:p>
      <w:pPr>
        <w:pStyle w:val="Compact"/>
        <w:numPr>
          <w:ilvl w:val="0"/>
          <w:numId w:val="1014"/>
        </w:numPr>
      </w:pPr>
      <w:r>
        <w:t xml:space="preserve">Add</w:t>
      </w:r>
      <w:r>
        <w:t xml:space="preserve"> </w:t>
      </w:r>
      <w:r>
        <w:rPr>
          <w:rStyle w:val="VerbatimChar"/>
        </w:rPr>
        <w:t xml:space="preserve">esbuild</w:t>
      </w:r>
      <w:r>
        <w:t xml:space="preserve"> </w:t>
      </w:r>
      <w:r>
        <w:t xml:space="preserve">and</w:t>
      </w:r>
      <w:r>
        <w:t xml:space="preserve"> </w:t>
      </w:r>
      <w:r>
        <w:rPr>
          <w:rStyle w:val="VerbatimChar"/>
        </w:rPr>
        <w:t xml:space="preserve">ioredis</w:t>
      </w:r>
      <w:r>
        <w:t xml:space="preserve"> </w:t>
      </w:r>
      <w:r>
        <w:t xml:space="preserve">to the server dependency graph if they remain required.</w:t>
      </w:r>
    </w:p>
    <w:bookmarkEnd w:id="23"/>
    <w:bookmarkStart w:id="24" w:name="X0cef4e68eb8fd19b23ed04952ac1fe8412f7de6"/>
    <w:p>
      <w:pPr>
        <w:pStyle w:val="Heading3"/>
      </w:pPr>
      <w:r>
        <w:t xml:space="preserve">PRD-02: Dockerfile build target appears invalid</w:t>
      </w:r>
    </w:p>
    <w:p>
      <w:pPr>
        <w:pStyle w:val="FirstParagraph"/>
      </w:pPr>
      <w:r>
        <w:t xml:space="preserve">Severity: Critical</w:t>
      </w:r>
    </w:p>
    <w:p>
      <w:pPr>
        <w:pStyle w:val="BodyText"/>
      </w:pPr>
      <w:r>
        <w:t xml:space="preserve">Evidence:</w:t>
      </w:r>
    </w:p>
    <w:p>
      <w:pPr>
        <w:pStyle w:val="Compact"/>
        <w:numPr>
          <w:ilvl w:val="0"/>
          <w:numId w:val="1015"/>
        </w:numPr>
      </w:pPr>
      <w:r>
        <w:t xml:space="preserve">Dockerfile runs</w:t>
      </w:r>
      <w:r>
        <w:t xml:space="preserve"> </w:t>
      </w:r>
      <w:r>
        <w:rPr>
          <w:rStyle w:val="VerbatimChar"/>
        </w:rPr>
        <w:t xml:space="preserve">pnpm turbo run build:server</w:t>
      </w:r>
      <w:r>
        <w:t xml:space="preserve">.</w:t>
      </w:r>
    </w:p>
    <w:p>
      <w:pPr>
        <w:pStyle w:val="Compact"/>
        <w:numPr>
          <w:ilvl w:val="0"/>
          <w:numId w:val="1015"/>
        </w:numPr>
      </w:pPr>
      <w:r>
        <w:rPr>
          <w:rStyle w:val="VerbatimChar"/>
        </w:rPr>
        <w:t xml:space="preserve">turbo.json</w:t>
      </w:r>
      <w:r>
        <w:t xml:space="preserve"> </w:t>
      </w:r>
      <w:r>
        <w:t xml:space="preserve">has no</w:t>
      </w:r>
      <w:r>
        <w:t xml:space="preserve"> </w:t>
      </w:r>
      <w:r>
        <w:rPr>
          <w:rStyle w:val="VerbatimChar"/>
        </w:rPr>
        <w:t xml:space="preserve">build:server</w:t>
      </w:r>
      <w:r>
        <w:t xml:space="preserve"> </w:t>
      </w:r>
      <w:r>
        <w:t xml:space="preserve">task.</w:t>
      </w:r>
    </w:p>
    <w:p>
      <w:pPr>
        <w:pStyle w:val="Compact"/>
        <w:numPr>
          <w:ilvl w:val="0"/>
          <w:numId w:val="1015"/>
        </w:numPr>
      </w:pPr>
      <w:r>
        <w:rPr>
          <w:rStyle w:val="VerbatimChar"/>
        </w:rPr>
        <w:t xml:space="preserve">server/package.json</w:t>
      </w:r>
      <w:r>
        <w:t xml:space="preserve"> </w:t>
      </w:r>
      <w:r>
        <w:t xml:space="preserve">has a</w:t>
      </w:r>
      <w:r>
        <w:t xml:space="preserve"> </w:t>
      </w:r>
      <w:r>
        <w:rPr>
          <w:rStyle w:val="VerbatimChar"/>
        </w:rPr>
        <w:t xml:space="preserve">build</w:t>
      </w:r>
      <w:r>
        <w:t xml:space="preserve"> </w:t>
      </w:r>
      <w:r>
        <w:t xml:space="preserve">script, not</w:t>
      </w:r>
      <w:r>
        <w:t xml:space="preserve"> </w:t>
      </w:r>
      <w:r>
        <w:rPr>
          <w:rStyle w:val="VerbatimChar"/>
        </w:rPr>
        <w:t xml:space="preserve">build:server</w:t>
      </w:r>
      <w:r>
        <w:t xml:space="preserve">.</w:t>
      </w:r>
    </w:p>
    <w:p>
      <w:pPr>
        <w:pStyle w:val="Compact"/>
        <w:numPr>
          <w:ilvl w:val="0"/>
          <w:numId w:val="1015"/>
        </w:numPr>
      </w:pPr>
      <w:r>
        <w:t xml:space="preserve">Dockerfile copies</w:t>
      </w:r>
      <w:r>
        <w:t xml:space="preserve"> </w:t>
      </w:r>
      <w:r>
        <w:rPr>
          <w:rStyle w:val="VerbatimChar"/>
        </w:rPr>
        <w:t xml:space="preserve">packages/*/package.json</w:t>
      </w:r>
      <w:r>
        <w:t xml:space="preserve">, but all current</w:t>
      </w:r>
      <w:r>
        <w:t xml:space="preserve"> </w:t>
      </w:r>
      <w:r>
        <w:rPr>
          <w:rStyle w:val="VerbatimChar"/>
        </w:rPr>
        <w:t xml:space="preserve">packages/*</w:t>
      </w:r>
      <w:r>
        <w:t xml:space="preserve"> </w:t>
      </w:r>
      <w:r>
        <w:t xml:space="preserve">directories lack</w:t>
      </w:r>
      <w:r>
        <w:t xml:space="preserve"> </w:t>
      </w:r>
      <w:r>
        <w:rPr>
          <w:rStyle w:val="VerbatimChar"/>
        </w:rPr>
        <w:t xml:space="preserve">package.json</w:t>
      </w:r>
      <w:r>
        <w:t xml:space="preserve">.</w:t>
      </w:r>
    </w:p>
    <w:p>
      <w:pPr>
        <w:pStyle w:val="Compact"/>
        <w:numPr>
          <w:ilvl w:val="0"/>
          <w:numId w:val="1015"/>
        </w:numPr>
      </w:pPr>
      <w:r>
        <w:t xml:space="preserve">Dockerfile copies</w:t>
      </w:r>
      <w:r>
        <w:t xml:space="preserve"> </w:t>
      </w:r>
      <w:r>
        <w:rPr>
          <w:rStyle w:val="VerbatimChar"/>
        </w:rPr>
        <w:t xml:space="preserve">/app/server/node_modules</w:t>
      </w:r>
      <w:r>
        <w:t xml:space="preserve"> </w:t>
      </w:r>
      <w:r>
        <w:t xml:space="preserve">into runtime, but server dependencies are not installed as a workspace package.</w:t>
      </w:r>
    </w:p>
    <w:p>
      <w:pPr>
        <w:pStyle w:val="FirstParagraph"/>
      </w:pPr>
      <w:r>
        <w:t xml:space="preserve">Impact:</w:t>
      </w:r>
    </w:p>
    <w:p>
      <w:pPr>
        <w:pStyle w:val="Compact"/>
        <w:numPr>
          <w:ilvl w:val="0"/>
          <w:numId w:val="1016"/>
        </w:numPr>
      </w:pPr>
      <w:r>
        <w:t xml:space="preserve">Container image likely cannot build.</w:t>
      </w:r>
    </w:p>
    <w:p>
      <w:pPr>
        <w:pStyle w:val="Compact"/>
        <w:numPr>
          <w:ilvl w:val="0"/>
          <w:numId w:val="1016"/>
        </w:numPr>
      </w:pPr>
      <w:r>
        <w:t xml:space="preserve">Production deployment through Docker/Kubernetes is blocked.</w:t>
      </w:r>
    </w:p>
    <w:p>
      <w:pPr>
        <w:pStyle w:val="FirstParagraph"/>
      </w:pPr>
      <w:r>
        <w:t xml:space="preserve">Recommended fix:</w:t>
      </w:r>
    </w:p>
    <w:p>
      <w:pPr>
        <w:pStyle w:val="Compact"/>
        <w:numPr>
          <w:ilvl w:val="0"/>
          <w:numId w:val="1017"/>
        </w:numPr>
      </w:pPr>
      <w:r>
        <w:t xml:space="preserve">Make server a workspace package and replace Docker build with</w:t>
      </w:r>
      <w:r>
        <w:t xml:space="preserve"> </w:t>
      </w:r>
      <w:r>
        <w:rPr>
          <w:rStyle w:val="VerbatimChar"/>
        </w:rPr>
        <w:t xml:space="preserve">pnpm --filter @tktaskapp/server install/build</w:t>
      </w:r>
      <w:r>
        <w:t xml:space="preserve"> </w:t>
      </w:r>
      <w:r>
        <w:t xml:space="preserve">or a root Turbo task that actually exists.</w:t>
      </w:r>
    </w:p>
    <w:p>
      <w:pPr>
        <w:pStyle w:val="Compact"/>
        <w:numPr>
          <w:ilvl w:val="0"/>
          <w:numId w:val="1017"/>
        </w:numPr>
      </w:pPr>
      <w:r>
        <w:t xml:space="preserve">Avoid wildcard</w:t>
      </w:r>
      <w:r>
        <w:t xml:space="preserve"> </w:t>
      </w:r>
      <w:r>
        <w:rPr>
          <w:rStyle w:val="VerbatimChar"/>
        </w:rPr>
        <w:t xml:space="preserve">COPY packages/*/package.json</w:t>
      </w:r>
      <w:r>
        <w:t xml:space="preserve"> </w:t>
      </w:r>
      <w:r>
        <w:t xml:space="preserve">until those package manifests exist.</w:t>
      </w:r>
    </w:p>
    <w:bookmarkEnd w:id="24"/>
    <w:bookmarkStart w:id="25" w:name="Xdfdb0a4895856c18998f4da88f25993c74ff5a5"/>
    <w:p>
      <w:pPr>
        <w:pStyle w:val="Heading3"/>
      </w:pPr>
      <w:r>
        <w:t xml:space="preserve">PRD-03: TypeScript strict mode is not green</w:t>
      </w:r>
    </w:p>
    <w:p>
      <w:pPr>
        <w:pStyle w:val="FirstParagraph"/>
      </w:pPr>
      <w:r>
        <w:t xml:space="preserve">Severity: Critical</w:t>
      </w:r>
    </w:p>
    <w:p>
      <w:pPr>
        <w:pStyle w:val="BodyText"/>
      </w:pPr>
      <w:r>
        <w:t xml:space="preserve">Observed categories:</w:t>
      </w:r>
    </w:p>
    <w:p>
      <w:pPr>
        <w:pStyle w:val="Compact"/>
        <w:numPr>
          <w:ilvl w:val="0"/>
          <w:numId w:val="1018"/>
        </w:numPr>
      </w:pPr>
      <w:r>
        <w:t xml:space="preserve">Missing modules:</w:t>
      </w:r>
      <w:r>
        <w:t xml:space="preserve"> </w:t>
      </w:r>
      <w:r>
        <w:rPr>
          <w:rStyle w:val="VerbatimChar"/>
        </w:rPr>
        <w:t xml:space="preserve">hono</w:t>
      </w:r>
      <w:r>
        <w:t xml:space="preserve">,</w:t>
      </w:r>
      <w:r>
        <w:t xml:space="preserve"> </w:t>
      </w:r>
      <w:r>
        <w:rPr>
          <w:rStyle w:val="VerbatimChar"/>
        </w:rPr>
        <w:t xml:space="preserve">zod</w:t>
      </w:r>
      <w:r>
        <w:t xml:space="preserve">,</w:t>
      </w:r>
      <w:r>
        <w:t xml:space="preserve"> </w:t>
      </w:r>
      <w:r>
        <w:rPr>
          <w:rStyle w:val="VerbatimChar"/>
        </w:rPr>
        <w:t xml:space="preserve">ioredis</w:t>
      </w:r>
      <w:r>
        <w:t xml:space="preserve">.</w:t>
      </w:r>
    </w:p>
    <w:p>
      <w:pPr>
        <w:pStyle w:val="Compact"/>
        <w:numPr>
          <w:ilvl w:val="0"/>
          <w:numId w:val="1018"/>
        </w:numPr>
      </w:pPr>
      <w:r>
        <w:t xml:space="preserve">Implicit</w:t>
      </w:r>
      <w:r>
        <w:t xml:space="preserve"> </w:t>
      </w:r>
      <w:r>
        <w:rPr>
          <w:rStyle w:val="VerbatimChar"/>
        </w:rPr>
        <w:t xml:space="preserve">any</w:t>
      </w:r>
      <w:r>
        <w:t xml:space="preserve"> </w:t>
      </w:r>
      <w:r>
        <w:t xml:space="preserve">callback parameters because Hono types are unresolved.</w:t>
      </w:r>
    </w:p>
    <w:p>
      <w:pPr>
        <w:pStyle w:val="Compact"/>
        <w:numPr>
          <w:ilvl w:val="0"/>
          <w:numId w:val="1018"/>
        </w:numPr>
      </w:pPr>
      <w:r>
        <w:rPr>
          <w:rStyle w:val="VerbatimChar"/>
        </w:rPr>
        <w:t xml:space="preserve">exactOptionalPropertyTypes</w:t>
      </w:r>
      <w:r>
        <w:t xml:space="preserve"> </w:t>
      </w:r>
      <w:r>
        <w:t xml:space="preserve">violations from passing</w:t>
      </w:r>
      <w:r>
        <w:t xml:space="preserve"> </w:t>
      </w:r>
      <w:r>
        <w:rPr>
          <w:rStyle w:val="VerbatimChar"/>
        </w:rPr>
        <w:t xml:space="preserve">{ page: undefined }</w:t>
      </w:r>
      <w:r>
        <w:t xml:space="preserve"> </w:t>
      </w:r>
      <w:r>
        <w:t xml:space="preserve">etc.</w:t>
      </w:r>
    </w:p>
    <w:p>
      <w:pPr>
        <w:pStyle w:val="Compact"/>
        <w:numPr>
          <w:ilvl w:val="0"/>
          <w:numId w:val="1018"/>
        </w:numPr>
      </w:pPr>
      <w:r>
        <w:t xml:space="preserve">Drizzle transaction type mismatches across services.</w:t>
      </w:r>
    </w:p>
    <w:p>
      <w:pPr>
        <w:pStyle w:val="Compact"/>
        <w:numPr>
          <w:ilvl w:val="0"/>
          <w:numId w:val="1018"/>
        </w:numPr>
      </w:pPr>
      <w:r>
        <w:t xml:space="preserve">Count result access like</w:t>
      </w:r>
      <w:r>
        <w:t xml:space="preserve"> </w:t>
      </w:r>
      <w:r>
        <w:rPr>
          <w:rStyle w:val="VerbatimChar"/>
        </w:rPr>
        <w:t xml:space="preserve">.value</w:t>
      </w:r>
      <w:r>
        <w:t xml:space="preserve"> </w:t>
      </w:r>
      <w:r>
        <w:t xml:space="preserve">on possibly undefined rows.</w:t>
      </w:r>
    </w:p>
    <w:p>
      <w:pPr>
        <w:pStyle w:val="FirstParagraph"/>
      </w:pPr>
      <w:r>
        <w:t xml:space="preserve">Recommended fix:</w:t>
      </w:r>
    </w:p>
    <w:p>
      <w:pPr>
        <w:pStyle w:val="Compact"/>
        <w:numPr>
          <w:ilvl w:val="0"/>
          <w:numId w:val="1019"/>
        </w:numPr>
      </w:pPr>
      <w:r>
        <w:t xml:space="preserve">Fix workspace dependency resolution first; it will remove many cascading errors.</w:t>
      </w:r>
    </w:p>
    <w:p>
      <w:pPr>
        <w:pStyle w:val="Compact"/>
        <w:numPr>
          <w:ilvl w:val="0"/>
          <w:numId w:val="1019"/>
        </w:numPr>
      </w:pPr>
      <w:r>
        <w:t xml:space="preserve">Construct filter objects without undefined properties.</w:t>
      </w:r>
    </w:p>
    <w:p>
      <w:pPr>
        <w:pStyle w:val="Compact"/>
        <w:numPr>
          <w:ilvl w:val="0"/>
          <w:numId w:val="1019"/>
        </w:numPr>
      </w:pPr>
      <w:r>
        <w:t xml:space="preserve">Standardize a Drizzle transaction type and avoid repeated unsafe casts.</w:t>
      </w:r>
    </w:p>
    <w:p>
      <w:pPr>
        <w:pStyle w:val="Compact"/>
        <w:numPr>
          <w:ilvl w:val="0"/>
          <w:numId w:val="1019"/>
        </w:numPr>
      </w:pPr>
      <w:r>
        <w:t xml:space="preserve">Add</w:t>
      </w:r>
      <w:r>
        <w:t xml:space="preserve"> </w:t>
      </w:r>
      <w:r>
        <w:rPr>
          <w:rStyle w:val="VerbatimChar"/>
        </w:rPr>
        <w:t xml:space="preserve">noUncheckedIndexedAccess</w:t>
      </w:r>
      <w:r>
        <w:t xml:space="preserve"> </w:t>
      </w:r>
      <w:r>
        <w:t xml:space="preserve">safe handling for count rows.</w:t>
      </w:r>
    </w:p>
    <w:bookmarkEnd w:id="25"/>
    <w:bookmarkStart w:id="26" w:name="Xc3b4afd06a2dc7a690b5e180d1da4150571a878"/>
    <w:p>
      <w:pPr>
        <w:pStyle w:val="Heading3"/>
      </w:pPr>
      <w:r>
        <w:t xml:space="preserve">PRD-04: Lint script cannot run as configured</w:t>
      </w:r>
    </w:p>
    <w:p>
      <w:pPr>
        <w:pStyle w:val="FirstParagraph"/>
      </w:pPr>
      <w:r>
        <w:t xml:space="preserve">Severity: High</w:t>
      </w:r>
    </w:p>
    <w:p>
      <w:pPr>
        <w:pStyle w:val="BodyText"/>
      </w:pPr>
      <w:r>
        <w:t xml:space="preserve">Evidence:</w:t>
      </w:r>
    </w:p>
    <w:p>
      <w:pPr>
        <w:pStyle w:val="Compact"/>
        <w:numPr>
          <w:ilvl w:val="0"/>
          <w:numId w:val="1020"/>
        </w:numPr>
      </w:pPr>
      <w:r>
        <w:rPr>
          <w:rStyle w:val="VerbatimChar"/>
        </w:rPr>
        <w:t xml:space="preserve">eslint.config.mjs</w:t>
      </w:r>
      <w:r>
        <w:t xml:space="preserve"> </w:t>
      </w:r>
      <w:r>
        <w:t xml:space="preserve">ignores</w:t>
      </w:r>
      <w:r>
        <w:t xml:space="preserve"> </w:t>
      </w:r>
      <w:r>
        <w:rPr>
          <w:rStyle w:val="VerbatimChar"/>
        </w:rPr>
        <w:t xml:space="preserve">server/**</w:t>
      </w:r>
      <w:r>
        <w:t xml:space="preserve">.</w:t>
      </w:r>
    </w:p>
    <w:p>
      <w:pPr>
        <w:pStyle w:val="Compact"/>
        <w:numPr>
          <w:ilvl w:val="0"/>
          <w:numId w:val="1020"/>
        </w:numPr>
      </w:pPr>
      <w:r>
        <w:t xml:space="preserve">Root script still runs</w:t>
      </w:r>
      <w:r>
        <w:t xml:space="preserve"> </w:t>
      </w:r>
      <w:r>
        <w:rPr>
          <w:rStyle w:val="VerbatimChar"/>
        </w:rPr>
        <w:t xml:space="preserve">eslint packages apps config server</w:t>
      </w:r>
      <w:r>
        <w:t xml:space="preserve">.</w:t>
      </w:r>
    </w:p>
    <w:p>
      <w:pPr>
        <w:pStyle w:val="Compact"/>
        <w:numPr>
          <w:ilvl w:val="0"/>
          <w:numId w:val="1020"/>
        </w:numPr>
      </w:pPr>
      <w:r>
        <w:t xml:space="preserve">ESLint 10 fails when a requested pattern is fully ignored.</w:t>
      </w:r>
    </w:p>
    <w:p>
      <w:pPr>
        <w:pStyle w:val="FirstParagraph"/>
      </w:pPr>
      <w:r>
        <w:t xml:space="preserve">Recommended fix:</w:t>
      </w:r>
    </w:p>
    <w:p>
      <w:pPr>
        <w:pStyle w:val="Compact"/>
        <w:numPr>
          <w:ilvl w:val="0"/>
          <w:numId w:val="1021"/>
        </w:numPr>
      </w:pPr>
      <w:r>
        <w:t xml:space="preserve">Either remove</w:t>
      </w:r>
      <w:r>
        <w:t xml:space="preserve"> </w:t>
      </w:r>
      <w:r>
        <w:rPr>
          <w:rStyle w:val="VerbatimChar"/>
        </w:rPr>
        <w:t xml:space="preserve">server</w:t>
      </w:r>
      <w:r>
        <w:t xml:space="preserve"> </w:t>
      </w:r>
      <w:r>
        <w:t xml:space="preserve">from root lint or add a server-specific ESLint config/package script.</w:t>
      </w:r>
    </w:p>
    <w:p>
      <w:pPr>
        <w:pStyle w:val="Compact"/>
        <w:numPr>
          <w:ilvl w:val="0"/>
          <w:numId w:val="1021"/>
        </w:numPr>
      </w:pPr>
      <w:r>
        <w:t xml:space="preserve">Prefer</w:t>
      </w:r>
      <w:r>
        <w:t xml:space="preserve"> </w:t>
      </w:r>
      <w:r>
        <w:rPr>
          <w:rStyle w:val="VerbatimChar"/>
        </w:rPr>
        <w:t xml:space="preserve">pnpm --filter</w:t>
      </w:r>
      <w:r>
        <w:t xml:space="preserve"> </w:t>
      </w:r>
      <w:r>
        <w:t xml:space="preserve">scripts once server is a workspace package.</w:t>
      </w:r>
    </w:p>
    <w:bookmarkEnd w:id="26"/>
    <w:bookmarkStart w:id="27" w:name="prd-05-bundle-budget-is-failing"/>
    <w:p>
      <w:pPr>
        <w:pStyle w:val="Heading3"/>
      </w:pPr>
      <w:r>
        <w:t xml:space="preserve">PRD-05: Bundle budget is failing</w:t>
      </w:r>
    </w:p>
    <w:p>
      <w:pPr>
        <w:pStyle w:val="FirstParagraph"/>
      </w:pPr>
      <w:r>
        <w:t xml:space="preserve">Severity: Medium</w:t>
      </w:r>
    </w:p>
    <w:p>
      <w:pPr>
        <w:pStyle w:val="BodyText"/>
      </w:pPr>
      <w:r>
        <w:t xml:space="preserve">Evidence:</w:t>
      </w:r>
    </w:p>
    <w:p>
      <w:pPr>
        <w:pStyle w:val="Compact"/>
        <w:numPr>
          <w:ilvl w:val="0"/>
          <w:numId w:val="1022"/>
        </w:numPr>
      </w:pPr>
      <w:r>
        <w:t xml:space="preserve">Browser-AI build: 452,318 raw bytes, 120,620 gzip bytes.</w:t>
      </w:r>
    </w:p>
    <w:p>
      <w:pPr>
        <w:pStyle w:val="Compact"/>
        <w:numPr>
          <w:ilvl w:val="0"/>
          <w:numId w:val="1022"/>
        </w:numPr>
      </w:pPr>
      <w:r>
        <w:t xml:space="preserve">Budget: 440,000 raw bytes, 120,000 gzip bytes.</w:t>
      </w:r>
    </w:p>
    <w:p>
      <w:pPr>
        <w:pStyle w:val="FirstParagraph"/>
      </w:pPr>
      <w:r>
        <w:t xml:space="preserve">Recommended fix:</w:t>
      </w:r>
    </w:p>
    <w:p>
      <w:pPr>
        <w:pStyle w:val="Compact"/>
        <w:numPr>
          <w:ilvl w:val="0"/>
          <w:numId w:val="1023"/>
        </w:numPr>
      </w:pPr>
      <w:r>
        <w:t xml:space="preserve">Run the bundle analyzer documented in</w:t>
      </w:r>
      <w:r>
        <w:t xml:space="preserve"> </w:t>
      </w:r>
      <w:r>
        <w:rPr>
          <w:rStyle w:val="VerbatimChar"/>
        </w:rPr>
        <w:t xml:space="preserve">scripts/assert-bundle-size.mjs</w:t>
      </w:r>
      <w:r>
        <w:t xml:space="preserve">.</w:t>
      </w:r>
    </w:p>
    <w:p>
      <w:pPr>
        <w:pStyle w:val="Compact"/>
        <w:numPr>
          <w:ilvl w:val="0"/>
          <w:numId w:val="1023"/>
        </w:numPr>
      </w:pPr>
      <w:r>
        <w:t xml:space="preserve">Decide whether the new budget is intentional; if so, update the budget with a tracked approval.</w:t>
      </w:r>
    </w:p>
    <w:p>
      <w:pPr>
        <w:pStyle w:val="Compact"/>
        <w:numPr>
          <w:ilvl w:val="0"/>
          <w:numId w:val="1023"/>
        </w:numPr>
      </w:pPr>
      <w:r>
        <w:t xml:space="preserve">If not intentional, remove dead code, review schema/runtime imports, and keep cloud/provider aliases tight.</w:t>
      </w:r>
    </w:p>
    <w:bookmarkEnd w:id="27"/>
    <w:bookmarkEnd w:id="28"/>
    <w:bookmarkStart w:id="29" w:name="operations-readiness"/>
    <w:p>
      <w:pPr>
        <w:pStyle w:val="Heading2"/>
      </w:pPr>
      <w:r>
        <w:t xml:space="preserve">Operations Readiness</w:t>
      </w:r>
    </w:p>
    <w:tbl>
      <w:tblPr>
        <w:tblStyle w:val="Table"/>
        <w:tblW w:type="pct" w:w="5000"/>
        <w:tblLayout w:type="fixed"/>
        <w:tblLook w:firstRow="1" w:lastRow="0" w:firstColumn="0" w:lastColumn="0" w:noHBand="0" w:noVBand="0" w:val="0020"/>
      </w:tblPr>
      <w:tblGrid>
        <w:gridCol w:w="792"/>
        <w:gridCol w:w="2282"/>
        <w:gridCol w:w="4845"/>
      </w:tblGrid>
      <w:tr>
        <w:trPr>
          <w:tblHeader w:val="on"/>
        </w:trPr>
        <w:tc>
          <w:tcPr/>
          <w:p>
            <w:pPr>
              <w:pStyle w:val="Compact"/>
            </w:pPr>
            <w:r>
              <w:t xml:space="preserve">Capability</w:t>
            </w:r>
          </w:p>
        </w:tc>
        <w:tc>
          <w:tcPr/>
          <w:p>
            <w:pPr>
              <w:pStyle w:val="Compact"/>
            </w:pPr>
            <w:r>
              <w:t xml:space="preserve">Current state</w:t>
            </w:r>
          </w:p>
        </w:tc>
        <w:tc>
          <w:tcPr/>
          <w:p>
            <w:pPr>
              <w:pStyle w:val="Compact"/>
            </w:pPr>
            <w:r>
              <w:t xml:space="preserve">Production gap</w:t>
            </w:r>
          </w:p>
        </w:tc>
      </w:tr>
      <w:tr>
        <w:tc>
          <w:tcPr/>
          <w:p>
            <w:pPr>
              <w:pStyle w:val="Compact"/>
            </w:pPr>
            <w:r>
              <w:t xml:space="preserve">Health checks</w:t>
            </w:r>
          </w:p>
        </w:tc>
        <w:tc>
          <w:tcPr/>
          <w:p>
            <w:pPr>
              <w:pStyle w:val="Compact"/>
            </w:pPr>
            <w:r>
              <w:rPr>
                <w:rStyle w:val="VerbatimChar"/>
              </w:rPr>
              <w:t xml:space="preserve">/healthz</w:t>
            </w:r>
            <w:r>
              <w:t xml:space="preserve"> </w:t>
            </w:r>
            <w:r>
              <w:t xml:space="preserve">and</w:t>
            </w:r>
            <w:r>
              <w:t xml:space="preserve"> </w:t>
            </w:r>
            <w:r>
              <w:rPr>
                <w:rStyle w:val="VerbatimChar"/>
              </w:rPr>
              <w:t xml:space="preserve">/readyz</w:t>
            </w:r>
            <w:r>
              <w:t xml:space="preserve"> </w:t>
            </w:r>
            <w:r>
              <w:t xml:space="preserve">exist</w:t>
            </w:r>
          </w:p>
        </w:tc>
        <w:tc>
          <w:tcPr/>
          <w:p>
            <w:pPr>
              <w:pStyle w:val="Compact"/>
            </w:pPr>
            <w:r>
              <w:t xml:space="preserve">Readiness requires KMS; production env naming is inconsistent (</w:t>
            </w:r>
            <w:r>
              <w:rPr>
                <w:rStyle w:val="VerbatimChar"/>
              </w:rPr>
              <w:t xml:space="preserve">AZURE_KEY_VAULT_URL</w:t>
            </w:r>
            <w:r>
              <w:t xml:space="preserve"> </w:t>
            </w:r>
            <w:r>
              <w:t xml:space="preserve">vs</w:t>
            </w:r>
            <w:r>
              <w:t xml:space="preserve"> </w:t>
            </w:r>
            <w:r>
              <w:rPr>
                <w:rStyle w:val="VerbatimChar"/>
              </w:rPr>
              <w:t xml:space="preserve">AZURE_KV_URL</w:t>
            </w:r>
            <w:r>
              <w:t xml:space="preserve">).</w:t>
            </w:r>
          </w:p>
        </w:tc>
      </w:tr>
      <w:tr>
        <w:tc>
          <w:tcPr/>
          <w:p>
            <w:pPr>
              <w:pStyle w:val="Compact"/>
            </w:pPr>
            <w:r>
              <w:t xml:space="preserve">Observability</w:t>
            </w:r>
          </w:p>
        </w:tc>
        <w:tc>
          <w:tcPr/>
          <w:p>
            <w:pPr>
              <w:pStyle w:val="Compact"/>
            </w:pPr>
            <w:r>
              <w:t xml:space="preserve">OTel server code and ADR exist</w:t>
            </w:r>
          </w:p>
        </w:tc>
        <w:tc>
          <w:tcPr/>
          <w:p>
            <w:pPr>
              <w:pStyle w:val="Compact"/>
            </w:pPr>
            <w:r>
              <w:t xml:space="preserve">No proven deployment with dashboards, SLO alerting, SIEM export, or log redaction tests.</w:t>
            </w:r>
          </w:p>
        </w:tc>
      </w:tr>
      <w:tr>
        <w:tc>
          <w:tcPr/>
          <w:p>
            <w:pPr>
              <w:pStyle w:val="Compact"/>
            </w:pPr>
            <w:r>
              <w:t xml:space="preserve">Container runtime</w:t>
            </w:r>
          </w:p>
        </w:tc>
        <w:tc>
          <w:tcPr/>
          <w:p>
            <w:pPr>
              <w:pStyle w:val="Compact"/>
            </w:pPr>
            <w:r>
              <w:t xml:space="preserve">Distroless/nonroot intent</w:t>
            </w:r>
          </w:p>
        </w:tc>
        <w:tc>
          <w:tcPr/>
          <w:p>
            <w:pPr>
              <w:pStyle w:val="Compact"/>
            </w:pPr>
            <w:r>
              <w:t xml:space="preserve">Docker build path likely invalid.</w:t>
            </w:r>
          </w:p>
        </w:tc>
      </w:tr>
      <w:tr>
        <w:tc>
          <w:tcPr/>
          <w:p>
            <w:pPr>
              <w:pStyle w:val="Compact"/>
            </w:pPr>
            <w:r>
              <w:t xml:space="preserve">Kubernetes</w:t>
            </w:r>
          </w:p>
        </w:tc>
        <w:tc>
          <w:tcPr/>
          <w:p>
            <w:pPr>
              <w:pStyle w:val="Compact"/>
            </w:pPr>
            <w:r>
              <w:t xml:space="preserve">SecurityContext, probes, resources, NetworkPolicy</w:t>
            </w:r>
          </w:p>
        </w:tc>
        <w:tc>
          <w:tcPr/>
          <w:p>
            <w:pPr>
              <w:pStyle w:val="Compact"/>
            </w:pPr>
            <w:r>
              <w:t xml:space="preserve">Manifests contain placeholders and broad IdP egress CIDR.</w:t>
            </w:r>
          </w:p>
        </w:tc>
      </w:tr>
      <w:tr>
        <w:tc>
          <w:tcPr/>
          <w:p>
            <w:pPr>
              <w:pStyle w:val="Compact"/>
            </w:pPr>
            <w:r>
              <w:t xml:space="preserve">CI/CD</w:t>
            </w:r>
          </w:p>
        </w:tc>
        <w:tc>
          <w:tcPr/>
          <w:p>
            <w:pPr>
              <w:pStyle w:val="Compact"/>
            </w:pPr>
            <w:r>
              <w:t xml:space="preserve">Build, CI, CodeQL, security workflows</w:t>
            </w:r>
          </w:p>
        </w:tc>
        <w:tc>
          <w:tcPr/>
          <w:p>
            <w:pPr>
              <w:pStyle w:val="Compact"/>
            </w:pPr>
            <w:r>
              <w:t xml:space="preserve">Current gates fail; bundle size is nonblocking in CI but blocking in release.</w:t>
            </w:r>
          </w:p>
        </w:tc>
      </w:tr>
      <w:tr>
        <w:tc>
          <w:tcPr/>
          <w:p>
            <w:pPr>
              <w:pStyle w:val="Compact"/>
            </w:pPr>
            <w:r>
              <w:t xml:space="preserve">Backups/restore</w:t>
            </w:r>
          </w:p>
        </w:tc>
        <w:tc>
          <w:tcPr/>
          <w:p>
            <w:pPr>
              <w:pStyle w:val="Compact"/>
            </w:pPr>
            <w:r>
              <w:t xml:space="preserve">Offline encrypted export/import exists</w:t>
            </w:r>
          </w:p>
        </w:tc>
        <w:tc>
          <w:tcPr/>
          <w:p>
            <w:pPr>
              <w:pStyle w:val="Compact"/>
            </w:pPr>
            <w:r>
              <w:t xml:space="preserve">No restore drill evidence or enterprise backup recovery objectives.</w:t>
            </w:r>
          </w:p>
        </w:tc>
      </w:tr>
    </w:tbl>
    <w:bookmarkEnd w:id="29"/>
    <w:bookmarkStart w:id="30" w:name="production-readiness-decision"/>
    <w:p>
      <w:pPr>
        <w:pStyle w:val="Heading2"/>
      </w:pPr>
      <w:r>
        <w:t xml:space="preserve">Production Readiness Decision</w:t>
      </w:r>
    </w:p>
    <w:p>
      <w:pPr>
        <w:pStyle w:val="FirstParagraph"/>
      </w:pPr>
      <w:r>
        <w:t xml:space="preserve">Offline HTML: conditional pilot-ready after bundle/accessibility/documentation checks.</w:t>
      </w:r>
    </w:p>
    <w:p>
      <w:pPr>
        <w:pStyle w:val="BodyText"/>
      </w:pPr>
      <w:r>
        <w:t xml:space="preserve">Enterprise server: not production-ready. Treat as an architectural scaffold until all critical blockers are closed and integration tests run against Postgres, OPA, Entra/OIDC, and KMS.</w:t>
      </w:r>
    </w:p>
    <w:bookmarkEnd w:id="30"/>
    <w:bookmarkEnd w:id="31"/>
    <w:bookmarkStart w:id="45" w:name="security-privacy-and-compliance-report"/>
    <w:p>
      <w:pPr>
        <w:pStyle w:val="Heading1"/>
      </w:pPr>
      <w:r>
        <w:t xml:space="preserve">Security, Privacy, and Compliance Report</w:t>
      </w:r>
    </w:p>
    <w:p>
      <w:pPr>
        <w:pStyle w:val="FirstParagraph"/>
      </w:pPr>
      <w:r>
        <w:t xml:space="preserve">Assessment date: 2026-05-21</w:t>
      </w:r>
    </w:p>
    <w:bookmarkStart w:id="32" w:name="benchmarks"/>
    <w:p>
      <w:pPr>
        <w:pStyle w:val="Heading2"/>
      </w:pPr>
      <w:r>
        <w:t xml:space="preserve">Benchmarks</w:t>
      </w:r>
    </w:p>
    <w:p>
      <w:pPr>
        <w:pStyle w:val="FirstParagraph"/>
      </w:pPr>
      <w:r>
        <w:t xml:space="preserve">This assessment uses the following 2026-relevant baselines:</w:t>
      </w:r>
    </w:p>
    <w:p>
      <w:pPr>
        <w:pStyle w:val="Compact"/>
        <w:numPr>
          <w:ilvl w:val="0"/>
          <w:numId w:val="1024"/>
        </w:numPr>
      </w:pPr>
      <w:r>
        <w:t xml:space="preserve">OWASP Top 10:2025</w:t>
      </w:r>
    </w:p>
    <w:p>
      <w:pPr>
        <w:pStyle w:val="Compact"/>
        <w:numPr>
          <w:ilvl w:val="0"/>
          <w:numId w:val="1024"/>
        </w:numPr>
      </w:pPr>
      <w:r>
        <w:t xml:space="preserve">OWASP ASVS 5.0.0</w:t>
      </w:r>
    </w:p>
    <w:p>
      <w:pPr>
        <w:pStyle w:val="Compact"/>
        <w:numPr>
          <w:ilvl w:val="0"/>
          <w:numId w:val="1024"/>
        </w:numPr>
      </w:pPr>
      <w:r>
        <w:t xml:space="preserve">NIST CSF 2.0</w:t>
      </w:r>
    </w:p>
    <w:p>
      <w:pPr>
        <w:pStyle w:val="Compact"/>
        <w:numPr>
          <w:ilvl w:val="0"/>
          <w:numId w:val="1024"/>
        </w:numPr>
      </w:pPr>
      <w:r>
        <w:t xml:space="preserve">CSA Cloud Controls Matrix v4.1, released 2026-01-27</w:t>
      </w:r>
    </w:p>
    <w:p>
      <w:pPr>
        <w:pStyle w:val="Compact"/>
        <w:numPr>
          <w:ilvl w:val="0"/>
          <w:numId w:val="1024"/>
        </w:numPr>
      </w:pPr>
      <w:r>
        <w:t xml:space="preserve">SOC 2-style trust service evidence expectations</w:t>
      </w:r>
    </w:p>
    <w:p>
      <w:pPr>
        <w:pStyle w:val="Compact"/>
        <w:numPr>
          <w:ilvl w:val="0"/>
          <w:numId w:val="1024"/>
        </w:numPr>
      </w:pPr>
      <w:r>
        <w:t xml:space="preserve">GDPR privacy-by-design, erasure, and DSAR evidence expectations</w:t>
      </w:r>
    </w:p>
    <w:bookmarkEnd w:id="32"/>
    <w:bookmarkStart w:id="33" w:name="security-summary"/>
    <w:p>
      <w:pPr>
        <w:pStyle w:val="Heading2"/>
      </w:pPr>
      <w:r>
        <w:t xml:space="preserve">Security Summary</w:t>
      </w:r>
    </w:p>
    <w:p>
      <w:pPr>
        <w:pStyle w:val="FirstParagraph"/>
      </w:pPr>
      <w:r>
        <w:t xml:space="preserve">The offline application has above-average security controls for a local-first CRM. The enterprise server has strong design intent but is not yet security-reviewable as a production service because typecheck, dependency audit, and container build assumptions are red.</w:t>
      </w:r>
    </w:p>
    <w:bookmarkEnd w:id="33"/>
    <w:bookmarkStart w:id="34" w:name="positive-controls"/>
    <w:p>
      <w:pPr>
        <w:pStyle w:val="Heading2"/>
      </w:pPr>
      <w:r>
        <w:t xml:space="preserve">Positive Controls</w:t>
      </w:r>
    </w:p>
    <w:tbl>
      <w:tblPr>
        <w:tblStyle w:val="Table"/>
        <w:tblW w:type="pct" w:w="5000"/>
        <w:tblLayout w:type="fixed"/>
        <w:tblLook w:firstRow="1" w:lastRow="0" w:firstColumn="0" w:lastColumn="0" w:noHBand="0" w:noVBand="0" w:val="0020"/>
      </w:tblPr>
      <w:tblGrid>
        <w:gridCol w:w="1068"/>
        <w:gridCol w:w="3304"/>
        <w:gridCol w:w="3546"/>
      </w:tblGrid>
      <w:tr>
        <w:trPr>
          <w:tblHeader w:val="on"/>
        </w:trPr>
        <w:tc>
          <w:tcPr/>
          <w:p>
            <w:pPr>
              <w:pStyle w:val="Compact"/>
            </w:pPr>
            <w:r>
              <w:t xml:space="preserve">Area</w:t>
            </w:r>
          </w:p>
        </w:tc>
        <w:tc>
          <w:tcPr/>
          <w:p>
            <w:pPr>
              <w:pStyle w:val="Compact"/>
            </w:pPr>
            <w:r>
              <w:t xml:space="preserve">Evidence</w:t>
            </w:r>
          </w:p>
        </w:tc>
        <w:tc>
          <w:tcPr/>
          <w:p>
            <w:pPr>
              <w:pStyle w:val="Compact"/>
            </w:pPr>
            <w:r>
              <w:t xml:space="preserve">Notes</w:t>
            </w:r>
          </w:p>
        </w:tc>
      </w:tr>
      <w:tr>
        <w:tc>
          <w:tcPr/>
          <w:p>
            <w:pPr>
              <w:pStyle w:val="Compact"/>
            </w:pPr>
            <w:r>
              <w:t xml:space="preserve">Local encryption</w:t>
            </w:r>
          </w:p>
        </w:tc>
        <w:tc>
          <w:tcPr/>
          <w:p>
            <w:pPr>
              <w:pStyle w:val="Compact"/>
            </w:pPr>
            <w:r>
              <w:rPr>
                <w:rStyle w:val="VerbatimChar"/>
              </w:rPr>
              <w:t xml:space="preserve">packages/core/src/security/crypto.ts</w:t>
            </w:r>
          </w:p>
        </w:tc>
        <w:tc>
          <w:tcPr/>
          <w:p>
            <w:pPr>
              <w:pStyle w:val="Compact"/>
            </w:pPr>
            <w:r>
              <w:t xml:space="preserve">PBKDF2-HMAC-SHA-256, AES-256-GCM, non-extractable keys.</w:t>
            </w:r>
          </w:p>
        </w:tc>
      </w:tr>
      <w:tr>
        <w:tc>
          <w:tcPr/>
          <w:p>
            <w:pPr>
              <w:pStyle w:val="Compact"/>
            </w:pPr>
            <w:r>
              <w:t xml:space="preserve">Vault storage</w:t>
            </w:r>
          </w:p>
        </w:tc>
        <w:tc>
          <w:tcPr/>
          <w:p>
            <w:pPr>
              <w:pStyle w:val="Compact"/>
            </w:pPr>
            <w:r>
              <w:rPr>
                <w:rStyle w:val="VerbatimChar"/>
              </w:rPr>
              <w:t xml:space="preserve">packages/core/src/security/vault.ts</w:t>
            </w:r>
          </w:p>
        </w:tc>
        <w:tc>
          <w:tcPr/>
          <w:p>
            <w:pPr>
              <w:pStyle w:val="Compact"/>
            </w:pPr>
            <w:r>
              <w:t xml:space="preserve">Encrypted vault in IndexedDB, password verification token, KDF migration.</w:t>
            </w:r>
          </w:p>
        </w:tc>
      </w:tr>
      <w:tr>
        <w:tc>
          <w:tcPr/>
          <w:p>
            <w:pPr>
              <w:pStyle w:val="Compact"/>
            </w:pPr>
            <w:r>
              <w:t xml:space="preserve">XSS mitigation</w:t>
            </w:r>
          </w:p>
        </w:tc>
        <w:tc>
          <w:tcPr/>
          <w:p>
            <w:pPr>
              <w:pStyle w:val="Compact"/>
            </w:pPr>
            <w:r>
              <w:rPr>
                <w:rStyle w:val="VerbatimChar"/>
              </w:rPr>
              <w:t xml:space="preserve">sanitize.ts</w:t>
            </w:r>
            <w:r>
              <w:t xml:space="preserve">,</w:t>
            </w:r>
            <w:r>
              <w:t xml:space="preserve"> </w:t>
            </w:r>
            <w:r>
              <w:rPr>
                <w:rStyle w:val="VerbatimChar"/>
              </w:rPr>
              <w:t xml:space="preserve">trusted-types.ts</w:t>
            </w:r>
            <w:r>
              <w:t xml:space="preserve">, CSP generation</w:t>
            </w:r>
          </w:p>
        </w:tc>
        <w:tc>
          <w:tcPr/>
          <w:p>
            <w:pPr>
              <w:pStyle w:val="Compact"/>
            </w:pPr>
            <w:r>
              <w:t xml:space="preserve">DOMPurify allowlist, Trusted Types policies, generated script hashes.</w:t>
            </w:r>
          </w:p>
        </w:tc>
      </w:tr>
      <w:tr>
        <w:tc>
          <w:tcPr/>
          <w:p>
            <w:pPr>
              <w:pStyle w:val="Compact"/>
            </w:pPr>
            <w:r>
              <w:t xml:space="preserve">Offline egress control</w:t>
            </w:r>
          </w:p>
        </w:tc>
        <w:tc>
          <w:tcPr/>
          <w:p>
            <w:pPr>
              <w:pStyle w:val="Compact"/>
            </w:pPr>
            <w:r>
              <w:t xml:space="preserve">Vite aliases and</w:t>
            </w:r>
            <w:r>
              <w:t xml:space="preserve"> </w:t>
            </w:r>
            <w:r>
              <w:rPr>
                <w:rStyle w:val="VerbatimChar"/>
              </w:rPr>
              <w:t xml:space="preserve">assert-offline-bundle.mjs</w:t>
            </w:r>
          </w:p>
        </w:tc>
        <w:tc>
          <w:tcPr/>
          <w:p>
            <w:pPr>
              <w:pStyle w:val="Compact"/>
            </w:pPr>
            <w:r>
              <w:t xml:space="preserve">Built artifact has no cloud AI provider strings.</w:t>
            </w:r>
          </w:p>
        </w:tc>
      </w:tr>
      <w:tr>
        <w:tc>
          <w:tcPr/>
          <w:p>
            <w:pPr>
              <w:pStyle w:val="Compact"/>
            </w:pPr>
            <w:r>
              <w:t xml:space="preserve">Tenant DB design</w:t>
            </w:r>
          </w:p>
        </w:tc>
        <w:tc>
          <w:tcPr/>
          <w:p>
            <w:pPr>
              <w:pStyle w:val="Compact"/>
            </w:pPr>
            <w:r>
              <w:rPr>
                <w:rStyle w:val="VerbatimChar"/>
              </w:rPr>
              <w:t xml:space="preserve">server/drizzle/0002_crm_entities.sql</w:t>
            </w:r>
          </w:p>
        </w:tc>
        <w:tc>
          <w:tcPr/>
          <w:p>
            <w:pPr>
              <w:pStyle w:val="Compact"/>
            </w:pPr>
            <w:r>
              <w:t xml:space="preserve">RLS enabled and forced for CRM tables.</w:t>
            </w:r>
          </w:p>
        </w:tc>
      </w:tr>
      <w:tr>
        <w:tc>
          <w:tcPr/>
          <w:p>
            <w:pPr>
              <w:pStyle w:val="Compact"/>
            </w:pPr>
            <w:r>
              <w:t xml:space="preserve">Authorization design</w:t>
            </w:r>
          </w:p>
        </w:tc>
        <w:tc>
          <w:tcPr/>
          <w:p>
            <w:pPr>
              <w:pStyle w:val="Compact"/>
            </w:pPr>
            <w:r>
              <w:rPr>
                <w:rStyle w:val="VerbatimChar"/>
              </w:rPr>
              <w:t xml:space="preserve">server/src/middleware/opa.ts</w:t>
            </w:r>
          </w:p>
        </w:tc>
        <w:tc>
          <w:tcPr/>
          <w:p>
            <w:pPr>
              <w:pStyle w:val="Compact"/>
            </w:pPr>
            <w:r>
              <w:t xml:space="preserve">OPA REST/WASM fallback, deny on evaluation errors.</w:t>
            </w:r>
          </w:p>
        </w:tc>
      </w:tr>
      <w:tr>
        <w:tc>
          <w:tcPr/>
          <w:p>
            <w:pPr>
              <w:pStyle w:val="Compact"/>
            </w:pPr>
            <w:r>
              <w:t xml:space="preserve">CORS</w:t>
            </w:r>
          </w:p>
        </w:tc>
        <w:tc>
          <w:tcPr/>
          <w:p>
            <w:pPr>
              <w:pStyle w:val="Compact"/>
            </w:pPr>
            <w:r>
              <w:rPr>
                <w:rStyle w:val="VerbatimChar"/>
              </w:rPr>
              <w:t xml:space="preserve">server/src/middleware/cors.ts</w:t>
            </w:r>
          </w:p>
        </w:tc>
        <w:tc>
          <w:tcPr/>
          <w:p>
            <w:pPr>
              <w:pStyle w:val="Compact"/>
            </w:pPr>
            <w:r>
              <w:t xml:space="preserve">Allowlist only, no wildcard support, credentials disabled.</w:t>
            </w:r>
          </w:p>
        </w:tc>
      </w:tr>
      <w:tr>
        <w:tc>
          <w:tcPr/>
          <w:p>
            <w:pPr>
              <w:pStyle w:val="Compact"/>
            </w:pPr>
            <w:r>
              <w:t xml:space="preserve">Audit</w:t>
            </w:r>
          </w:p>
        </w:tc>
        <w:tc>
          <w:tcPr/>
          <w:p>
            <w:pPr>
              <w:pStyle w:val="Compact"/>
            </w:pPr>
            <w:r>
              <w:rPr>
                <w:rStyle w:val="VerbatimChar"/>
              </w:rPr>
              <w:t xml:space="preserve">packages/core/src/security/audit.ts</w:t>
            </w:r>
            <w:r>
              <w:t xml:space="preserve">,</w:t>
            </w:r>
            <w:r>
              <w:t xml:space="preserve"> </w:t>
            </w:r>
            <w:r>
              <w:rPr>
                <w:rStyle w:val="VerbatimChar"/>
              </w:rPr>
              <w:t xml:space="preserve">server/src/services/base.ts</w:t>
            </w:r>
          </w:p>
        </w:tc>
        <w:tc>
          <w:tcPr/>
          <w:p>
            <w:pPr>
              <w:pStyle w:val="Compact"/>
            </w:pPr>
            <w:r>
              <w:t xml:space="preserve">Client encrypted audit log and server audit events.</w:t>
            </w:r>
          </w:p>
        </w:tc>
      </w:tr>
      <w:tr>
        <w:tc>
          <w:tcPr/>
          <w:p>
            <w:pPr>
              <w:pStyle w:val="Compact"/>
            </w:pPr>
            <w:r>
              <w:t xml:space="preserve">Supply chain workflows</w:t>
            </w:r>
          </w:p>
        </w:tc>
        <w:tc>
          <w:tcPr/>
          <w:p>
            <w:pPr>
              <w:pStyle w:val="Compact"/>
            </w:pPr>
            <w:r>
              <w:t xml:space="preserve">GitHub Actions</w:t>
            </w:r>
          </w:p>
        </w:tc>
        <w:tc>
          <w:tcPr/>
          <w:p>
            <w:pPr>
              <w:pStyle w:val="Compact"/>
            </w:pPr>
            <w:r>
              <w:t xml:space="preserve">CodeQL, dependency review, pnpm audit, gitleaks, Semgrep workflows exist.</w:t>
            </w:r>
          </w:p>
        </w:tc>
      </w:tr>
    </w:tbl>
    <w:bookmarkEnd w:id="34"/>
    <w:bookmarkStart w:id="39" w:name="critical-and-high-risks"/>
    <w:p>
      <w:pPr>
        <w:pStyle w:val="Heading2"/>
      </w:pPr>
      <w:r>
        <w:t xml:space="preserve">Critical and High Risks</w:t>
      </w:r>
    </w:p>
    <w:bookmarkStart w:id="35" w:name="X487cbaa7d7fdd1fd2f4abad990dd069550277d1"/>
    <w:p>
      <w:pPr>
        <w:pStyle w:val="Heading3"/>
      </w:pPr>
      <w:r>
        <w:t xml:space="preserve">SEC-01: High dependency advisory in Drizzle ORM</w:t>
      </w:r>
    </w:p>
    <w:p>
      <w:pPr>
        <w:pStyle w:val="FirstParagraph"/>
      </w:pPr>
      <w:r>
        <w:t xml:space="preserve">Severity: High</w:t>
      </w:r>
    </w:p>
    <w:p>
      <w:pPr>
        <w:pStyle w:val="BodyText"/>
      </w:pPr>
      <w:r>
        <w:rPr>
          <w:rStyle w:val="VerbatimChar"/>
        </w:rPr>
        <w:t xml:space="preserve">pnpm audit --audit-level moderate</w:t>
      </w:r>
      <w:r>
        <w:t xml:space="preserve"> </w:t>
      </w:r>
      <w:r>
        <w:t xml:space="preserve">reports:</w:t>
      </w:r>
    </w:p>
    <w:p>
      <w:pPr>
        <w:pStyle w:val="Compact"/>
        <w:numPr>
          <w:ilvl w:val="0"/>
          <w:numId w:val="1025"/>
        </w:numPr>
      </w:pPr>
      <w:r>
        <w:t xml:space="preserve">Package:</w:t>
      </w:r>
      <w:r>
        <w:t xml:space="preserve"> </w:t>
      </w:r>
      <w:r>
        <w:rPr>
          <w:rStyle w:val="VerbatimChar"/>
        </w:rPr>
        <w:t xml:space="preserve">drizzle-orm</w:t>
      </w:r>
    </w:p>
    <w:p>
      <w:pPr>
        <w:pStyle w:val="Compact"/>
        <w:numPr>
          <w:ilvl w:val="0"/>
          <w:numId w:val="1025"/>
        </w:numPr>
      </w:pPr>
      <w:r>
        <w:t xml:space="preserve">Advisory: GHSA-gpj5-g38j-94v9</w:t>
      </w:r>
    </w:p>
    <w:p>
      <w:pPr>
        <w:pStyle w:val="Compact"/>
        <w:numPr>
          <w:ilvl w:val="0"/>
          <w:numId w:val="1025"/>
        </w:numPr>
      </w:pPr>
      <w:r>
        <w:t xml:space="preserve">Issue: SQL injection via improperly escaped SQL identifiers</w:t>
      </w:r>
    </w:p>
    <w:p>
      <w:pPr>
        <w:pStyle w:val="Compact"/>
        <w:numPr>
          <w:ilvl w:val="0"/>
          <w:numId w:val="1025"/>
        </w:numPr>
      </w:pPr>
      <w:r>
        <w:t xml:space="preserve">Vulnerable:</w:t>
      </w:r>
      <w:r>
        <w:t xml:space="preserve"> </w:t>
      </w:r>
      <w:r>
        <w:rPr>
          <w:rStyle w:val="VerbatimChar"/>
        </w:rPr>
        <w:t xml:space="preserve">&lt;0.45.2</w:t>
      </w:r>
    </w:p>
    <w:p>
      <w:pPr>
        <w:pStyle w:val="Compact"/>
        <w:numPr>
          <w:ilvl w:val="0"/>
          <w:numId w:val="1025"/>
        </w:numPr>
      </w:pPr>
      <w:r>
        <w:t xml:space="preserve">Patched:</w:t>
      </w:r>
      <w:r>
        <w:t xml:space="preserve"> </w:t>
      </w:r>
      <w:r>
        <w:rPr>
          <w:rStyle w:val="VerbatimChar"/>
        </w:rPr>
        <w:t xml:space="preserve">&gt;=0.45.2</w:t>
      </w:r>
    </w:p>
    <w:p>
      <w:pPr>
        <w:pStyle w:val="FirstParagraph"/>
      </w:pPr>
      <w:r>
        <w:t xml:space="preserve">Current manifests show root</w:t>
      </w:r>
      <w:r>
        <w:t xml:space="preserve"> </w:t>
      </w:r>
      <w:r>
        <w:rPr>
          <w:rStyle w:val="VerbatimChar"/>
        </w:rPr>
        <w:t xml:space="preserve">drizzle-orm ^0.43.1</w:t>
      </w:r>
      <w:r>
        <w:t xml:space="preserve"> </w:t>
      </w:r>
      <w:r>
        <w:t xml:space="preserve">and server</w:t>
      </w:r>
      <w:r>
        <w:t xml:space="preserve"> </w:t>
      </w:r>
      <w:r>
        <w:rPr>
          <w:rStyle w:val="VerbatimChar"/>
        </w:rPr>
        <w:t xml:space="preserve">^0.44</w:t>
      </w:r>
      <w:r>
        <w:t xml:space="preserve">.</w:t>
      </w:r>
    </w:p>
    <w:p>
      <w:pPr>
        <w:pStyle w:val="BodyText"/>
      </w:pPr>
      <w:r>
        <w:t xml:space="preserve">Remediation:</w:t>
      </w:r>
    </w:p>
    <w:p>
      <w:pPr>
        <w:pStyle w:val="Compact"/>
        <w:numPr>
          <w:ilvl w:val="0"/>
          <w:numId w:val="1026"/>
        </w:numPr>
      </w:pPr>
      <w:r>
        <w:t xml:space="preserve">Upgrade all Drizzle references to</w:t>
      </w:r>
      <w:r>
        <w:t xml:space="preserve"> </w:t>
      </w:r>
      <w:r>
        <w:rPr>
          <w:rStyle w:val="VerbatimChar"/>
        </w:rPr>
        <w:t xml:space="preserve">&gt;=0.45.2</w:t>
      </w:r>
      <w:r>
        <w:t xml:space="preserve">.</w:t>
      </w:r>
    </w:p>
    <w:p>
      <w:pPr>
        <w:pStyle w:val="Compact"/>
        <w:numPr>
          <w:ilvl w:val="0"/>
          <w:numId w:val="1026"/>
        </w:numPr>
      </w:pPr>
      <w:r>
        <w:t xml:space="preserve">Regenerate lockfile.</w:t>
      </w:r>
    </w:p>
    <w:p>
      <w:pPr>
        <w:pStyle w:val="Compact"/>
        <w:numPr>
          <w:ilvl w:val="0"/>
          <w:numId w:val="1026"/>
        </w:numPr>
      </w:pPr>
      <w:r>
        <w:t xml:space="preserve">Rerun typecheck, tests, migrations, and audit.</w:t>
      </w:r>
    </w:p>
    <w:p>
      <w:pPr>
        <w:pStyle w:val="Compact"/>
        <w:numPr>
          <w:ilvl w:val="0"/>
          <w:numId w:val="1026"/>
        </w:numPr>
      </w:pPr>
      <w:r>
        <w:t xml:space="preserve">Review any use of dynamic identifiers or raw SQL.</w:t>
      </w:r>
    </w:p>
    <w:bookmarkEnd w:id="35"/>
    <w:bookmarkStart w:id="36" w:name="X40e82cfc04664eb309a853570a64532f4a98fd9"/>
    <w:p>
      <w:pPr>
        <w:pStyle w:val="Heading3"/>
      </w:pPr>
      <w:r>
        <w:t xml:space="preserve">SEC-02: Enterprise auth allows unprovisioned users as viewers</w:t>
      </w:r>
    </w:p>
    <w:p>
      <w:pPr>
        <w:pStyle w:val="FirstParagraph"/>
      </w:pPr>
      <w:r>
        <w:t xml:space="preserve">Severity: High</w:t>
      </w:r>
    </w:p>
    <w:p>
      <w:pPr>
        <w:pStyle w:val="BodyText"/>
      </w:pPr>
      <w:r>
        <w:t xml:space="preserve">In</w:t>
      </w:r>
      <w:r>
        <w:t xml:space="preserve"> </w:t>
      </w:r>
      <w:r>
        <w:rPr>
          <w:rStyle w:val="VerbatimChar"/>
        </w:rPr>
        <w:t xml:space="preserve">server/src/auth/middleware.ts</w:t>
      </w:r>
      <w:r>
        <w:t xml:space="preserve">, the user lookup matches only</w:t>
      </w:r>
      <w:r>
        <w:t xml:space="preserve"> </w:t>
      </w:r>
      <w:r>
        <w:rPr>
          <w:rStyle w:val="VerbatimChar"/>
        </w:rPr>
        <w:t xml:space="preserve">externalId</w:t>
      </w:r>
      <w:r>
        <w:t xml:space="preserve">, and if no user is found the middleware uses:</w:t>
      </w:r>
    </w:p>
    <w:p>
      <w:pPr>
        <w:pStyle w:val="Compact"/>
        <w:numPr>
          <w:ilvl w:val="0"/>
          <w:numId w:val="1027"/>
        </w:numPr>
      </w:pPr>
      <w:r>
        <w:rPr>
          <w:rStyle w:val="VerbatimChar"/>
        </w:rPr>
        <w:t xml:space="preserve">role = user?.role ?? 'viewer'</w:t>
      </w:r>
    </w:p>
    <w:p>
      <w:pPr>
        <w:pStyle w:val="Compact"/>
        <w:numPr>
          <w:ilvl w:val="0"/>
          <w:numId w:val="1027"/>
        </w:numPr>
      </w:pPr>
      <w:r>
        <w:rPr>
          <w:rStyle w:val="VerbatimChar"/>
        </w:rPr>
        <w:t xml:space="preserve">userId = user?.id ?? claims.externalId</w:t>
      </w:r>
    </w:p>
    <w:p>
      <w:pPr>
        <w:pStyle w:val="Compact"/>
        <w:numPr>
          <w:ilvl w:val="0"/>
          <w:numId w:val="1027"/>
        </w:numPr>
      </w:pPr>
      <w:r>
        <w:rPr>
          <w:rStyle w:val="VerbatimChar"/>
        </w:rPr>
        <w:t xml:space="preserve">tenantId = claims.tenantId</w:t>
      </w:r>
    </w:p>
    <w:p>
      <w:pPr>
        <w:pStyle w:val="FirstParagraph"/>
      </w:pPr>
      <w:r>
        <w:t xml:space="preserve">Risk:</w:t>
      </w:r>
    </w:p>
    <w:p>
      <w:pPr>
        <w:pStyle w:val="Compact"/>
        <w:numPr>
          <w:ilvl w:val="0"/>
          <w:numId w:val="1028"/>
        </w:numPr>
      </w:pPr>
      <w:r>
        <w:t xml:space="preserve">An authenticated Entra user not provisioned in</w:t>
      </w:r>
      <w:r>
        <w:t xml:space="preserve"> </w:t>
      </w:r>
      <w:r>
        <w:rPr>
          <w:rStyle w:val="VerbatimChar"/>
        </w:rPr>
        <w:t xml:space="preserve">tenant_users</w:t>
      </w:r>
      <w:r>
        <w:t xml:space="preserve"> </w:t>
      </w:r>
      <w:r>
        <w:t xml:space="preserve">can become a viewer.</w:t>
      </w:r>
    </w:p>
    <w:p>
      <w:pPr>
        <w:pStyle w:val="Compact"/>
        <w:numPr>
          <w:ilvl w:val="0"/>
          <w:numId w:val="1028"/>
        </w:numPr>
      </w:pPr>
      <w:r>
        <w:t xml:space="preserve">Lookup is not constrained by org/tenant.</w:t>
      </w:r>
    </w:p>
    <w:p>
      <w:pPr>
        <w:pStyle w:val="Compact"/>
        <w:numPr>
          <w:ilvl w:val="0"/>
          <w:numId w:val="1028"/>
        </w:numPr>
      </w:pPr>
      <w:r>
        <w:t xml:space="preserve">Internal tenant identity is not clearly mapped from Entra tenant ID to</w:t>
      </w:r>
      <w:r>
        <w:t xml:space="preserve"> </w:t>
      </w:r>
      <w:r>
        <w:rPr>
          <w:rStyle w:val="VerbatimChar"/>
        </w:rPr>
        <w:t xml:space="preserve">tenant_users.org_id</w:t>
      </w:r>
      <w:r>
        <w:t xml:space="preserve">.</w:t>
      </w:r>
    </w:p>
    <w:p>
      <w:pPr>
        <w:pStyle w:val="FirstParagraph"/>
      </w:pPr>
      <w:r>
        <w:t xml:space="preserve">Remediation:</w:t>
      </w:r>
    </w:p>
    <w:p>
      <w:pPr>
        <w:pStyle w:val="Compact"/>
        <w:numPr>
          <w:ilvl w:val="0"/>
          <w:numId w:val="1029"/>
        </w:numPr>
      </w:pPr>
      <w:r>
        <w:t xml:space="preserve">Require a matching active</w:t>
      </w:r>
      <w:r>
        <w:t xml:space="preserve"> </w:t>
      </w:r>
      <w:r>
        <w:rPr>
          <w:rStyle w:val="VerbatimChar"/>
        </w:rPr>
        <w:t xml:space="preserve">tenant_users</w:t>
      </w:r>
      <w:r>
        <w:t xml:space="preserve"> </w:t>
      </w:r>
      <w:r>
        <w:t xml:space="preserve">row.</w:t>
      </w:r>
    </w:p>
    <w:p>
      <w:pPr>
        <w:pStyle w:val="Compact"/>
        <w:numPr>
          <w:ilvl w:val="0"/>
          <w:numId w:val="1029"/>
        </w:numPr>
      </w:pPr>
      <w:r>
        <w:t xml:space="preserve">Query by both</w:t>
      </w:r>
      <w:r>
        <w:t xml:space="preserve"> </w:t>
      </w:r>
      <w:r>
        <w:rPr>
          <w:rStyle w:val="VerbatimChar"/>
        </w:rPr>
        <w:t xml:space="preserve">externalId</w:t>
      </w:r>
      <w:r>
        <w:t xml:space="preserve"> </w:t>
      </w:r>
      <w:r>
        <w:t xml:space="preserve">and mapped internal</w:t>
      </w:r>
      <w:r>
        <w:t xml:space="preserve"> </w:t>
      </w:r>
      <w:r>
        <w:rPr>
          <w:rStyle w:val="VerbatimChar"/>
        </w:rPr>
        <w:t xml:space="preserve">orgId</w:t>
      </w:r>
      <w:r>
        <w:t xml:space="preserve">.</w:t>
      </w:r>
    </w:p>
    <w:p>
      <w:pPr>
        <w:pStyle w:val="Compact"/>
        <w:numPr>
          <w:ilvl w:val="0"/>
          <w:numId w:val="1029"/>
        </w:numPr>
      </w:pPr>
      <w:r>
        <w:t xml:space="preserve">Return 403 for unprovisioned users.</w:t>
      </w:r>
    </w:p>
    <w:p>
      <w:pPr>
        <w:pStyle w:val="Compact"/>
        <w:numPr>
          <w:ilvl w:val="0"/>
          <w:numId w:val="1029"/>
        </w:numPr>
      </w:pPr>
      <w:r>
        <w:t xml:space="preserve">Add account status/suspension checks.</w:t>
      </w:r>
    </w:p>
    <w:p>
      <w:pPr>
        <w:pStyle w:val="Compact"/>
        <w:numPr>
          <w:ilvl w:val="0"/>
          <w:numId w:val="1029"/>
        </w:numPr>
      </w:pPr>
      <w:r>
        <w:t xml:space="preserve">Add integration tests for cross-tenant and unprovisioned-user denial.</w:t>
      </w:r>
    </w:p>
    <w:bookmarkEnd w:id="36"/>
    <w:bookmarkStart w:id="37" w:name="sec-03-server-rls-context-mismatch-risk"/>
    <w:p>
      <w:pPr>
        <w:pStyle w:val="Heading3"/>
      </w:pPr>
      <w:r>
        <w:t xml:space="preserve">SEC-03: Server RLS context mismatch risk</w:t>
      </w:r>
    </w:p>
    <w:p>
      <w:pPr>
        <w:pStyle w:val="FirstParagraph"/>
      </w:pPr>
      <w:r>
        <w:t xml:space="preserve">Severity: High</w:t>
      </w:r>
    </w:p>
    <w:p>
      <w:pPr>
        <w:pStyle w:val="BodyText"/>
      </w:pPr>
      <w:r>
        <w:rPr>
          <w:rStyle w:val="VerbatimChar"/>
        </w:rPr>
        <w:t xml:space="preserve">withTenant()</w:t>
      </w:r>
      <w:r>
        <w:t xml:space="preserve"> </w:t>
      </w:r>
      <w:r>
        <w:t xml:space="preserve">sets</w:t>
      </w:r>
      <w:r>
        <w:t xml:space="preserve"> </w:t>
      </w:r>
      <w:r>
        <w:rPr>
          <w:rStyle w:val="VerbatimChar"/>
        </w:rPr>
        <w:t xml:space="preserve">app.tenant_id</w:t>
      </w:r>
      <w:r>
        <w:t xml:space="preserve">, and CRM tables use</w:t>
      </w:r>
      <w:r>
        <w:t xml:space="preserve"> </w:t>
      </w:r>
      <w:r>
        <w:rPr>
          <w:rStyle w:val="VerbatimChar"/>
        </w:rPr>
        <w:t xml:space="preserve">tenant_id</w:t>
      </w:r>
      <w:r>
        <w:t xml:space="preserve">. Older tables such as</w:t>
      </w:r>
      <w:r>
        <w:t xml:space="preserve"> </w:t>
      </w:r>
      <w:r>
        <w:rPr>
          <w:rStyle w:val="VerbatimChar"/>
        </w:rPr>
        <w:t xml:space="preserve">tenant_users</w:t>
      </w:r>
      <w:r>
        <w:t xml:space="preserve">,</w:t>
      </w:r>
      <w:r>
        <w:t xml:space="preserve"> </w:t>
      </w:r>
      <w:r>
        <w:rPr>
          <w:rStyle w:val="VerbatimChar"/>
        </w:rPr>
        <w:t xml:space="preserve">audit_events</w:t>
      </w:r>
      <w:r>
        <w:t xml:space="preserve">, and</w:t>
      </w:r>
      <w:r>
        <w:t xml:space="preserve"> </w:t>
      </w:r>
      <w:r>
        <w:rPr>
          <w:rStyle w:val="VerbatimChar"/>
        </w:rPr>
        <w:t xml:space="preserve">kms_key_lifecycle</w:t>
      </w:r>
      <w:r>
        <w:t xml:space="preserve"> </w:t>
      </w:r>
      <w:r>
        <w:t xml:space="preserve">use</w:t>
      </w:r>
      <w:r>
        <w:t xml:space="preserve"> </w:t>
      </w:r>
      <w:r>
        <w:rPr>
          <w:rStyle w:val="VerbatimChar"/>
        </w:rPr>
        <w:t xml:space="preserve">org_id</w:t>
      </w:r>
      <w:r>
        <w:t xml:space="preserve"> </w:t>
      </w:r>
      <w:r>
        <w:t xml:space="preserve">and comments reference</w:t>
      </w:r>
      <w:r>
        <w:t xml:space="preserve"> </w:t>
      </w:r>
      <w:r>
        <w:rPr>
          <w:rStyle w:val="VerbatimChar"/>
        </w:rPr>
        <w:t xml:space="preserve">app.org_id</w:t>
      </w:r>
      <w:r>
        <w:t xml:space="preserve">.</w:t>
      </w:r>
      <w:r>
        <w:t xml:space="preserve"> </w:t>
      </w:r>
      <w:r>
        <w:rPr>
          <w:rStyle w:val="VerbatimChar"/>
        </w:rPr>
        <w:t xml:space="preserve">writeAuditEvent()</w:t>
      </w:r>
      <w:r>
        <w:t xml:space="preserve"> </w:t>
      </w:r>
      <w:r>
        <w:t xml:space="preserve">writes outside</w:t>
      </w:r>
      <w:r>
        <w:t xml:space="preserve"> </w:t>
      </w:r>
      <w:r>
        <w:rPr>
          <w:rStyle w:val="VerbatimChar"/>
        </w:rPr>
        <w:t xml:space="preserve">withTenant()</w:t>
      </w:r>
      <w:r>
        <w:t xml:space="preserve">.</w:t>
      </w:r>
    </w:p>
    <w:p>
      <w:pPr>
        <w:pStyle w:val="BodyText"/>
      </w:pPr>
      <w:r>
        <w:t xml:space="preserve">Risk:</w:t>
      </w:r>
    </w:p>
    <w:p>
      <w:pPr>
        <w:pStyle w:val="Compact"/>
        <w:numPr>
          <w:ilvl w:val="0"/>
          <w:numId w:val="1030"/>
        </w:numPr>
      </w:pPr>
      <w:r>
        <w:t xml:space="preserve">RLS behavior may differ across old and new schema groups.</w:t>
      </w:r>
    </w:p>
    <w:p>
      <w:pPr>
        <w:pStyle w:val="Compact"/>
        <w:numPr>
          <w:ilvl w:val="0"/>
          <w:numId w:val="1030"/>
        </w:numPr>
      </w:pPr>
      <w:r>
        <w:t xml:space="preserve">Audit/user/KMS tables may not receive the same tenant isolation guarantees.</w:t>
      </w:r>
    </w:p>
    <w:p>
      <w:pPr>
        <w:pStyle w:val="FirstParagraph"/>
      </w:pPr>
      <w:r>
        <w:t xml:space="preserve">Remediation:</w:t>
      </w:r>
    </w:p>
    <w:p>
      <w:pPr>
        <w:pStyle w:val="Compact"/>
        <w:numPr>
          <w:ilvl w:val="0"/>
          <w:numId w:val="1031"/>
        </w:numPr>
      </w:pPr>
      <w:r>
        <w:t xml:space="preserve">Standardize tenant session variables.</w:t>
      </w:r>
    </w:p>
    <w:p>
      <w:pPr>
        <w:pStyle w:val="Compact"/>
        <w:numPr>
          <w:ilvl w:val="0"/>
          <w:numId w:val="1031"/>
        </w:numPr>
      </w:pPr>
      <w:r>
        <w:t xml:space="preserve">Add database integration tests proving RLS denies cross-tenant reads/writes for every table.</w:t>
      </w:r>
    </w:p>
    <w:p>
      <w:pPr>
        <w:pStyle w:val="Compact"/>
        <w:numPr>
          <w:ilvl w:val="0"/>
          <w:numId w:val="1031"/>
        </w:numPr>
      </w:pPr>
      <w:r>
        <w:t xml:space="preserve">Ensure audit writes happen in a known tenant context or use explicit service-role design.</w:t>
      </w:r>
    </w:p>
    <w:bookmarkEnd w:id="37"/>
    <w:bookmarkStart w:id="38" w:name="Xc0f78e804927f270386c62926a0c682687ee0a2"/>
    <w:p>
      <w:pPr>
        <w:pStyle w:val="Heading3"/>
      </w:pPr>
      <w:r>
        <w:t xml:space="preserve">SEC-04: Docker and CI gates are not trustworthy until local gates are green</w:t>
      </w:r>
    </w:p>
    <w:p>
      <w:pPr>
        <w:pStyle w:val="FirstParagraph"/>
      </w:pPr>
      <w:r>
        <w:t xml:space="preserve">Severity: High</w:t>
      </w:r>
    </w:p>
    <w:p>
      <w:pPr>
        <w:pStyle w:val="BodyText"/>
      </w:pPr>
      <w:r>
        <w:t xml:space="preserve">Typecheck, lint, audit, and bundle-size gates fail locally. Security workflows exist but cannot provide assurance if base gates are red.</w:t>
      </w:r>
    </w:p>
    <w:p>
      <w:pPr>
        <w:pStyle w:val="BodyText"/>
      </w:pPr>
      <w:r>
        <w:t xml:space="preserve">Remediation:</w:t>
      </w:r>
    </w:p>
    <w:p>
      <w:pPr>
        <w:pStyle w:val="Compact"/>
        <w:numPr>
          <w:ilvl w:val="0"/>
          <w:numId w:val="1032"/>
        </w:numPr>
      </w:pPr>
      <w:r>
        <w:t xml:space="preserve">Make all root gates green.</w:t>
      </w:r>
    </w:p>
    <w:p>
      <w:pPr>
        <w:pStyle w:val="Compact"/>
        <w:numPr>
          <w:ilvl w:val="0"/>
          <w:numId w:val="1032"/>
        </w:numPr>
      </w:pPr>
      <w:r>
        <w:t xml:space="preserve">Add a container build gate.</w:t>
      </w:r>
    </w:p>
    <w:p>
      <w:pPr>
        <w:pStyle w:val="Compact"/>
        <w:numPr>
          <w:ilvl w:val="0"/>
          <w:numId w:val="1032"/>
        </w:numPr>
      </w:pPr>
      <w:r>
        <w:t xml:space="preserve">Add migration/integration tests against ephemeral PostgreSQL.</w:t>
      </w:r>
    </w:p>
    <w:bookmarkEnd w:id="38"/>
    <w:bookmarkEnd w:id="39"/>
    <w:bookmarkStart w:id="40" w:name="owasp-top-102025-mapping"/>
    <w:p>
      <w:pPr>
        <w:pStyle w:val="Heading2"/>
      </w:pPr>
      <w:r>
        <w:t xml:space="preserve">OWASP Top 10:2025 Mapping</w:t>
      </w:r>
    </w:p>
    <w:tbl>
      <w:tblPr>
        <w:tblStyle w:val="Table"/>
        <w:tblW w:type="pct" w:w="5000"/>
        <w:tblLayout w:type="fixed"/>
        <w:tblLook w:firstRow="1" w:lastRow="0" w:firstColumn="0" w:lastColumn="0" w:noHBand="0" w:noVBand="0" w:val="0020"/>
      </w:tblPr>
      <w:tblGrid>
        <w:gridCol w:w="1635"/>
        <w:gridCol w:w="2625"/>
        <w:gridCol w:w="3658"/>
      </w:tblGrid>
      <w:tr>
        <w:trPr>
          <w:tblHeader w:val="on"/>
        </w:trPr>
        <w:tc>
          <w:tcPr/>
          <w:p>
            <w:pPr>
              <w:pStyle w:val="Compact"/>
            </w:pPr>
            <w:r>
              <w:t xml:space="preserve">OWASP category</w:t>
            </w:r>
          </w:p>
        </w:tc>
        <w:tc>
          <w:tcPr/>
          <w:p>
            <w:pPr>
              <w:pStyle w:val="Compact"/>
            </w:pPr>
            <w:r>
              <w:t xml:space="preserve">Current posture</w:t>
            </w:r>
          </w:p>
        </w:tc>
        <w:tc>
          <w:tcPr/>
          <w:p>
            <w:pPr>
              <w:pStyle w:val="Compact"/>
            </w:pPr>
            <w:r>
              <w:t xml:space="preserve">Gap</w:t>
            </w:r>
          </w:p>
        </w:tc>
      </w:tr>
      <w:tr>
        <w:tc>
          <w:tcPr/>
          <w:p>
            <w:pPr>
              <w:pStyle w:val="Compact"/>
            </w:pPr>
            <w:r>
              <w:t xml:space="preserve">A01 Broken Access Control</w:t>
            </w:r>
          </w:p>
        </w:tc>
        <w:tc>
          <w:tcPr/>
          <w:p>
            <w:pPr>
              <w:pStyle w:val="Compact"/>
            </w:pPr>
            <w:r>
              <w:t xml:space="preserve">OPA and RLS are designed; offline app has no roles by design.</w:t>
            </w:r>
          </w:p>
        </w:tc>
        <w:tc>
          <w:tcPr/>
          <w:p>
            <w:pPr>
              <w:pStyle w:val="Compact"/>
            </w:pPr>
            <w:r>
              <w:t xml:space="preserve">Server auth fallback and tenant mapping need hardening.</w:t>
            </w:r>
          </w:p>
        </w:tc>
      </w:tr>
      <w:tr>
        <w:tc>
          <w:tcPr/>
          <w:p>
            <w:pPr>
              <w:pStyle w:val="Compact"/>
            </w:pPr>
            <w:r>
              <w:t xml:space="preserve">A02 Security Misconfiguration</w:t>
            </w:r>
          </w:p>
        </w:tc>
        <w:tc>
          <w:tcPr/>
          <w:p>
            <w:pPr>
              <w:pStyle w:val="Compact"/>
            </w:pPr>
            <w:r>
              <w:t xml:space="preserve">CSP, CORS, distroless intent, k8s security contexts exist.</w:t>
            </w:r>
          </w:p>
        </w:tc>
        <w:tc>
          <w:tcPr/>
          <w:p>
            <w:pPr>
              <w:pStyle w:val="Compact"/>
            </w:pPr>
            <w:r>
              <w:t xml:space="preserve">Docker/K8s placeholders,</w:t>
            </w:r>
            <w:r>
              <w:t xml:space="preserve"> </w:t>
            </w:r>
            <w:r>
              <w:rPr>
                <w:rStyle w:val="VerbatimChar"/>
              </w:rPr>
              <w:t xml:space="preserve">latest</w:t>
            </w:r>
            <w:r>
              <w:t xml:space="preserve"> </w:t>
            </w:r>
            <w:r>
              <w:t xml:space="preserve">images, broad IdP egress, failing lint/typecheck.</w:t>
            </w:r>
          </w:p>
        </w:tc>
      </w:tr>
      <w:tr>
        <w:tc>
          <w:tcPr/>
          <w:p>
            <w:pPr>
              <w:pStyle w:val="Compact"/>
            </w:pPr>
            <w:r>
              <w:t xml:space="preserve">A03 Software Supply Chain Failures</w:t>
            </w:r>
          </w:p>
        </w:tc>
        <w:tc>
          <w:tcPr/>
          <w:p>
            <w:pPr>
              <w:pStyle w:val="Compact"/>
            </w:pPr>
            <w:r>
              <w:t xml:space="preserve">Renovate, dependency review, CodeQL, audit workflow exist.</w:t>
            </w:r>
          </w:p>
        </w:tc>
        <w:tc>
          <w:tcPr/>
          <w:p>
            <w:pPr>
              <w:pStyle w:val="Compact"/>
            </w:pPr>
            <w:r>
              <w:t xml:space="preserve">Active high advisory in Drizzle.</w:t>
            </w:r>
          </w:p>
        </w:tc>
      </w:tr>
      <w:tr>
        <w:tc>
          <w:tcPr/>
          <w:p>
            <w:pPr>
              <w:pStyle w:val="Compact"/>
            </w:pPr>
            <w:r>
              <w:t xml:space="preserve">A04 Cryptographic Failures</w:t>
            </w:r>
          </w:p>
        </w:tc>
        <w:tc>
          <w:tcPr/>
          <w:p>
            <w:pPr>
              <w:pStyle w:val="Compact"/>
            </w:pPr>
            <w:r>
              <w:t xml:space="preserve">Strong local crypto; KMS design.</w:t>
            </w:r>
          </w:p>
        </w:tc>
        <w:tc>
          <w:tcPr/>
          <w:p>
            <w:pPr>
              <w:pStyle w:val="Compact"/>
            </w:pPr>
            <w:r>
              <w:t xml:space="preserve">Enterprise KMS erasure flow is partial; key deletion env names inconsistent.</w:t>
            </w:r>
          </w:p>
        </w:tc>
      </w:tr>
      <w:tr>
        <w:tc>
          <w:tcPr/>
          <w:p>
            <w:pPr>
              <w:pStyle w:val="Compact"/>
            </w:pPr>
            <w:r>
              <w:t xml:space="preserve">A05 Injection</w:t>
            </w:r>
          </w:p>
        </w:tc>
        <w:tc>
          <w:tcPr/>
          <w:p>
            <w:pPr>
              <w:pStyle w:val="Compact"/>
            </w:pPr>
            <w:r>
              <w:t xml:space="preserve">Zod validation and Drizzle ORM intended.</w:t>
            </w:r>
          </w:p>
        </w:tc>
        <w:tc>
          <w:tcPr/>
          <w:p>
            <w:pPr>
              <w:pStyle w:val="Compact"/>
            </w:pPr>
            <w:r>
              <w:t xml:space="preserve">Drizzle advisory; raw SQL/session variables need DB integration tests.</w:t>
            </w:r>
          </w:p>
        </w:tc>
      </w:tr>
      <w:tr>
        <w:tc>
          <w:tcPr/>
          <w:p>
            <w:pPr>
              <w:pStyle w:val="Compact"/>
            </w:pPr>
            <w:r>
              <w:t xml:space="preserve">A06 Insecure Design</w:t>
            </w:r>
          </w:p>
        </w:tc>
        <w:tc>
          <w:tcPr/>
          <w:p>
            <w:pPr>
              <w:pStyle w:val="Compact"/>
            </w:pPr>
            <w:r>
              <w:t xml:space="preserve">ADRs and threat models exist.</w:t>
            </w:r>
          </w:p>
        </w:tc>
        <w:tc>
          <w:tcPr/>
          <w:p>
            <w:pPr>
              <w:pStyle w:val="Compact"/>
            </w:pPr>
            <w:r>
              <w:t xml:space="preserve">Formal abuse-case review and server auth decisions need completion.</w:t>
            </w:r>
          </w:p>
        </w:tc>
      </w:tr>
      <w:tr>
        <w:tc>
          <w:tcPr/>
          <w:p>
            <w:pPr>
              <w:pStyle w:val="Compact"/>
            </w:pPr>
            <w:r>
              <w:t xml:space="preserve">A07 Authentication Failures</w:t>
            </w:r>
          </w:p>
        </w:tc>
        <w:tc>
          <w:tcPr/>
          <w:p>
            <w:pPr>
              <w:pStyle w:val="Compact"/>
            </w:pPr>
            <w:r>
              <w:t xml:space="preserve">OIDC/JWKS validation present.</w:t>
            </w:r>
          </w:p>
        </w:tc>
        <w:tc>
          <w:tcPr/>
          <w:p>
            <w:pPr>
              <w:pStyle w:val="Compact"/>
            </w:pPr>
            <w:r>
              <w:t xml:space="preserve">PKCE sync helper has placeholder behavior; refresh rotation/revocation not persisted.</w:t>
            </w:r>
          </w:p>
        </w:tc>
      </w:tr>
      <w:tr>
        <w:tc>
          <w:tcPr/>
          <w:p>
            <w:pPr>
              <w:pStyle w:val="Compact"/>
            </w:pPr>
            <w:r>
              <w:t xml:space="preserve">A08 Software/Data Integrity Failures</w:t>
            </w:r>
          </w:p>
        </w:tc>
        <w:tc>
          <w:tcPr/>
          <w:p>
            <w:pPr>
              <w:pStyle w:val="Compact"/>
            </w:pPr>
            <w:r>
              <w:t xml:space="preserve">CSP hashes and SHA256 artifact hash.</w:t>
            </w:r>
          </w:p>
        </w:tc>
        <w:tc>
          <w:tcPr/>
          <w:p>
            <w:pPr>
              <w:pStyle w:val="Compact"/>
            </w:pPr>
            <w:r>
              <w:t xml:space="preserve">No signed releases/SBOM/provenance yet.</w:t>
            </w:r>
          </w:p>
        </w:tc>
      </w:tr>
      <w:tr>
        <w:tc>
          <w:tcPr/>
          <w:p>
            <w:pPr>
              <w:pStyle w:val="Compact"/>
            </w:pPr>
            <w:r>
              <w:t xml:space="preserve">A09 Logging/Alerting Failures</w:t>
            </w:r>
          </w:p>
        </w:tc>
        <w:tc>
          <w:tcPr/>
          <w:p>
            <w:pPr>
              <w:pStyle w:val="Compact"/>
            </w:pPr>
            <w:r>
              <w:t xml:space="preserve">OTel/audit designs.</w:t>
            </w:r>
          </w:p>
        </w:tc>
        <w:tc>
          <w:tcPr/>
          <w:p>
            <w:pPr>
              <w:pStyle w:val="Compact"/>
            </w:pPr>
            <w:r>
              <w:t xml:space="preserve">No proven SIEM export, alert thresholds, or redaction tests.</w:t>
            </w:r>
          </w:p>
        </w:tc>
      </w:tr>
      <w:tr>
        <w:tc>
          <w:tcPr/>
          <w:p>
            <w:pPr>
              <w:pStyle w:val="Compact"/>
            </w:pPr>
            <w:r>
              <w:t xml:space="preserve">A10 Mishandling Exceptional Conditions</w:t>
            </w:r>
          </w:p>
        </w:tc>
        <w:tc>
          <w:tcPr/>
          <w:p>
            <w:pPr>
              <w:pStyle w:val="Compact"/>
            </w:pPr>
            <w:r>
              <w:t xml:space="preserve">Server returns generic 500s.</w:t>
            </w:r>
          </w:p>
        </w:tc>
        <w:tc>
          <w:tcPr/>
          <w:p>
            <w:pPr>
              <w:pStyle w:val="Compact"/>
            </w:pPr>
            <w:r>
              <w:t xml:space="preserve">Some logs include raw error strings; need PII-safe logging rule.</w:t>
            </w:r>
          </w:p>
        </w:tc>
      </w:tr>
    </w:tbl>
    <w:bookmarkEnd w:id="40"/>
    <w:bookmarkStart w:id="43" w:name="privacy-and-compliance"/>
    <w:p>
      <w:pPr>
        <w:pStyle w:val="Heading2"/>
      </w:pPr>
      <w:r>
        <w:t xml:space="preserve">Privacy and Compliance</w:t>
      </w:r>
    </w:p>
    <w:bookmarkStart w:id="41" w:name="offline-profile"/>
    <w:p>
      <w:pPr>
        <w:pStyle w:val="Heading3"/>
      </w:pPr>
      <w:r>
        <w:t xml:space="preserve">Offline profile</w:t>
      </w:r>
    </w:p>
    <w:p>
      <w:pPr>
        <w:pStyle w:val="FirstParagraph"/>
      </w:pPr>
      <w:r>
        <w:t xml:space="preserve">Strengths:</w:t>
      </w:r>
    </w:p>
    <w:p>
      <w:pPr>
        <w:pStyle w:val="Compact"/>
        <w:numPr>
          <w:ilvl w:val="0"/>
          <w:numId w:val="1033"/>
        </w:numPr>
      </w:pPr>
      <w:r>
        <w:t xml:space="preserve">No backend required.</w:t>
      </w:r>
    </w:p>
    <w:p>
      <w:pPr>
        <w:pStyle w:val="Compact"/>
        <w:numPr>
          <w:ilvl w:val="0"/>
          <w:numId w:val="1033"/>
        </w:numPr>
      </w:pPr>
      <w:r>
        <w:t xml:space="preserve">No telemetry/analytics/crash reporting observed in the default offline build.</w:t>
      </w:r>
    </w:p>
    <w:p>
      <w:pPr>
        <w:pStyle w:val="Compact"/>
        <w:numPr>
          <w:ilvl w:val="0"/>
          <w:numId w:val="1033"/>
        </w:numPr>
      </w:pPr>
      <w:r>
        <w:t xml:space="preserve">Encrypted browser storage and encrypted export support.</w:t>
      </w:r>
    </w:p>
    <w:p>
      <w:pPr>
        <w:pStyle w:val="Compact"/>
        <w:numPr>
          <w:ilvl w:val="0"/>
          <w:numId w:val="1033"/>
        </w:numPr>
      </w:pPr>
      <w:r>
        <w:t xml:space="preserve">User can delete local data.</w:t>
      </w:r>
    </w:p>
    <w:p>
      <w:pPr>
        <w:pStyle w:val="FirstParagraph"/>
      </w:pPr>
      <w:r>
        <w:t xml:space="preserve">Gaps:</w:t>
      </w:r>
    </w:p>
    <w:p>
      <w:pPr>
        <w:pStyle w:val="Compact"/>
        <w:numPr>
          <w:ilvl w:val="0"/>
          <w:numId w:val="1034"/>
        </w:numPr>
      </w:pPr>
      <w:r>
        <w:t xml:space="preserve">Need a concise user-facing privacy notice in the artifact.</w:t>
      </w:r>
    </w:p>
    <w:p>
      <w:pPr>
        <w:pStyle w:val="Compact"/>
        <w:numPr>
          <w:ilvl w:val="0"/>
          <w:numId w:val="1034"/>
        </w:numPr>
      </w:pPr>
      <w:r>
        <w:t xml:space="preserve">Need backup/restore recovery instructions and data-loss warnings.</w:t>
      </w:r>
    </w:p>
    <w:p>
      <w:pPr>
        <w:pStyle w:val="Compact"/>
        <w:numPr>
          <w:ilvl w:val="0"/>
          <w:numId w:val="1034"/>
        </w:numPr>
      </w:pPr>
      <w:r>
        <w:t xml:space="preserve">Need browser support and secure-device assumptions documented.</w:t>
      </w:r>
    </w:p>
    <w:p>
      <w:pPr>
        <w:pStyle w:val="Compact"/>
        <w:numPr>
          <w:ilvl w:val="0"/>
          <w:numId w:val="1034"/>
        </w:numPr>
      </w:pPr>
      <w:r>
        <w:t xml:space="preserve">Need retention/data classification matrix for CRM data types.</w:t>
      </w:r>
    </w:p>
    <w:bookmarkEnd w:id="41"/>
    <w:bookmarkStart w:id="42" w:name="enterprise-profile"/>
    <w:p>
      <w:pPr>
        <w:pStyle w:val="Heading3"/>
      </w:pPr>
      <w:r>
        <w:t xml:space="preserve">Enterprise profile</w:t>
      </w:r>
    </w:p>
    <w:p>
      <w:pPr>
        <w:pStyle w:val="FirstParagraph"/>
      </w:pPr>
      <w:r>
        <w:t xml:space="preserve">Strengths:</w:t>
      </w:r>
    </w:p>
    <w:p>
      <w:pPr>
        <w:pStyle w:val="Compact"/>
        <w:numPr>
          <w:ilvl w:val="0"/>
          <w:numId w:val="1035"/>
        </w:numPr>
      </w:pPr>
      <w:r>
        <w:t xml:space="preserve">GDPR crypto-shredding design exists.</w:t>
      </w:r>
    </w:p>
    <w:p>
      <w:pPr>
        <w:pStyle w:val="Compact"/>
        <w:numPr>
          <w:ilvl w:val="0"/>
          <w:numId w:val="1035"/>
        </w:numPr>
      </w:pPr>
      <w:r>
        <w:t xml:space="preserve">Legal hold and KMS lifecycle services are started.</w:t>
      </w:r>
    </w:p>
    <w:p>
      <w:pPr>
        <w:pStyle w:val="Compact"/>
        <w:numPr>
          <w:ilvl w:val="0"/>
          <w:numId w:val="1035"/>
        </w:numPr>
      </w:pPr>
      <w:r>
        <w:t xml:space="preserve">Audit event model exists.</w:t>
      </w:r>
    </w:p>
    <w:p>
      <w:pPr>
        <w:pStyle w:val="FirstParagraph"/>
      </w:pPr>
      <w:r>
        <w:t xml:space="preserve">Gaps:</w:t>
      </w:r>
    </w:p>
    <w:p>
      <w:pPr>
        <w:pStyle w:val="Compact"/>
        <w:numPr>
          <w:ilvl w:val="0"/>
          <w:numId w:val="1036"/>
        </w:numPr>
      </w:pPr>
      <w:r>
        <w:t xml:space="preserve">Per-user KMS architecture is not proven end-to-end.</w:t>
      </w:r>
    </w:p>
    <w:p>
      <w:pPr>
        <w:pStyle w:val="Compact"/>
        <w:numPr>
          <w:ilvl w:val="0"/>
          <w:numId w:val="1036"/>
        </w:numPr>
      </w:pPr>
      <w:r>
        <w:t xml:space="preserve">DSAR erasure workflow in</w:t>
      </w:r>
      <w:r>
        <w:t xml:space="preserve"> </w:t>
      </w:r>
      <w:r>
        <w:rPr>
          <w:rStyle w:val="VerbatimChar"/>
        </w:rPr>
        <w:t xml:space="preserve">admin.ts</w:t>
      </w:r>
      <w:r>
        <w:t xml:space="preserve"> </w:t>
      </w:r>
      <w:r>
        <w:t xml:space="preserve">schedules KMS destruction but does not clearly suspend user/login, delete or anonymize relational personal data, notify processors, or produce a signed destruction receipt.</w:t>
      </w:r>
    </w:p>
    <w:p>
      <w:pPr>
        <w:pStyle w:val="Compact"/>
        <w:numPr>
          <w:ilvl w:val="0"/>
          <w:numId w:val="1036"/>
        </w:numPr>
      </w:pPr>
      <w:r>
        <w:t xml:space="preserve">Data Processing Agreements, subprocessors, data residency, retention schedule, breach response, and RoPA are not present.</w:t>
      </w:r>
    </w:p>
    <w:bookmarkEnd w:id="42"/>
    <w:bookmarkEnd w:id="43"/>
    <w:bookmarkStart w:id="44" w:name="recommended-compliance-artifacts"/>
    <w:p>
      <w:pPr>
        <w:pStyle w:val="Heading2"/>
      </w:pPr>
      <w:r>
        <w:t xml:space="preserve">Recommended Compliance Artifacts</w:t>
      </w:r>
    </w:p>
    <w:p>
      <w:pPr>
        <w:pStyle w:val="FirstParagraph"/>
      </w:pPr>
      <w:r>
        <w:t xml:space="preserve">Create these before enterprise customer use:</w:t>
      </w:r>
    </w:p>
    <w:p>
      <w:pPr>
        <w:pStyle w:val="Compact"/>
        <w:numPr>
          <w:ilvl w:val="0"/>
          <w:numId w:val="1037"/>
        </w:numPr>
      </w:pPr>
      <w:r>
        <w:t xml:space="preserve">Data inventory and data classification matrix</w:t>
      </w:r>
    </w:p>
    <w:p>
      <w:pPr>
        <w:pStyle w:val="Compact"/>
        <w:numPr>
          <w:ilvl w:val="0"/>
          <w:numId w:val="1037"/>
        </w:numPr>
      </w:pPr>
      <w:r>
        <w:t xml:space="preserve">Record of processing activities</w:t>
      </w:r>
    </w:p>
    <w:p>
      <w:pPr>
        <w:pStyle w:val="Compact"/>
        <w:numPr>
          <w:ilvl w:val="0"/>
          <w:numId w:val="1037"/>
        </w:numPr>
      </w:pPr>
      <w:r>
        <w:t xml:space="preserve">Retention and deletion schedule</w:t>
      </w:r>
    </w:p>
    <w:p>
      <w:pPr>
        <w:pStyle w:val="Compact"/>
        <w:numPr>
          <w:ilvl w:val="0"/>
          <w:numId w:val="1037"/>
        </w:numPr>
      </w:pPr>
      <w:r>
        <w:t xml:space="preserve">DSAR runbook and evidence template</w:t>
      </w:r>
    </w:p>
    <w:p>
      <w:pPr>
        <w:pStyle w:val="Compact"/>
        <w:numPr>
          <w:ilvl w:val="0"/>
          <w:numId w:val="1037"/>
        </w:numPr>
      </w:pPr>
      <w:r>
        <w:t xml:space="preserve">Security incident response plan</w:t>
      </w:r>
    </w:p>
    <w:p>
      <w:pPr>
        <w:pStyle w:val="Compact"/>
        <w:numPr>
          <w:ilvl w:val="0"/>
          <w:numId w:val="1037"/>
        </w:numPr>
      </w:pPr>
      <w:r>
        <w:t xml:space="preserve">Vendor/subprocessor list and DPA tracker</w:t>
      </w:r>
    </w:p>
    <w:p>
      <w:pPr>
        <w:pStyle w:val="Compact"/>
        <w:numPr>
          <w:ilvl w:val="0"/>
          <w:numId w:val="1037"/>
        </w:numPr>
      </w:pPr>
      <w:r>
        <w:t xml:space="preserve">Access review procedure</w:t>
      </w:r>
    </w:p>
    <w:p>
      <w:pPr>
        <w:pStyle w:val="Compact"/>
        <w:numPr>
          <w:ilvl w:val="0"/>
          <w:numId w:val="1037"/>
        </w:numPr>
      </w:pPr>
      <w:r>
        <w:t xml:space="preserve">Change management procedure</w:t>
      </w:r>
    </w:p>
    <w:p>
      <w:pPr>
        <w:pStyle w:val="Compact"/>
        <w:numPr>
          <w:ilvl w:val="0"/>
          <w:numId w:val="1037"/>
        </w:numPr>
      </w:pPr>
      <w:r>
        <w:t xml:space="preserve">Backup/restore drill evidence</w:t>
      </w:r>
    </w:p>
    <w:p>
      <w:pPr>
        <w:pStyle w:val="Compact"/>
        <w:numPr>
          <w:ilvl w:val="0"/>
          <w:numId w:val="1037"/>
        </w:numPr>
      </w:pPr>
      <w:r>
        <w:t xml:space="preserve">Threat model and abuse-case register</w:t>
      </w:r>
    </w:p>
    <w:p>
      <w:pPr>
        <w:pStyle w:val="Compact"/>
        <w:numPr>
          <w:ilvl w:val="0"/>
          <w:numId w:val="1037"/>
        </w:numPr>
      </w:pPr>
      <w:r>
        <w:t xml:space="preserve">SBOM and release provenance</w:t>
      </w:r>
    </w:p>
    <w:bookmarkEnd w:id="44"/>
    <w:bookmarkEnd w:id="45"/>
    <w:bookmarkStart w:id="54" w:name="ai-governance-and-accessibility-report"/>
    <w:p>
      <w:pPr>
        <w:pStyle w:val="Heading1"/>
      </w:pPr>
      <w:r>
        <w:t xml:space="preserve">AI Governance and Accessibility Report</w:t>
      </w:r>
    </w:p>
    <w:p>
      <w:pPr>
        <w:pStyle w:val="FirstParagraph"/>
      </w:pPr>
      <w:r>
        <w:t xml:space="preserve">Assessment date: 2026-05-21</w:t>
      </w:r>
    </w:p>
    <w:bookmarkStart w:id="46" w:name="benchmarks-1"/>
    <w:p>
      <w:pPr>
        <w:pStyle w:val="Heading2"/>
      </w:pPr>
      <w:r>
        <w:t xml:space="preserve">Benchmarks</w:t>
      </w:r>
    </w:p>
    <w:p>
      <w:pPr>
        <w:pStyle w:val="Compact"/>
        <w:numPr>
          <w:ilvl w:val="0"/>
          <w:numId w:val="1038"/>
        </w:numPr>
      </w:pPr>
      <w:r>
        <w:t xml:space="preserve">ISO/IEC 42001:2023 AI management system expectations</w:t>
      </w:r>
    </w:p>
    <w:p>
      <w:pPr>
        <w:pStyle w:val="Compact"/>
        <w:numPr>
          <w:ilvl w:val="0"/>
          <w:numId w:val="1038"/>
        </w:numPr>
      </w:pPr>
      <w:r>
        <w:t xml:space="preserve">NIST AI RMF 1.0, including 2026 NIST AI RMF profile activity</w:t>
      </w:r>
    </w:p>
    <w:p>
      <w:pPr>
        <w:pStyle w:val="Compact"/>
        <w:numPr>
          <w:ilvl w:val="0"/>
          <w:numId w:val="1038"/>
        </w:numPr>
      </w:pPr>
      <w:r>
        <w:t xml:space="preserve">EU AI Act, Regulation (EU) 2024/1689</w:t>
      </w:r>
    </w:p>
    <w:p>
      <w:pPr>
        <w:pStyle w:val="Compact"/>
        <w:numPr>
          <w:ilvl w:val="0"/>
          <w:numId w:val="1038"/>
        </w:numPr>
      </w:pPr>
      <w:r>
        <w:t xml:space="preserve">OWASP LLM Top 10 and LLMSVS 2.0</w:t>
      </w:r>
    </w:p>
    <w:p>
      <w:pPr>
        <w:pStyle w:val="Compact"/>
        <w:numPr>
          <w:ilvl w:val="0"/>
          <w:numId w:val="1038"/>
        </w:numPr>
      </w:pPr>
      <w:r>
        <w:t xml:space="preserve">WCAG 2.2 / ISO/IEC 40500:2025</w:t>
      </w:r>
    </w:p>
    <w:bookmarkEnd w:id="46"/>
    <w:bookmarkStart w:id="47" w:name="ai-governance-summary"/>
    <w:p>
      <w:pPr>
        <w:pStyle w:val="Heading2"/>
      </w:pPr>
      <w:r>
        <w:t xml:space="preserve">AI Governance Summary</w:t>
      </w:r>
    </w:p>
    <w:p>
      <w:pPr>
        <w:pStyle w:val="FirstParagraph"/>
      </w:pPr>
      <w:r>
        <w:t xml:space="preserve">The AI implementation is stronger than typical for this maturity stage. Mutating tools are gated by human approval, CRM data is explicitly treated as adversarial context, and the governance policy already maps many ISO 42001 gaps.</w:t>
      </w:r>
    </w:p>
    <w:p>
      <w:pPr>
        <w:pStyle w:val="BodyText"/>
      </w:pPr>
      <w:r>
        <w:t xml:space="preserve">The main issue is not intent; it is evidence. Most AI management-system controls still lack formal sign-off, recurring review, operational metrics, model evaluations, and incident procedures.</w:t>
      </w:r>
    </w:p>
    <w:bookmarkEnd w:id="47"/>
    <w:bookmarkStart w:id="48" w:name="ai-strengths"/>
    <w:p>
      <w:pPr>
        <w:pStyle w:val="Heading2"/>
      </w:pPr>
      <w:r>
        <w:t xml:space="preserve">AI Strengths</w:t>
      </w:r>
    </w:p>
    <w:tbl>
      <w:tblPr>
        <w:tblStyle w:val="Table"/>
        <w:tblW w:type="pct" w:w="5000"/>
        <w:tblLayout w:type="fixed"/>
        <w:tblLook w:firstRow="1" w:lastRow="0" w:firstColumn="0" w:lastColumn="0" w:noHBand="0" w:noVBand="0" w:val="0020"/>
      </w:tblPr>
      <w:tblGrid>
        <w:gridCol w:w="1306"/>
        <w:gridCol w:w="3960"/>
        <w:gridCol w:w="2653"/>
      </w:tblGrid>
      <w:tr>
        <w:trPr>
          <w:tblHeader w:val="on"/>
        </w:trPr>
        <w:tc>
          <w:tcPr/>
          <w:p>
            <w:pPr>
              <w:pStyle w:val="Compact"/>
            </w:pPr>
            <w:r>
              <w:t xml:space="preserve">Control</w:t>
            </w:r>
          </w:p>
        </w:tc>
        <w:tc>
          <w:tcPr/>
          <w:p>
            <w:pPr>
              <w:pStyle w:val="Compact"/>
            </w:pPr>
            <w:r>
              <w:t xml:space="preserve">Evidence</w:t>
            </w:r>
          </w:p>
        </w:tc>
        <w:tc>
          <w:tcPr/>
          <w:p>
            <w:pPr>
              <w:pStyle w:val="Compact"/>
            </w:pPr>
            <w:r>
              <w:t xml:space="preserve">Assessment</w:t>
            </w:r>
          </w:p>
        </w:tc>
      </w:tr>
      <w:tr>
        <w:tc>
          <w:tcPr/>
          <w:p>
            <w:pPr>
              <w:pStyle w:val="Compact"/>
            </w:pPr>
            <w:r>
              <w:t xml:space="preserve">Human approval for write actions</w:t>
            </w:r>
          </w:p>
        </w:tc>
        <w:tc>
          <w:tcPr/>
          <w:p>
            <w:pPr>
              <w:pStyle w:val="Compact"/>
            </w:pPr>
            <w:r>
              <w:rPr>
                <w:rStyle w:val="VerbatimChar"/>
              </w:rPr>
              <w:t xml:space="preserve">ai-tools.ts</w:t>
            </w:r>
            <w:r>
              <w:t xml:space="preserve"> </w:t>
            </w:r>
            <w:r>
              <w:t xml:space="preserve">uses</w:t>
            </w:r>
            <w:r>
              <w:t xml:space="preserve"> </w:t>
            </w:r>
            <w:r>
              <w:rPr>
                <w:rStyle w:val="VerbatimChar"/>
              </w:rPr>
              <w:t xml:space="preserve">pendingAction</w:t>
            </w:r>
            <w:r>
              <w:t xml:space="preserve"> </w:t>
            </w:r>
            <w:r>
              <w:t xml:space="preserve">before mutating tools execute</w:t>
            </w:r>
          </w:p>
        </w:tc>
        <w:tc>
          <w:tcPr/>
          <w:p>
            <w:pPr>
              <w:pStyle w:val="Compact"/>
            </w:pPr>
            <w:r>
              <w:t xml:space="preserve">Strong design control.</w:t>
            </w:r>
          </w:p>
        </w:tc>
      </w:tr>
      <w:tr>
        <w:tc>
          <w:tcPr/>
          <w:p>
            <w:pPr>
              <w:pStyle w:val="Compact"/>
            </w:pPr>
            <w:r>
              <w:t xml:space="preserve">Tool schema validation</w:t>
            </w:r>
          </w:p>
        </w:tc>
        <w:tc>
          <w:tcPr/>
          <w:p>
            <w:pPr>
              <w:pStyle w:val="Compact"/>
            </w:pPr>
            <w:r>
              <w:rPr>
                <w:rStyle w:val="VerbatimChar"/>
              </w:rPr>
              <w:t xml:space="preserve">validateToolArgs()</w:t>
            </w:r>
            <w:r>
              <w:t xml:space="preserve"> </w:t>
            </w:r>
            <w:r>
              <w:t xml:space="preserve">and</w:t>
            </w:r>
            <w:r>
              <w:t xml:space="preserve"> </w:t>
            </w:r>
            <w:r>
              <w:rPr>
                <w:rStyle w:val="VerbatimChar"/>
              </w:rPr>
              <w:t xml:space="preserve">sanitizeToolFields()</w:t>
            </w:r>
          </w:p>
        </w:tc>
        <w:tc>
          <w:tcPr/>
          <w:p>
            <w:pPr>
              <w:pStyle w:val="Compact"/>
            </w:pPr>
            <w:r>
              <w:t xml:space="preserve">Good protection against malformed tool calls and mass assignment.</w:t>
            </w:r>
          </w:p>
        </w:tc>
      </w:tr>
      <w:tr>
        <w:tc>
          <w:tcPr/>
          <w:p>
            <w:pPr>
              <w:pStyle w:val="Compact"/>
            </w:pPr>
            <w:r>
              <w:t xml:space="preserve">Prompt injection awareness</w:t>
            </w:r>
          </w:p>
        </w:tc>
        <w:tc>
          <w:tcPr/>
          <w:p>
            <w:pPr>
              <w:pStyle w:val="Compact"/>
            </w:pPr>
            <w:r>
              <w:t xml:space="preserve">CRM context wrapped in</w:t>
            </w:r>
            <w:r>
              <w:t xml:space="preserve"> </w:t>
            </w:r>
            <w:r>
              <w:rPr>
                <w:rStyle w:val="VerbatimChar"/>
              </w:rPr>
              <w:t xml:space="preserve">&lt;crm_data&gt;</w:t>
            </w:r>
            <w:r>
              <w:t xml:space="preserve"> </w:t>
            </w:r>
            <w:r>
              <w:t xml:space="preserve">and system prompt warns against following record instructions</w:t>
            </w:r>
          </w:p>
        </w:tc>
        <w:tc>
          <w:tcPr/>
          <w:p>
            <w:pPr>
              <w:pStyle w:val="Compact"/>
            </w:pPr>
            <w:r>
              <w:t xml:space="preserve">Appropriate defense-in-depth.</w:t>
            </w:r>
          </w:p>
        </w:tc>
      </w:tr>
      <w:tr>
        <w:tc>
          <w:tcPr/>
          <w:p>
            <w:pPr>
              <w:pStyle w:val="Compact"/>
            </w:pPr>
            <w:r>
              <w:t xml:space="preserve">Offline AI egress control</w:t>
            </w:r>
          </w:p>
        </w:tc>
        <w:tc>
          <w:tcPr/>
          <w:p>
            <w:pPr>
              <w:pStyle w:val="Compact"/>
            </w:pPr>
            <w:r>
              <w:t xml:space="preserve">Browser-AI build aliases cloud providers to disabled stubs</w:t>
            </w:r>
          </w:p>
        </w:tc>
        <w:tc>
          <w:tcPr/>
          <w:p>
            <w:pPr>
              <w:pStyle w:val="Compact"/>
            </w:pPr>
            <w:r>
              <w:t xml:space="preserve">Good for default offline artifact.</w:t>
            </w:r>
          </w:p>
        </w:tc>
      </w:tr>
      <w:tr>
        <w:tc>
          <w:tcPr/>
          <w:p>
            <w:pPr>
              <w:pStyle w:val="Compact"/>
            </w:pPr>
            <w:r>
              <w:t xml:space="preserve">Governance policy</w:t>
            </w:r>
          </w:p>
        </w:tc>
        <w:tc>
          <w:tcPr/>
          <w:p>
            <w:pPr>
              <w:pStyle w:val="Compact"/>
            </w:pPr>
            <w:r>
              <w:rPr>
                <w:rStyle w:val="VerbatimChar"/>
              </w:rPr>
              <w:t xml:space="preserve">docs/compliance/ai-governance-policy.md</w:t>
            </w:r>
          </w:p>
        </w:tc>
        <w:tc>
          <w:tcPr/>
          <w:p>
            <w:pPr>
              <w:pStyle w:val="Compact"/>
            </w:pPr>
            <w:r>
              <w:t xml:space="preserve">Solid start.</w:t>
            </w:r>
          </w:p>
        </w:tc>
      </w:tr>
      <w:tr>
        <w:tc>
          <w:tcPr/>
          <w:p>
            <w:pPr>
              <w:pStyle w:val="Compact"/>
            </w:pPr>
            <w:r>
              <w:t xml:space="preserve">ISO 42001 self-assessment</w:t>
            </w:r>
          </w:p>
        </w:tc>
        <w:tc>
          <w:tcPr/>
          <w:p>
            <w:pPr>
              <w:pStyle w:val="Compact"/>
            </w:pPr>
            <w:r>
              <w:rPr>
                <w:rStyle w:val="VerbatimChar"/>
              </w:rPr>
              <w:t xml:space="preserve">docs/compliance/iso42001-evidence-map.md</w:t>
            </w:r>
          </w:p>
        </w:tc>
        <w:tc>
          <w:tcPr/>
          <w:p>
            <w:pPr>
              <w:pStyle w:val="Compact"/>
            </w:pPr>
            <w:r>
              <w:t xml:space="preserve">Honest maturity mapping.</w:t>
            </w:r>
          </w:p>
        </w:tc>
      </w:tr>
    </w:tbl>
    <w:bookmarkEnd w:id="48"/>
    <w:bookmarkStart w:id="49" w:name="ai-gaps"/>
    <w:p>
      <w:pPr>
        <w:pStyle w:val="Heading2"/>
      </w:pPr>
      <w:r>
        <w:t xml:space="preserve">AI Gaps</w:t>
      </w:r>
    </w:p>
    <w:tbl>
      <w:tblPr>
        <w:tblStyle w:val="Table"/>
        <w:tblW w:type="pct" w:w="5000"/>
        <w:tblLayout w:type="fixed"/>
        <w:tblLook w:firstRow="1" w:lastRow="0" w:firstColumn="0" w:lastColumn="0" w:noHBand="0" w:noVBand="0" w:val="0020"/>
      </w:tblPr>
      <w:tblGrid>
        <w:gridCol w:w="3282"/>
        <w:gridCol w:w="328"/>
        <w:gridCol w:w="4308"/>
      </w:tblGrid>
      <w:tr>
        <w:trPr>
          <w:tblHeader w:val="on"/>
        </w:trPr>
        <w:tc>
          <w:tcPr/>
          <w:p>
            <w:pPr>
              <w:pStyle w:val="Compact"/>
            </w:pPr>
            <w:r>
              <w:t xml:space="preserve">Gap</w:t>
            </w:r>
          </w:p>
        </w:tc>
        <w:tc>
          <w:tcPr/>
          <w:p>
            <w:pPr>
              <w:pStyle w:val="Compact"/>
            </w:pPr>
            <w:r>
              <w:t xml:space="preserve">Severity</w:t>
            </w:r>
          </w:p>
        </w:tc>
        <w:tc>
          <w:tcPr/>
          <w:p>
            <w:pPr>
              <w:pStyle w:val="Compact"/>
            </w:pPr>
            <w:r>
              <w:t xml:space="preserve">Recommendation</w:t>
            </w:r>
          </w:p>
        </w:tc>
      </w:tr>
      <w:tr>
        <w:tc>
          <w:tcPr/>
          <w:p>
            <w:pPr>
              <w:pStyle w:val="Compact"/>
            </w:pPr>
            <w:r>
              <w:t xml:space="preserve">Prompt-injection tests are mostly static, not model/harness tests</w:t>
            </w:r>
          </w:p>
        </w:tc>
        <w:tc>
          <w:tcPr/>
          <w:p>
            <w:pPr>
              <w:pStyle w:val="Compact"/>
            </w:pPr>
            <w:r>
              <w:t xml:space="preserve">High</w:t>
            </w:r>
          </w:p>
        </w:tc>
        <w:tc>
          <w:tcPr/>
          <w:p>
            <w:pPr>
              <w:pStyle w:val="Compact"/>
            </w:pPr>
            <w:r>
              <w:t xml:space="preserve">Add active tests that simulate malicious CRM records and verify no write executes without approval.</w:t>
            </w:r>
          </w:p>
        </w:tc>
      </w:tr>
      <w:tr>
        <w:tc>
          <w:tcPr/>
          <w:p>
            <w:pPr>
              <w:pStyle w:val="Compact"/>
            </w:pPr>
            <w:r>
              <w:t xml:space="preserve">No model cards</w:t>
            </w:r>
          </w:p>
        </w:tc>
        <w:tc>
          <w:tcPr/>
          <w:p>
            <w:pPr>
              <w:pStyle w:val="Compact"/>
            </w:pPr>
            <w:r>
              <w:t xml:space="preserve">Medium</w:t>
            </w:r>
          </w:p>
        </w:tc>
        <w:tc>
          <w:tcPr/>
          <w:p>
            <w:pPr>
              <w:pStyle w:val="Compact"/>
            </w:pPr>
            <w:r>
              <w:t xml:space="preserve">Add model card for each browser/local/cloud model.</w:t>
            </w:r>
          </w:p>
        </w:tc>
      </w:tr>
      <w:tr>
        <w:tc>
          <w:tcPr/>
          <w:p>
            <w:pPr>
              <w:pStyle w:val="Compact"/>
            </w:pPr>
            <w:r>
              <w:t xml:space="preserve">No AI incident response procedure</w:t>
            </w:r>
          </w:p>
        </w:tc>
        <w:tc>
          <w:tcPr/>
          <w:p>
            <w:pPr>
              <w:pStyle w:val="Compact"/>
            </w:pPr>
            <w:r>
              <w:t xml:space="preserve">High</w:t>
            </w:r>
          </w:p>
        </w:tc>
        <w:tc>
          <w:tcPr/>
          <w:p>
            <w:pPr>
              <w:pStyle w:val="Compact"/>
            </w:pPr>
            <w:r>
              <w:t xml:space="preserve">Define triage, containment, customer notice, evidence retention, and corrective action.</w:t>
            </w:r>
          </w:p>
        </w:tc>
      </w:tr>
      <w:tr>
        <w:tc>
          <w:tcPr/>
          <w:p>
            <w:pPr>
              <w:pStyle w:val="Compact"/>
            </w:pPr>
            <w:r>
              <w:t xml:space="preserve">No AI risk register with likelihood/impact/residual risk</w:t>
            </w:r>
          </w:p>
        </w:tc>
        <w:tc>
          <w:tcPr/>
          <w:p>
            <w:pPr>
              <w:pStyle w:val="Compact"/>
            </w:pPr>
            <w:r>
              <w:t xml:space="preserve">High</w:t>
            </w:r>
          </w:p>
        </w:tc>
        <w:tc>
          <w:tcPr/>
          <w:p>
            <w:pPr>
              <w:pStyle w:val="Compact"/>
            </w:pPr>
            <w:r>
              <w:t xml:space="preserve">Create a formal ISO 42001/NIST AI RMF risk register.</w:t>
            </w:r>
          </w:p>
        </w:tc>
      </w:tr>
      <w:tr>
        <w:tc>
          <w:tcPr/>
          <w:p>
            <w:pPr>
              <w:pStyle w:val="Compact"/>
            </w:pPr>
            <w:r>
              <w:t xml:space="preserve">No user-facing AI transparency notice</w:t>
            </w:r>
          </w:p>
        </w:tc>
        <w:tc>
          <w:tcPr/>
          <w:p>
            <w:pPr>
              <w:pStyle w:val="Compact"/>
            </w:pPr>
            <w:r>
              <w:t xml:space="preserve">Medium</w:t>
            </w:r>
          </w:p>
        </w:tc>
        <w:tc>
          <w:tcPr/>
          <w:p>
            <w:pPr>
              <w:pStyle w:val="Compact"/>
            </w:pPr>
            <w:r>
              <w:t xml:space="preserve">Add visible disclosure of model location, data boundary, limitations, and human approval.</w:t>
            </w:r>
          </w:p>
        </w:tc>
      </w:tr>
      <w:tr>
        <w:tc>
          <w:tcPr/>
          <w:p>
            <w:pPr>
              <w:pStyle w:val="Compact"/>
            </w:pPr>
            <w:r>
              <w:t xml:space="preserve">No model quality metrics</w:t>
            </w:r>
          </w:p>
        </w:tc>
        <w:tc>
          <w:tcPr/>
          <w:p>
            <w:pPr>
              <w:pStyle w:val="Compact"/>
            </w:pPr>
            <w:r>
              <w:t xml:space="preserve">Medium</w:t>
            </w:r>
          </w:p>
        </w:tc>
        <w:tc>
          <w:tcPr/>
          <w:p>
            <w:pPr>
              <w:pStyle w:val="Compact"/>
            </w:pPr>
            <w:r>
              <w:t xml:space="preserve">Track acceptance/rejection rate, failed tool calls, hallucination reports, and prompt-injection attempts.</w:t>
            </w:r>
          </w:p>
        </w:tc>
      </w:tr>
      <w:tr>
        <w:tc>
          <w:tcPr/>
          <w:p>
            <w:pPr>
              <w:pStyle w:val="Compact"/>
            </w:pPr>
            <w:r>
              <w:t xml:space="preserve">Cloud model inventory is listed but cloud profiles are not production-controlled</w:t>
            </w:r>
          </w:p>
        </w:tc>
        <w:tc>
          <w:tcPr/>
          <w:p>
            <w:pPr>
              <w:pStyle w:val="Compact"/>
            </w:pPr>
            <w:r>
              <w:t xml:space="preserve">High</w:t>
            </w:r>
          </w:p>
        </w:tc>
        <w:tc>
          <w:tcPr/>
          <w:p>
            <w:pPr>
              <w:pStyle w:val="Compact"/>
            </w:pPr>
            <w:r>
              <w:t xml:space="preserve">Require DPA, tenant consent, PII policy, and data residency decision before enabling.</w:t>
            </w:r>
          </w:p>
        </w:tc>
      </w:tr>
    </w:tbl>
    <w:bookmarkEnd w:id="49"/>
    <w:bookmarkStart w:id="50" w:name="eu-ai-act-note"/>
    <w:p>
      <w:pPr>
        <w:pStyle w:val="Heading2"/>
      </w:pPr>
      <w:r>
        <w:t xml:space="preserve">EU AI Act Note</w:t>
      </w:r>
    </w:p>
    <w:p>
      <w:pPr>
        <w:pStyle w:val="FirstParagraph"/>
      </w:pPr>
      <w:r>
        <w:t xml:space="preserve">Based on current inspected behavior, the default offline CRM assistant appears more likely to be a limited/minimal-risk productivity assistant than a high-risk AI system. That classification is an inference and must be re-evaluated if the product is used for HR, worker management, credit, education, healthcare, law enforcement, critical infrastructure, or legally significant automated decisions.</w:t>
      </w:r>
    </w:p>
    <w:p>
      <w:pPr>
        <w:pStyle w:val="BodyText"/>
      </w:pPr>
      <w:r>
        <w:t xml:space="preserve">Required next step:</w:t>
      </w:r>
    </w:p>
    <w:p>
      <w:pPr>
        <w:pStyle w:val="Compact"/>
        <w:numPr>
          <w:ilvl w:val="0"/>
          <w:numId w:val="1039"/>
        </w:numPr>
      </w:pPr>
      <w:r>
        <w:t xml:space="preserve">Add an AI Act classification memo per feature and deployment profile.</w:t>
      </w:r>
    </w:p>
    <w:p>
      <w:pPr>
        <w:pStyle w:val="Compact"/>
        <w:numPr>
          <w:ilvl w:val="0"/>
          <w:numId w:val="1039"/>
        </w:numPr>
      </w:pPr>
      <w:r>
        <w:t xml:space="preserve">Document whether the organization is provider, deployer, importer, or distributor for each AI component.</w:t>
      </w:r>
    </w:p>
    <w:p>
      <w:pPr>
        <w:pStyle w:val="Compact"/>
        <w:numPr>
          <w:ilvl w:val="0"/>
          <w:numId w:val="1039"/>
        </w:numPr>
      </w:pPr>
      <w:r>
        <w:t xml:space="preserve">Track August 2, 2026 EU AI Act high-risk obligations where applicable.</w:t>
      </w:r>
    </w:p>
    <w:bookmarkEnd w:id="50"/>
    <w:bookmarkStart w:id="51" w:name="accessibility-summary"/>
    <w:p>
      <w:pPr>
        <w:pStyle w:val="Heading2"/>
      </w:pPr>
      <w:r>
        <w:t xml:space="preserve">Accessibility Summary</w:t>
      </w:r>
    </w:p>
    <w:p>
      <w:pPr>
        <w:pStyle w:val="FirstParagraph"/>
      </w:pPr>
      <w:r>
        <w:t xml:space="preserve">Accessibility has good test intent but insufficient verified coverage for WCAG 2.2 AA.</w:t>
      </w:r>
    </w:p>
    <w:p>
      <w:pPr>
        <w:pStyle w:val="BodyText"/>
      </w:pPr>
      <w:r>
        <w:t xml:space="preserve">Evidence:</w:t>
      </w:r>
    </w:p>
    <w:p>
      <w:pPr>
        <w:pStyle w:val="Compact"/>
        <w:numPr>
          <w:ilvl w:val="0"/>
          <w:numId w:val="1040"/>
        </w:numPr>
      </w:pPr>
      <w:r>
        <w:t xml:space="preserve">Vitest suite includes many accessibility unit tests and many</w:t>
      </w:r>
      <w:r>
        <w:t xml:space="preserve"> </w:t>
      </w:r>
      <w:r>
        <w:rPr>
          <w:rStyle w:val="VerbatimChar"/>
        </w:rPr>
        <w:t xml:space="preserve">it.todo</w:t>
      </w:r>
      <w:r>
        <w:t xml:space="preserve"> </w:t>
      </w:r>
      <w:r>
        <w:t xml:space="preserve">tests.</w:t>
      </w:r>
    </w:p>
    <w:p>
      <w:pPr>
        <w:pStyle w:val="Compact"/>
        <w:numPr>
          <w:ilvl w:val="0"/>
          <w:numId w:val="1040"/>
        </w:numPr>
      </w:pPr>
      <w:r>
        <w:t xml:space="preserve">Playwright E2E tests exist for focus traps, keyboard navigation, and screen-reader labels.</w:t>
      </w:r>
    </w:p>
    <w:p>
      <w:pPr>
        <w:pStyle w:val="Compact"/>
        <w:numPr>
          <w:ilvl w:val="0"/>
          <w:numId w:val="1040"/>
        </w:numPr>
      </w:pPr>
      <w:r>
        <w:t xml:space="preserve">CI accessibility scan covers the pre-auth page, not the full authenticated app.</w:t>
      </w:r>
    </w:p>
    <w:p>
      <w:pPr>
        <w:pStyle w:val="Compact"/>
        <w:numPr>
          <w:ilvl w:val="0"/>
          <w:numId w:val="1040"/>
        </w:numPr>
      </w:pPr>
      <w:r>
        <w:t xml:space="preserve">CI disables</w:t>
      </w:r>
      <w:r>
        <w:t xml:space="preserve"> </w:t>
      </w:r>
      <w:r>
        <w:rPr>
          <w:rStyle w:val="VerbatimChar"/>
        </w:rPr>
        <w:t xml:space="preserve">color-contrast</w:t>
      </w:r>
      <w:r>
        <w:t xml:space="preserve"> </w:t>
      </w:r>
      <w:r>
        <w:t xml:space="preserve">and</w:t>
      </w:r>
      <w:r>
        <w:t xml:space="preserve"> </w:t>
      </w:r>
      <w:r>
        <w:rPr>
          <w:rStyle w:val="VerbatimChar"/>
        </w:rPr>
        <w:t xml:space="preserve">scrollable-region-focusable</w:t>
      </w:r>
      <w:r>
        <w:t xml:space="preserve">.</w:t>
      </w:r>
    </w:p>
    <w:p>
      <w:pPr>
        <w:pStyle w:val="Compact"/>
        <w:numPr>
          <w:ilvl w:val="0"/>
          <w:numId w:val="1040"/>
        </w:numPr>
      </w:pPr>
      <w:r>
        <w:t xml:space="preserve">Local test result: 100 todo tests across the overall suite.</w:t>
      </w:r>
    </w:p>
    <w:bookmarkEnd w:id="51"/>
    <w:bookmarkStart w:id="52" w:name="wcag-2.2-aa-readiness"/>
    <w:p>
      <w:pPr>
        <w:pStyle w:val="Heading2"/>
      </w:pPr>
      <w:r>
        <w:t xml:space="preserve">WCAG 2.2 AA Readiness</w:t>
      </w:r>
    </w:p>
    <w:tbl>
      <w:tblPr>
        <w:tblStyle w:val="Table"/>
        <w:tblW w:type="pct" w:w="5000"/>
        <w:tblLayout w:type="fixed"/>
        <w:tblLook w:firstRow="1" w:lastRow="0" w:firstColumn="0" w:lastColumn="0" w:noHBand="0" w:noVBand="0" w:val="0020"/>
      </w:tblPr>
      <w:tblGrid>
        <w:gridCol w:w="1107"/>
        <w:gridCol w:w="2603"/>
        <w:gridCol w:w="4209"/>
      </w:tblGrid>
      <w:tr>
        <w:trPr>
          <w:tblHeader w:val="on"/>
        </w:trPr>
        <w:tc>
          <w:tcPr/>
          <w:p>
            <w:pPr>
              <w:pStyle w:val="Compact"/>
            </w:pPr>
            <w:r>
              <w:t xml:space="preserve">Area</w:t>
            </w:r>
          </w:p>
        </w:tc>
        <w:tc>
          <w:tcPr/>
          <w:p>
            <w:pPr>
              <w:pStyle w:val="Compact"/>
            </w:pPr>
            <w:r>
              <w:t xml:space="preserve">Current posture</w:t>
            </w:r>
          </w:p>
        </w:tc>
        <w:tc>
          <w:tcPr/>
          <w:p>
            <w:pPr>
              <w:pStyle w:val="Compact"/>
            </w:pPr>
            <w:r>
              <w:t xml:space="preserve">Gap</w:t>
            </w:r>
          </w:p>
        </w:tc>
      </w:tr>
      <w:tr>
        <w:tc>
          <w:tcPr/>
          <w:p>
            <w:pPr>
              <w:pStyle w:val="Compact"/>
            </w:pPr>
            <w:r>
              <w:t xml:space="preserve">Keyboard access</w:t>
            </w:r>
          </w:p>
        </w:tc>
        <w:tc>
          <w:tcPr/>
          <w:p>
            <w:pPr>
              <w:pStyle w:val="Compact"/>
            </w:pPr>
            <w:r>
              <w:t xml:space="preserve">Static tests verify buttons/landmarks in places</w:t>
            </w:r>
          </w:p>
        </w:tc>
        <w:tc>
          <w:tcPr/>
          <w:p>
            <w:pPr>
              <w:pStyle w:val="Compact"/>
            </w:pPr>
            <w:r>
              <w:t xml:space="preserve">Full post-auth keyboard traversal must run in Playwright.</w:t>
            </w:r>
          </w:p>
        </w:tc>
      </w:tr>
      <w:tr>
        <w:tc>
          <w:tcPr/>
          <w:p>
            <w:pPr>
              <w:pStyle w:val="Compact"/>
            </w:pPr>
            <w:r>
              <w:t xml:space="preserve">Focus management</w:t>
            </w:r>
          </w:p>
        </w:tc>
        <w:tc>
          <w:tcPr/>
          <w:p>
            <w:pPr>
              <w:pStyle w:val="Compact"/>
            </w:pPr>
            <w:r>
              <w:t xml:space="preserve">E2E specs document expected behavior</w:t>
            </w:r>
          </w:p>
        </w:tc>
        <w:tc>
          <w:tcPr/>
          <w:p>
            <w:pPr>
              <w:pStyle w:val="Compact"/>
            </w:pPr>
            <w:r>
              <w:t xml:space="preserve">Known focus-trap gaps are documented; need active passing runs.</w:t>
            </w:r>
          </w:p>
        </w:tc>
      </w:tr>
      <w:tr>
        <w:tc>
          <w:tcPr/>
          <w:p>
            <w:pPr>
              <w:pStyle w:val="Compact"/>
            </w:pPr>
            <w:r>
              <w:t xml:space="preserve">Dialog semantics</w:t>
            </w:r>
          </w:p>
        </w:tc>
        <w:tc>
          <w:tcPr/>
          <w:p>
            <w:pPr>
              <w:pStyle w:val="Compact"/>
            </w:pPr>
            <w:r>
              <w:t xml:space="preserve">Tests exist</w:t>
            </w:r>
          </w:p>
        </w:tc>
        <w:tc>
          <w:tcPr/>
          <w:p>
            <w:pPr>
              <w:pStyle w:val="Compact"/>
            </w:pPr>
            <w:r>
              <w:t xml:space="preserve">Must verify every modal uses role, aria-modal, labelledby, and focus return.</w:t>
            </w:r>
          </w:p>
        </w:tc>
      </w:tr>
      <w:tr>
        <w:tc>
          <w:tcPr/>
          <w:p>
            <w:pPr>
              <w:pStyle w:val="Compact"/>
            </w:pPr>
            <w:r>
              <w:t xml:space="preserve">Color contrast</w:t>
            </w:r>
          </w:p>
        </w:tc>
        <w:tc>
          <w:tcPr/>
          <w:p>
            <w:pPr>
              <w:pStyle w:val="Compact"/>
            </w:pPr>
            <w:r>
              <w:t xml:space="preserve">Disabled in CI axe scan</w:t>
            </w:r>
          </w:p>
        </w:tc>
        <w:tc>
          <w:tcPr/>
          <w:p>
            <w:pPr>
              <w:pStyle w:val="Compact"/>
            </w:pPr>
            <w:r>
              <w:t xml:space="preserve">Must run and pass contrast checks against design tokens.</w:t>
            </w:r>
          </w:p>
        </w:tc>
      </w:tr>
      <w:tr>
        <w:tc>
          <w:tcPr/>
          <w:p>
            <w:pPr>
              <w:pStyle w:val="Compact"/>
            </w:pPr>
            <w:r>
              <w:t xml:space="preserve">Screen reader labels</w:t>
            </w:r>
          </w:p>
        </w:tc>
        <w:tc>
          <w:tcPr/>
          <w:p>
            <w:pPr>
              <w:pStyle w:val="Compact"/>
            </w:pPr>
            <w:r>
              <w:t xml:space="preserve">Tests exist</w:t>
            </w:r>
          </w:p>
        </w:tc>
        <w:tc>
          <w:tcPr/>
          <w:p>
            <w:pPr>
              <w:pStyle w:val="Compact"/>
            </w:pPr>
            <w:r>
              <w:t xml:space="preserve">Need active Playwright/axe evidence for authenticated screens.</w:t>
            </w:r>
          </w:p>
        </w:tc>
      </w:tr>
      <w:tr>
        <w:tc>
          <w:tcPr/>
          <w:p>
            <w:pPr>
              <w:pStyle w:val="Compact"/>
            </w:pPr>
            <w:r>
              <w:t xml:space="preserve">Mobile accessibility</w:t>
            </w:r>
          </w:p>
        </w:tc>
        <w:tc>
          <w:tcPr/>
          <w:p>
            <w:pPr>
              <w:pStyle w:val="Compact"/>
            </w:pPr>
            <w:r>
              <w:t xml:space="preserve">Not proven</w:t>
            </w:r>
          </w:p>
        </w:tc>
        <w:tc>
          <w:tcPr/>
          <w:p>
            <w:pPr>
              <w:pStyle w:val="Compact"/>
            </w:pPr>
            <w:r>
              <w:t xml:space="preserve">Needs viewport, touch target, orientation, and screen reader checks.</w:t>
            </w:r>
          </w:p>
        </w:tc>
      </w:tr>
    </w:tbl>
    <w:bookmarkEnd w:id="52"/>
    <w:bookmarkStart w:id="53" w:name="accessibility-remediation-plan"/>
    <w:p>
      <w:pPr>
        <w:pStyle w:val="Heading2"/>
      </w:pPr>
      <w:r>
        <w:t xml:space="preserve">Accessibility Remediation Plan</w:t>
      </w:r>
    </w:p>
    <w:p>
      <w:pPr>
        <w:pStyle w:val="Compact"/>
        <w:numPr>
          <w:ilvl w:val="0"/>
          <w:numId w:val="1041"/>
        </w:numPr>
      </w:pPr>
      <w:r>
        <w:t xml:space="preserve">Build offline artifact in CI.</w:t>
      </w:r>
    </w:p>
    <w:p>
      <w:pPr>
        <w:pStyle w:val="Compact"/>
        <w:numPr>
          <w:ilvl w:val="0"/>
          <w:numId w:val="1041"/>
        </w:numPr>
      </w:pPr>
      <w:r>
        <w:t xml:space="preserve">Run Playwright accessibility specs against authenticated seeded vault state.</w:t>
      </w:r>
    </w:p>
    <w:p>
      <w:pPr>
        <w:pStyle w:val="Compact"/>
        <w:numPr>
          <w:ilvl w:val="0"/>
          <w:numId w:val="1041"/>
        </w:numPr>
      </w:pPr>
      <w:r>
        <w:t xml:space="preserve">Re-enable color contrast or create a manual contrast report with token evidence.</w:t>
      </w:r>
    </w:p>
    <w:p>
      <w:pPr>
        <w:pStyle w:val="Compact"/>
        <w:numPr>
          <w:ilvl w:val="0"/>
          <w:numId w:val="1041"/>
        </w:numPr>
      </w:pPr>
      <w:r>
        <w:t xml:space="preserve">Fix modal focus traps and focus return.</w:t>
      </w:r>
    </w:p>
    <w:p>
      <w:pPr>
        <w:pStyle w:val="Compact"/>
        <w:numPr>
          <w:ilvl w:val="0"/>
          <w:numId w:val="1041"/>
        </w:numPr>
      </w:pPr>
      <w:r>
        <w:t xml:space="preserve">Add</w:t>
      </w:r>
      <w:r>
        <w:t xml:space="preserve"> </w:t>
      </w:r>
      <w:r>
        <w:rPr>
          <w:rStyle w:val="VerbatimChar"/>
        </w:rPr>
        <w:t xml:space="preserve">aria-live</w:t>
      </w:r>
      <w:r>
        <w:t xml:space="preserve">, table captions/labels, and progressbar semantics where tests expect them.</w:t>
      </w:r>
    </w:p>
    <w:p>
      <w:pPr>
        <w:pStyle w:val="Compact"/>
        <w:numPr>
          <w:ilvl w:val="0"/>
          <w:numId w:val="1041"/>
        </w:numPr>
      </w:pPr>
      <w:r>
        <w:t xml:space="preserve">Update WCAG target from 2.1 AA language to WCAG 2.2 AA / ISO/IEC 40500:2025.</w:t>
      </w:r>
    </w:p>
    <w:p>
      <w:pPr>
        <w:pStyle w:val="Compact"/>
        <w:numPr>
          <w:ilvl w:val="0"/>
          <w:numId w:val="1041"/>
        </w:numPr>
      </w:pPr>
      <w:r>
        <w:t xml:space="preserve">Produce an accessibility conformance report before commercial release.</w:t>
      </w:r>
    </w:p>
    <w:bookmarkEnd w:id="53"/>
    <w:bookmarkEnd w:id="54"/>
    <w:bookmarkStart w:id="60" w:name="risk-register"/>
    <w:p>
      <w:pPr>
        <w:pStyle w:val="Heading1"/>
      </w:pPr>
      <w:r>
        <w:t xml:space="preserve">Risk Register</w:t>
      </w:r>
    </w:p>
    <w:p>
      <w:pPr>
        <w:pStyle w:val="FirstParagraph"/>
      </w:pPr>
      <w:r>
        <w:t xml:space="preserve">Assessment date: 2026-05-21</w:t>
      </w:r>
    </w:p>
    <w:p>
      <w:pPr>
        <w:pStyle w:val="BodyText"/>
      </w:pPr>
      <w:r>
        <w:t xml:space="preserve">Scoring:</w:t>
      </w:r>
    </w:p>
    <w:p>
      <w:pPr>
        <w:pStyle w:val="Compact"/>
        <w:numPr>
          <w:ilvl w:val="0"/>
          <w:numId w:val="1042"/>
        </w:numPr>
      </w:pPr>
      <w:r>
        <w:t xml:space="preserve">Impact: 1 low to 5 critical</w:t>
      </w:r>
    </w:p>
    <w:p>
      <w:pPr>
        <w:pStyle w:val="Compact"/>
        <w:numPr>
          <w:ilvl w:val="0"/>
          <w:numId w:val="1042"/>
        </w:numPr>
      </w:pPr>
      <w:r>
        <w:t xml:space="preserve">Likelihood: 1 rare to 5 frequent</w:t>
      </w:r>
    </w:p>
    <w:p>
      <w:pPr>
        <w:pStyle w:val="Compact"/>
        <w:numPr>
          <w:ilvl w:val="0"/>
          <w:numId w:val="1042"/>
        </w:numPr>
      </w:pPr>
      <w:r>
        <w:t xml:space="preserve">Score: impact x likelihood</w:t>
      </w:r>
    </w:p>
    <w:tbl>
      <w:tblPr>
        <w:tblStyle w:val="Table"/>
        <w:tblW w:type="pct" w:w="5000"/>
        <w:tblLayout w:type="fixed"/>
        <w:tblLook w:firstRow="1" w:lastRow="0" w:firstColumn="0" w:lastColumn="0" w:noHBand="0" w:noVBand="0" w:val="0020"/>
      </w:tblPr>
      <w:tblGrid>
        <w:gridCol w:w="147"/>
        <w:gridCol w:w="2275"/>
        <w:gridCol w:w="472"/>
        <w:gridCol w:w="177"/>
        <w:gridCol w:w="295"/>
        <w:gridCol w:w="147"/>
        <w:gridCol w:w="236"/>
        <w:gridCol w:w="1152"/>
        <w:gridCol w:w="3014"/>
      </w:tblGrid>
      <w:tr>
        <w:trPr>
          <w:tblHeader w:val="on"/>
        </w:trPr>
        <w:tc>
          <w:tcPr/>
          <w:p>
            <w:pPr>
              <w:pStyle w:val="Compact"/>
            </w:pPr>
            <w:r>
              <w:t xml:space="preserve">ID</w:t>
            </w:r>
          </w:p>
        </w:tc>
        <w:tc>
          <w:tcPr/>
          <w:p>
            <w:pPr>
              <w:pStyle w:val="Compact"/>
            </w:pPr>
            <w:r>
              <w:t xml:space="preserve">Risk</w:t>
            </w:r>
          </w:p>
        </w:tc>
        <w:tc>
          <w:tcPr/>
          <w:p>
            <w:pPr>
              <w:pStyle w:val="Compact"/>
            </w:pPr>
            <w:r>
              <w:t xml:space="preserve">Domain</w:t>
            </w:r>
          </w:p>
        </w:tc>
        <w:tc>
          <w:tcPr/>
          <w:p>
            <w:pPr>
              <w:pStyle w:val="Compact"/>
              <w:jc w:val="right"/>
            </w:pPr>
            <w:r>
              <w:t xml:space="preserve">Impact</w:t>
            </w:r>
          </w:p>
        </w:tc>
        <w:tc>
          <w:tcPr/>
          <w:p>
            <w:pPr>
              <w:pStyle w:val="Compact"/>
              <w:jc w:val="right"/>
            </w:pPr>
            <w:r>
              <w:t xml:space="preserve">Likelihood</w:t>
            </w:r>
          </w:p>
        </w:tc>
        <w:tc>
          <w:tcPr/>
          <w:p>
            <w:pPr>
              <w:pStyle w:val="Compact"/>
              <w:jc w:val="right"/>
            </w:pPr>
            <w:r>
              <w:t xml:space="preserve">Score</w:t>
            </w:r>
          </w:p>
        </w:tc>
        <w:tc>
          <w:tcPr/>
          <w:p>
            <w:pPr>
              <w:pStyle w:val="Compact"/>
            </w:pPr>
            <w:r>
              <w:t xml:space="preserve">Priority</w:t>
            </w:r>
          </w:p>
        </w:tc>
        <w:tc>
          <w:tcPr/>
          <w:p>
            <w:pPr>
              <w:pStyle w:val="Compact"/>
            </w:pPr>
            <w:r>
              <w:t xml:space="preserve">Evidence</w:t>
            </w:r>
          </w:p>
        </w:tc>
        <w:tc>
          <w:tcPr/>
          <w:p>
            <w:pPr>
              <w:pStyle w:val="Compact"/>
            </w:pPr>
            <w:r>
              <w:t xml:space="preserve">Treatment</w:t>
            </w:r>
          </w:p>
        </w:tc>
      </w:tr>
      <w:tr>
        <w:tc>
          <w:tcPr/>
          <w:p>
            <w:pPr>
              <w:pStyle w:val="Compact"/>
            </w:pPr>
            <w:r>
              <w:t xml:space="preserve">R-001</w:t>
            </w:r>
          </w:p>
        </w:tc>
        <w:tc>
          <w:tcPr/>
          <w:p>
            <w:pPr>
              <w:pStyle w:val="Compact"/>
            </w:pPr>
            <w:r>
              <w:t xml:space="preserve">Server excluded from pnpm workspace, causing broken dependency/build behavior</w:t>
            </w:r>
          </w:p>
        </w:tc>
        <w:tc>
          <w:tcPr/>
          <w:p>
            <w:pPr>
              <w:pStyle w:val="Compact"/>
            </w:pPr>
            <w:r>
              <w:t xml:space="preserve">Engineering</w:t>
            </w:r>
          </w:p>
        </w:tc>
        <w:tc>
          <w:tcPr/>
          <w:p>
            <w:pPr>
              <w:pStyle w:val="Compact"/>
              <w:jc w:val="right"/>
            </w:pPr>
            <w:r>
              <w:t xml:space="preserve">5</w:t>
            </w:r>
          </w:p>
        </w:tc>
        <w:tc>
          <w:tcPr/>
          <w:p>
            <w:pPr>
              <w:pStyle w:val="Compact"/>
              <w:jc w:val="right"/>
            </w:pPr>
            <w:r>
              <w:t xml:space="preserve">5</w:t>
            </w:r>
          </w:p>
        </w:tc>
        <w:tc>
          <w:tcPr/>
          <w:p>
            <w:pPr>
              <w:pStyle w:val="Compact"/>
              <w:jc w:val="right"/>
            </w:pPr>
            <w:r>
              <w:t xml:space="preserve">25</w:t>
            </w:r>
          </w:p>
        </w:tc>
        <w:tc>
          <w:tcPr/>
          <w:p>
            <w:pPr>
              <w:pStyle w:val="Compact"/>
            </w:pPr>
            <w:r>
              <w:t xml:space="preserve">P0</w:t>
            </w:r>
          </w:p>
        </w:tc>
        <w:tc>
          <w:tcPr/>
          <w:p>
            <w:pPr>
              <w:pStyle w:val="Compact"/>
            </w:pPr>
            <w:r>
              <w:rPr>
                <w:rStyle w:val="VerbatimChar"/>
              </w:rPr>
              <w:t xml:space="preserve">pnpm-workspace.yaml</w:t>
            </w:r>
            <w:r>
              <w:t xml:space="preserve">, typecheck output</w:t>
            </w:r>
          </w:p>
        </w:tc>
        <w:tc>
          <w:tcPr/>
          <w:p>
            <w:pPr>
              <w:pStyle w:val="Compact"/>
            </w:pPr>
            <w:r>
              <w:t xml:space="preserve">Add</w:t>
            </w:r>
            <w:r>
              <w:t xml:space="preserve"> </w:t>
            </w:r>
            <w:r>
              <w:rPr>
                <w:rStyle w:val="VerbatimChar"/>
              </w:rPr>
              <w:t xml:space="preserve">server</w:t>
            </w:r>
            <w:r>
              <w:t xml:space="preserve"> </w:t>
            </w:r>
            <w:r>
              <w:t xml:space="preserve">to workspace; fix package scripts and Docker build.</w:t>
            </w:r>
          </w:p>
        </w:tc>
      </w:tr>
      <w:tr>
        <w:tc>
          <w:tcPr/>
          <w:p>
            <w:pPr>
              <w:pStyle w:val="Compact"/>
            </w:pPr>
            <w:r>
              <w:t xml:space="preserve">R-002</w:t>
            </w:r>
          </w:p>
        </w:tc>
        <w:tc>
          <w:tcPr/>
          <w:p>
            <w:pPr>
              <w:pStyle w:val="Compact"/>
            </w:pPr>
            <w:r>
              <w:t xml:space="preserve">High Drizzle ORM advisory remains unresolved</w:t>
            </w:r>
          </w:p>
        </w:tc>
        <w:tc>
          <w:tcPr/>
          <w:p>
            <w:pPr>
              <w:pStyle w:val="Compact"/>
            </w:pPr>
            <w:r>
              <w:t xml:space="preserve">Security</w:t>
            </w:r>
          </w:p>
        </w:tc>
        <w:tc>
          <w:tcPr/>
          <w:p>
            <w:pPr>
              <w:pStyle w:val="Compact"/>
              <w:jc w:val="right"/>
            </w:pPr>
            <w:r>
              <w:t xml:space="preserve">5</w:t>
            </w:r>
          </w:p>
        </w:tc>
        <w:tc>
          <w:tcPr/>
          <w:p>
            <w:pPr>
              <w:pStyle w:val="Compact"/>
              <w:jc w:val="right"/>
            </w:pPr>
            <w:r>
              <w:t xml:space="preserve">4</w:t>
            </w:r>
          </w:p>
        </w:tc>
        <w:tc>
          <w:tcPr/>
          <w:p>
            <w:pPr>
              <w:pStyle w:val="Compact"/>
              <w:jc w:val="right"/>
            </w:pPr>
            <w:r>
              <w:t xml:space="preserve">20</w:t>
            </w:r>
          </w:p>
        </w:tc>
        <w:tc>
          <w:tcPr/>
          <w:p>
            <w:pPr>
              <w:pStyle w:val="Compact"/>
            </w:pPr>
            <w:r>
              <w:t xml:space="preserve">P0</w:t>
            </w:r>
          </w:p>
        </w:tc>
        <w:tc>
          <w:tcPr/>
          <w:p>
            <w:pPr>
              <w:pStyle w:val="Compact"/>
            </w:pPr>
            <w:r>
              <w:rPr>
                <w:rStyle w:val="VerbatimChar"/>
              </w:rPr>
              <w:t xml:space="preserve">pnpm audit</w:t>
            </w:r>
            <w:r>
              <w:t xml:space="preserve"> </w:t>
            </w:r>
            <w:r>
              <w:t xml:space="preserve">GHSA-gpj5-g38j-94v9</w:t>
            </w:r>
          </w:p>
        </w:tc>
        <w:tc>
          <w:tcPr/>
          <w:p>
            <w:pPr>
              <w:pStyle w:val="Compact"/>
            </w:pPr>
            <w:r>
              <w:t xml:space="preserve">Upgrade to</w:t>
            </w:r>
            <w:r>
              <w:t xml:space="preserve"> </w:t>
            </w:r>
            <w:r>
              <w:rPr>
                <w:rStyle w:val="VerbatimChar"/>
              </w:rPr>
              <w:t xml:space="preserve">drizzle-orm &gt;=0.45.2</w:t>
            </w:r>
            <w:r>
              <w:t xml:space="preserve">; rerun audit/tests.</w:t>
            </w:r>
          </w:p>
        </w:tc>
      </w:tr>
      <w:tr>
        <w:tc>
          <w:tcPr/>
          <w:p>
            <w:pPr>
              <w:pStyle w:val="Compact"/>
            </w:pPr>
            <w:r>
              <w:t xml:space="preserve">R-003</w:t>
            </w:r>
          </w:p>
        </w:tc>
        <w:tc>
          <w:tcPr/>
          <w:p>
            <w:pPr>
              <w:pStyle w:val="Compact"/>
            </w:pPr>
            <w:r>
              <w:t xml:space="preserve">Enterprise typecheck fails across server routes/services</w:t>
            </w:r>
          </w:p>
        </w:tc>
        <w:tc>
          <w:tcPr/>
          <w:p>
            <w:pPr>
              <w:pStyle w:val="Compact"/>
            </w:pPr>
            <w:r>
              <w:t xml:space="preserve">Engineering</w:t>
            </w:r>
          </w:p>
        </w:tc>
        <w:tc>
          <w:tcPr/>
          <w:p>
            <w:pPr>
              <w:pStyle w:val="Compact"/>
              <w:jc w:val="right"/>
            </w:pPr>
            <w:r>
              <w:t xml:space="preserve">5</w:t>
            </w:r>
          </w:p>
        </w:tc>
        <w:tc>
          <w:tcPr/>
          <w:p>
            <w:pPr>
              <w:pStyle w:val="Compact"/>
              <w:jc w:val="right"/>
            </w:pPr>
            <w:r>
              <w:t xml:space="preserve">5</w:t>
            </w:r>
          </w:p>
        </w:tc>
        <w:tc>
          <w:tcPr/>
          <w:p>
            <w:pPr>
              <w:pStyle w:val="Compact"/>
              <w:jc w:val="right"/>
            </w:pPr>
            <w:r>
              <w:t xml:space="preserve">25</w:t>
            </w:r>
          </w:p>
        </w:tc>
        <w:tc>
          <w:tcPr/>
          <w:p>
            <w:pPr>
              <w:pStyle w:val="Compact"/>
            </w:pPr>
            <w:r>
              <w:t xml:space="preserve">P0</w:t>
            </w:r>
          </w:p>
        </w:tc>
        <w:tc>
          <w:tcPr/>
          <w:p>
            <w:pPr>
              <w:pStyle w:val="Compact"/>
            </w:pPr>
            <w:r>
              <w:rPr>
                <w:rStyle w:val="VerbatimChar"/>
              </w:rPr>
              <w:t xml:space="preserve">pnpm run typecheck</w:t>
            </w:r>
          </w:p>
        </w:tc>
        <w:tc>
          <w:tcPr/>
          <w:p>
            <w:pPr>
              <w:pStyle w:val="Compact"/>
            </w:pPr>
            <w:r>
              <w:t xml:space="preserve">Fix dependencies, optional props, Drizzle transaction types.</w:t>
            </w:r>
          </w:p>
        </w:tc>
      </w:tr>
      <w:tr>
        <w:tc>
          <w:tcPr/>
          <w:p>
            <w:pPr>
              <w:pStyle w:val="Compact"/>
            </w:pPr>
            <w:r>
              <w:t xml:space="preserve">R-004</w:t>
            </w:r>
          </w:p>
        </w:tc>
        <w:tc>
          <w:tcPr/>
          <w:p>
            <w:pPr>
              <w:pStyle w:val="Compact"/>
            </w:pPr>
            <w:r>
              <w:t xml:space="preserve">Docker image likely cannot build from current Dockerfile</w:t>
            </w:r>
          </w:p>
        </w:tc>
        <w:tc>
          <w:tcPr/>
          <w:p>
            <w:pPr>
              <w:pStyle w:val="Compact"/>
            </w:pPr>
            <w:r>
              <w:t xml:space="preserve">DevOps</w:t>
            </w:r>
          </w:p>
        </w:tc>
        <w:tc>
          <w:tcPr/>
          <w:p>
            <w:pPr>
              <w:pStyle w:val="Compact"/>
              <w:jc w:val="right"/>
            </w:pPr>
            <w:r>
              <w:t xml:space="preserve">5</w:t>
            </w:r>
          </w:p>
        </w:tc>
        <w:tc>
          <w:tcPr/>
          <w:p>
            <w:pPr>
              <w:pStyle w:val="Compact"/>
              <w:jc w:val="right"/>
            </w:pPr>
            <w:r>
              <w:t xml:space="preserve">4</w:t>
            </w:r>
          </w:p>
        </w:tc>
        <w:tc>
          <w:tcPr/>
          <w:p>
            <w:pPr>
              <w:pStyle w:val="Compact"/>
              <w:jc w:val="right"/>
            </w:pPr>
            <w:r>
              <w:t xml:space="preserve">20</w:t>
            </w:r>
          </w:p>
        </w:tc>
        <w:tc>
          <w:tcPr/>
          <w:p>
            <w:pPr>
              <w:pStyle w:val="Compact"/>
            </w:pPr>
            <w:r>
              <w:t xml:space="preserve">P0</w:t>
            </w:r>
          </w:p>
        </w:tc>
        <w:tc>
          <w:tcPr/>
          <w:p>
            <w:pPr>
              <w:pStyle w:val="Compact"/>
            </w:pPr>
            <w:r>
              <w:rPr>
                <w:rStyle w:val="VerbatimChar"/>
              </w:rPr>
              <w:t xml:space="preserve">Dockerfile</w:t>
            </w:r>
            <w:r>
              <w:t xml:space="preserve">,</w:t>
            </w:r>
            <w:r>
              <w:t xml:space="preserve"> </w:t>
            </w:r>
            <w:r>
              <w:rPr>
                <w:rStyle w:val="VerbatimChar"/>
              </w:rPr>
              <w:t xml:space="preserve">turbo.json</w:t>
            </w:r>
          </w:p>
        </w:tc>
        <w:tc>
          <w:tcPr/>
          <w:p>
            <w:pPr>
              <w:pStyle w:val="Compact"/>
            </w:pPr>
            <w:r>
              <w:t xml:space="preserve">Replace invalid</w:t>
            </w:r>
            <w:r>
              <w:t xml:space="preserve"> </w:t>
            </w:r>
            <w:r>
              <w:rPr>
                <w:rStyle w:val="VerbatimChar"/>
              </w:rPr>
              <w:t xml:space="preserve">build:server</w:t>
            </w:r>
            <w:r>
              <w:t xml:space="preserve"> </w:t>
            </w:r>
            <w:r>
              <w:t xml:space="preserve">task and package-copy assumptions.</w:t>
            </w:r>
          </w:p>
        </w:tc>
      </w:tr>
      <w:tr>
        <w:tc>
          <w:tcPr/>
          <w:p>
            <w:pPr>
              <w:pStyle w:val="Compact"/>
            </w:pPr>
            <w:r>
              <w:t xml:space="preserve">R-005</w:t>
            </w:r>
          </w:p>
        </w:tc>
        <w:tc>
          <w:tcPr/>
          <w:p>
            <w:pPr>
              <w:pStyle w:val="Compact"/>
            </w:pPr>
            <w:r>
              <w:t xml:space="preserve">Unprovisioned Entra users may become viewers</w:t>
            </w:r>
          </w:p>
        </w:tc>
        <w:tc>
          <w:tcPr/>
          <w:p>
            <w:pPr>
              <w:pStyle w:val="Compact"/>
            </w:pPr>
            <w:r>
              <w:t xml:space="preserve">Security</w:t>
            </w:r>
          </w:p>
        </w:tc>
        <w:tc>
          <w:tcPr/>
          <w:p>
            <w:pPr>
              <w:pStyle w:val="Compact"/>
              <w:jc w:val="right"/>
            </w:pPr>
            <w:r>
              <w:t xml:space="preserve">5</w:t>
            </w:r>
          </w:p>
        </w:tc>
        <w:tc>
          <w:tcPr/>
          <w:p>
            <w:pPr>
              <w:pStyle w:val="Compact"/>
              <w:jc w:val="right"/>
            </w:pPr>
            <w:r>
              <w:t xml:space="preserve">3</w:t>
            </w:r>
          </w:p>
        </w:tc>
        <w:tc>
          <w:tcPr/>
          <w:p>
            <w:pPr>
              <w:pStyle w:val="Compact"/>
              <w:jc w:val="right"/>
            </w:pPr>
            <w:r>
              <w:t xml:space="preserve">15</w:t>
            </w:r>
          </w:p>
        </w:tc>
        <w:tc>
          <w:tcPr/>
          <w:p>
            <w:pPr>
              <w:pStyle w:val="Compact"/>
            </w:pPr>
            <w:r>
              <w:t xml:space="preserve">P0</w:t>
            </w:r>
          </w:p>
        </w:tc>
        <w:tc>
          <w:tcPr/>
          <w:p>
            <w:pPr>
              <w:pStyle w:val="Compact"/>
            </w:pPr>
            <w:r>
              <w:rPr>
                <w:rStyle w:val="VerbatimChar"/>
              </w:rPr>
              <w:t xml:space="preserve">server/src/auth/middleware.ts</w:t>
            </w:r>
          </w:p>
        </w:tc>
        <w:tc>
          <w:tcPr/>
          <w:p>
            <w:pPr>
              <w:pStyle w:val="Compact"/>
            </w:pPr>
            <w:r>
              <w:t xml:space="preserve">Require active user row bound to tenant/org; deny unknown users.</w:t>
            </w:r>
          </w:p>
        </w:tc>
      </w:tr>
      <w:tr>
        <w:tc>
          <w:tcPr/>
          <w:p>
            <w:pPr>
              <w:pStyle w:val="Compact"/>
            </w:pPr>
            <w:r>
              <w:t xml:space="preserve">R-006</w:t>
            </w:r>
          </w:p>
        </w:tc>
        <w:tc>
          <w:tcPr/>
          <w:p>
            <w:pPr>
              <w:pStyle w:val="Compact"/>
            </w:pPr>
            <w:r>
              <w:t xml:space="preserve">Tenant/org RLS context mismatch across tables</w:t>
            </w:r>
          </w:p>
        </w:tc>
        <w:tc>
          <w:tcPr/>
          <w:p>
            <w:pPr>
              <w:pStyle w:val="Compact"/>
            </w:pPr>
            <w:r>
              <w:t xml:space="preserve">Security/Privacy</w:t>
            </w:r>
          </w:p>
        </w:tc>
        <w:tc>
          <w:tcPr/>
          <w:p>
            <w:pPr>
              <w:pStyle w:val="Compact"/>
              <w:jc w:val="right"/>
            </w:pPr>
            <w:r>
              <w:t xml:space="preserve">5</w:t>
            </w:r>
          </w:p>
        </w:tc>
        <w:tc>
          <w:tcPr/>
          <w:p>
            <w:pPr>
              <w:pStyle w:val="Compact"/>
              <w:jc w:val="right"/>
            </w:pPr>
            <w:r>
              <w:t xml:space="preserve">3</w:t>
            </w:r>
          </w:p>
        </w:tc>
        <w:tc>
          <w:tcPr/>
          <w:p>
            <w:pPr>
              <w:pStyle w:val="Compact"/>
              <w:jc w:val="right"/>
            </w:pPr>
            <w:r>
              <w:t xml:space="preserve">15</w:t>
            </w:r>
          </w:p>
        </w:tc>
        <w:tc>
          <w:tcPr/>
          <w:p>
            <w:pPr>
              <w:pStyle w:val="Compact"/>
            </w:pPr>
            <w:r>
              <w:t xml:space="preserve">P0</w:t>
            </w:r>
          </w:p>
        </w:tc>
        <w:tc>
          <w:tcPr/>
          <w:p>
            <w:pPr>
              <w:pStyle w:val="Compact"/>
            </w:pPr>
            <w:r>
              <w:rPr>
                <w:rStyle w:val="VerbatimChar"/>
              </w:rPr>
              <w:t xml:space="preserve">withTenant</w:t>
            </w:r>
            <w:r>
              <w:t xml:space="preserve">, old/new schema variables</w:t>
            </w:r>
          </w:p>
        </w:tc>
        <w:tc>
          <w:tcPr/>
          <w:p>
            <w:pPr>
              <w:pStyle w:val="Compact"/>
            </w:pPr>
            <w:r>
              <w:t xml:space="preserve">Standardize tenant context and add Postgres RLS integration tests.</w:t>
            </w:r>
          </w:p>
        </w:tc>
      </w:tr>
      <w:tr>
        <w:tc>
          <w:tcPr/>
          <w:p>
            <w:pPr>
              <w:pStyle w:val="Compact"/>
            </w:pPr>
            <w:r>
              <w:t xml:space="preserve">R-007</w:t>
            </w:r>
          </w:p>
        </w:tc>
        <w:tc>
          <w:tcPr/>
          <w:p>
            <w:pPr>
              <w:pStyle w:val="Compact"/>
            </w:pPr>
            <w:r>
              <w:t xml:space="preserve">Lint gate fails by configuration</w:t>
            </w:r>
          </w:p>
        </w:tc>
        <w:tc>
          <w:tcPr/>
          <w:p>
            <w:pPr>
              <w:pStyle w:val="Compact"/>
            </w:pPr>
            <w:r>
              <w:t xml:space="preserve">Engineering</w:t>
            </w:r>
          </w:p>
        </w:tc>
        <w:tc>
          <w:tcPr/>
          <w:p>
            <w:pPr>
              <w:pStyle w:val="Compact"/>
              <w:jc w:val="right"/>
            </w:pPr>
            <w:r>
              <w:t xml:space="preserve">3</w:t>
            </w:r>
          </w:p>
        </w:tc>
        <w:tc>
          <w:tcPr/>
          <w:p>
            <w:pPr>
              <w:pStyle w:val="Compact"/>
              <w:jc w:val="right"/>
            </w:pPr>
            <w:r>
              <w:t xml:space="preserve">5</w:t>
            </w:r>
          </w:p>
        </w:tc>
        <w:tc>
          <w:tcPr/>
          <w:p>
            <w:pPr>
              <w:pStyle w:val="Compact"/>
              <w:jc w:val="right"/>
            </w:pPr>
            <w:r>
              <w:t xml:space="preserve">15</w:t>
            </w:r>
          </w:p>
        </w:tc>
        <w:tc>
          <w:tcPr/>
          <w:p>
            <w:pPr>
              <w:pStyle w:val="Compact"/>
            </w:pPr>
            <w:r>
              <w:t xml:space="preserve">P1</w:t>
            </w:r>
          </w:p>
        </w:tc>
        <w:tc>
          <w:tcPr/>
          <w:p>
            <w:pPr>
              <w:pStyle w:val="Compact"/>
            </w:pPr>
            <w:r>
              <w:rPr>
                <w:rStyle w:val="VerbatimChar"/>
              </w:rPr>
              <w:t xml:space="preserve">eslint.config.mjs</w:t>
            </w:r>
            <w:r>
              <w:t xml:space="preserve">, root script</w:t>
            </w:r>
          </w:p>
        </w:tc>
        <w:tc>
          <w:tcPr/>
          <w:p>
            <w:pPr>
              <w:pStyle w:val="Compact"/>
            </w:pPr>
            <w:r>
              <w:t xml:space="preserve">Split root/server lint configs or remove ignored glob.</w:t>
            </w:r>
          </w:p>
        </w:tc>
      </w:tr>
      <w:tr>
        <w:tc>
          <w:tcPr/>
          <w:p>
            <w:pPr>
              <w:pStyle w:val="Compact"/>
            </w:pPr>
            <w:r>
              <w:t xml:space="preserve">R-008</w:t>
            </w:r>
          </w:p>
        </w:tc>
        <w:tc>
          <w:tcPr/>
          <w:p>
            <w:pPr>
              <w:pStyle w:val="Compact"/>
            </w:pPr>
            <w:r>
              <w:t xml:space="preserve">Offline browser-AI bundle exceeds size budget</w:t>
            </w:r>
          </w:p>
        </w:tc>
        <w:tc>
          <w:tcPr/>
          <w:p>
            <w:pPr>
              <w:pStyle w:val="Compact"/>
            </w:pPr>
            <w:r>
              <w:t xml:space="preserve">Performance</w:t>
            </w:r>
          </w:p>
        </w:tc>
        <w:tc>
          <w:tcPr/>
          <w:p>
            <w:pPr>
              <w:pStyle w:val="Compact"/>
              <w:jc w:val="right"/>
            </w:pPr>
            <w:r>
              <w:t xml:space="preserve">2</w:t>
            </w:r>
          </w:p>
        </w:tc>
        <w:tc>
          <w:tcPr/>
          <w:p>
            <w:pPr>
              <w:pStyle w:val="Compact"/>
              <w:jc w:val="right"/>
            </w:pPr>
            <w:r>
              <w:t xml:space="preserve">5</w:t>
            </w:r>
          </w:p>
        </w:tc>
        <w:tc>
          <w:tcPr/>
          <w:p>
            <w:pPr>
              <w:pStyle w:val="Compact"/>
              <w:jc w:val="right"/>
            </w:pPr>
            <w:r>
              <w:t xml:space="preserve">10</w:t>
            </w:r>
          </w:p>
        </w:tc>
        <w:tc>
          <w:tcPr/>
          <w:p>
            <w:pPr>
              <w:pStyle w:val="Compact"/>
            </w:pPr>
            <w:r>
              <w:t xml:space="preserve">P2</w:t>
            </w:r>
          </w:p>
        </w:tc>
        <w:tc>
          <w:tcPr/>
          <w:p>
            <w:pPr>
              <w:pStyle w:val="Compact"/>
            </w:pPr>
            <w:r>
              <w:rPr>
                <w:rStyle w:val="VerbatimChar"/>
              </w:rPr>
              <w:t xml:space="preserve">assert-bundle-size</w:t>
            </w:r>
            <w:r>
              <w:t xml:space="preserve"> </w:t>
            </w:r>
            <w:r>
              <w:t xml:space="preserve">output</w:t>
            </w:r>
          </w:p>
        </w:tc>
        <w:tc>
          <w:tcPr/>
          <w:p>
            <w:pPr>
              <w:pStyle w:val="Compact"/>
            </w:pPr>
            <w:r>
              <w:t xml:space="preserve">Analyze and reduce bundle or approve updated budget.</w:t>
            </w:r>
          </w:p>
        </w:tc>
      </w:tr>
      <w:tr>
        <w:tc>
          <w:tcPr/>
          <w:p>
            <w:pPr>
              <w:pStyle w:val="Compact"/>
            </w:pPr>
            <w:r>
              <w:t xml:space="preserve">R-009</w:t>
            </w:r>
          </w:p>
        </w:tc>
        <w:tc>
          <w:tcPr/>
          <w:p>
            <w:pPr>
              <w:pStyle w:val="Compact"/>
            </w:pPr>
            <w:r>
              <w:t xml:space="preserve">Accessibility evidence is mostly incomplete for authenticated app</w:t>
            </w:r>
          </w:p>
        </w:tc>
        <w:tc>
          <w:tcPr/>
          <w:p>
            <w:pPr>
              <w:pStyle w:val="Compact"/>
            </w:pPr>
            <w:r>
              <w:t xml:space="preserve">Compliance</w:t>
            </w:r>
          </w:p>
        </w:tc>
        <w:tc>
          <w:tcPr/>
          <w:p>
            <w:pPr>
              <w:pStyle w:val="Compact"/>
              <w:jc w:val="right"/>
            </w:pPr>
            <w:r>
              <w:t xml:space="preserve">4</w:t>
            </w:r>
          </w:p>
        </w:tc>
        <w:tc>
          <w:tcPr/>
          <w:p>
            <w:pPr>
              <w:pStyle w:val="Compact"/>
              <w:jc w:val="right"/>
            </w:pPr>
            <w:r>
              <w:t xml:space="preserve">4</w:t>
            </w:r>
          </w:p>
        </w:tc>
        <w:tc>
          <w:tcPr/>
          <w:p>
            <w:pPr>
              <w:pStyle w:val="Compact"/>
              <w:jc w:val="right"/>
            </w:pPr>
            <w:r>
              <w:t xml:space="preserve">16</w:t>
            </w:r>
          </w:p>
        </w:tc>
        <w:tc>
          <w:tcPr/>
          <w:p>
            <w:pPr>
              <w:pStyle w:val="Compact"/>
            </w:pPr>
            <w:r>
              <w:t xml:space="preserve">P1</w:t>
            </w:r>
          </w:p>
        </w:tc>
        <w:tc>
          <w:tcPr/>
          <w:p>
            <w:pPr>
              <w:pStyle w:val="Compact"/>
            </w:pPr>
            <w:r>
              <w:t xml:space="preserve">100 todo tests, CI disabled contrast</w:t>
            </w:r>
          </w:p>
        </w:tc>
        <w:tc>
          <w:tcPr/>
          <w:p>
            <w:pPr>
              <w:pStyle w:val="Compact"/>
            </w:pPr>
            <w:r>
              <w:t xml:space="preserve">Activate Playwright/axe tests and fix focus/contrast gaps.</w:t>
            </w:r>
          </w:p>
        </w:tc>
      </w:tr>
      <w:tr>
        <w:tc>
          <w:tcPr/>
          <w:p>
            <w:pPr>
              <w:pStyle w:val="Compact"/>
            </w:pPr>
            <w:r>
              <w:t xml:space="preserve">R-010</w:t>
            </w:r>
          </w:p>
        </w:tc>
        <w:tc>
          <w:tcPr/>
          <w:p>
            <w:pPr>
              <w:pStyle w:val="Compact"/>
            </w:pPr>
            <w:r>
              <w:t xml:space="preserve">AI governance policy exists but management-system evidence is incomplete</w:t>
            </w:r>
          </w:p>
        </w:tc>
        <w:tc>
          <w:tcPr/>
          <w:p>
            <w:pPr>
              <w:pStyle w:val="Compact"/>
            </w:pPr>
            <w:r>
              <w:t xml:space="preserve">Compliance/AI</w:t>
            </w:r>
          </w:p>
        </w:tc>
        <w:tc>
          <w:tcPr/>
          <w:p>
            <w:pPr>
              <w:pStyle w:val="Compact"/>
              <w:jc w:val="right"/>
            </w:pPr>
            <w:r>
              <w:t xml:space="preserve">4</w:t>
            </w:r>
          </w:p>
        </w:tc>
        <w:tc>
          <w:tcPr/>
          <w:p>
            <w:pPr>
              <w:pStyle w:val="Compact"/>
              <w:jc w:val="right"/>
            </w:pPr>
            <w:r>
              <w:t xml:space="preserve">4</w:t>
            </w:r>
          </w:p>
        </w:tc>
        <w:tc>
          <w:tcPr/>
          <w:p>
            <w:pPr>
              <w:pStyle w:val="Compact"/>
              <w:jc w:val="right"/>
            </w:pPr>
            <w:r>
              <w:t xml:space="preserve">16</w:t>
            </w:r>
          </w:p>
        </w:tc>
        <w:tc>
          <w:tcPr/>
          <w:p>
            <w:pPr>
              <w:pStyle w:val="Compact"/>
            </w:pPr>
            <w:r>
              <w:t xml:space="preserve">P1</w:t>
            </w:r>
          </w:p>
        </w:tc>
        <w:tc>
          <w:tcPr/>
          <w:p>
            <w:pPr>
              <w:pStyle w:val="Compact"/>
            </w:pPr>
            <w:r>
              <w:t xml:space="preserve">ISO 42001 evidence map</w:t>
            </w:r>
          </w:p>
        </w:tc>
        <w:tc>
          <w:tcPr/>
          <w:p>
            <w:pPr>
              <w:pStyle w:val="Compact"/>
            </w:pPr>
            <w:r>
              <w:t xml:space="preserve">Add AI risk register, roles, incident response, model cards, audit cycle.</w:t>
            </w:r>
          </w:p>
        </w:tc>
      </w:tr>
      <w:tr>
        <w:tc>
          <w:tcPr/>
          <w:p>
            <w:pPr>
              <w:pStyle w:val="Compact"/>
            </w:pPr>
            <w:r>
              <w:t xml:space="preserve">R-011</w:t>
            </w:r>
          </w:p>
        </w:tc>
        <w:tc>
          <w:tcPr/>
          <w:p>
            <w:pPr>
              <w:pStyle w:val="Compact"/>
            </w:pPr>
            <w:r>
              <w:t xml:space="preserve">Cloud AI path could transmit personal data without complete DPA/DPIA controls</w:t>
            </w:r>
          </w:p>
        </w:tc>
        <w:tc>
          <w:tcPr/>
          <w:p>
            <w:pPr>
              <w:pStyle w:val="Compact"/>
            </w:pPr>
            <w:r>
              <w:t xml:space="preserve">Privacy/AI</w:t>
            </w:r>
          </w:p>
        </w:tc>
        <w:tc>
          <w:tcPr/>
          <w:p>
            <w:pPr>
              <w:pStyle w:val="Compact"/>
              <w:jc w:val="right"/>
            </w:pPr>
            <w:r>
              <w:t xml:space="preserve">5</w:t>
            </w:r>
          </w:p>
        </w:tc>
        <w:tc>
          <w:tcPr/>
          <w:p>
            <w:pPr>
              <w:pStyle w:val="Compact"/>
              <w:jc w:val="right"/>
            </w:pPr>
            <w:r>
              <w:t xml:space="preserve">2</w:t>
            </w:r>
          </w:p>
        </w:tc>
        <w:tc>
          <w:tcPr/>
          <w:p>
            <w:pPr>
              <w:pStyle w:val="Compact"/>
              <w:jc w:val="right"/>
            </w:pPr>
            <w:r>
              <w:t xml:space="preserve">10</w:t>
            </w:r>
          </w:p>
        </w:tc>
        <w:tc>
          <w:tcPr/>
          <w:p>
            <w:pPr>
              <w:pStyle w:val="Compact"/>
            </w:pPr>
            <w:r>
              <w:t xml:space="preserve">P1</w:t>
            </w:r>
          </w:p>
        </w:tc>
        <w:tc>
          <w:tcPr/>
          <w:p>
            <w:pPr>
              <w:pStyle w:val="Compact"/>
            </w:pPr>
            <w:r>
              <w:t xml:space="preserve">AI governance cloud profile notes</w:t>
            </w:r>
          </w:p>
        </w:tc>
        <w:tc>
          <w:tcPr/>
          <w:p>
            <w:pPr>
              <w:pStyle w:val="Compact"/>
            </w:pPr>
            <w:r>
              <w:t xml:space="preserve">Keep cloud disabled until DPA, consent, redaction, and tenant policy are complete.</w:t>
            </w:r>
          </w:p>
        </w:tc>
      </w:tr>
      <w:tr>
        <w:tc>
          <w:tcPr/>
          <w:p>
            <w:pPr>
              <w:pStyle w:val="Compact"/>
            </w:pPr>
            <w:r>
              <w:t xml:space="preserve">R-012</w:t>
            </w:r>
          </w:p>
        </w:tc>
        <w:tc>
          <w:tcPr/>
          <w:p>
            <w:pPr>
              <w:pStyle w:val="Compact"/>
            </w:pPr>
            <w:r>
              <w:t xml:space="preserve">KMS erasure workflow is partial</w:t>
            </w:r>
          </w:p>
        </w:tc>
        <w:tc>
          <w:tcPr/>
          <w:p>
            <w:pPr>
              <w:pStyle w:val="Compact"/>
            </w:pPr>
            <w:r>
              <w:t xml:space="preserve">Privacy/GDPR</w:t>
            </w:r>
          </w:p>
        </w:tc>
        <w:tc>
          <w:tcPr/>
          <w:p>
            <w:pPr>
              <w:pStyle w:val="Compact"/>
              <w:jc w:val="right"/>
            </w:pPr>
            <w:r>
              <w:t xml:space="preserve">5</w:t>
            </w:r>
          </w:p>
        </w:tc>
        <w:tc>
          <w:tcPr/>
          <w:p>
            <w:pPr>
              <w:pStyle w:val="Compact"/>
              <w:jc w:val="right"/>
            </w:pPr>
            <w:r>
              <w:t xml:space="preserve">3</w:t>
            </w:r>
          </w:p>
        </w:tc>
        <w:tc>
          <w:tcPr/>
          <w:p>
            <w:pPr>
              <w:pStyle w:val="Compact"/>
              <w:jc w:val="right"/>
            </w:pPr>
            <w:r>
              <w:t xml:space="preserve">15</w:t>
            </w:r>
          </w:p>
        </w:tc>
        <w:tc>
          <w:tcPr/>
          <w:p>
            <w:pPr>
              <w:pStyle w:val="Compact"/>
            </w:pPr>
            <w:r>
              <w:t xml:space="preserve">P1</w:t>
            </w:r>
          </w:p>
        </w:tc>
        <w:tc>
          <w:tcPr/>
          <w:p>
            <w:pPr>
              <w:pStyle w:val="Compact"/>
            </w:pPr>
            <w:r>
              <w:rPr>
                <w:rStyle w:val="VerbatimChar"/>
              </w:rPr>
              <w:t xml:space="preserve">admin.ts</w:t>
            </w:r>
            <w:r>
              <w:t xml:space="preserve">,</w:t>
            </w:r>
            <w:r>
              <w:t xml:space="preserve"> </w:t>
            </w:r>
            <w:r>
              <w:rPr>
                <w:rStyle w:val="VerbatimChar"/>
              </w:rPr>
              <w:t xml:space="preserve">kms/*</w:t>
            </w:r>
          </w:p>
        </w:tc>
        <w:tc>
          <w:tcPr/>
          <w:p>
            <w:pPr>
              <w:pStyle w:val="Compact"/>
            </w:pPr>
            <w:r>
              <w:t xml:space="preserve">Implement full DSAR runbook, key destruction receipt, legal hold, user suspension, and audit evidence.</w:t>
            </w:r>
          </w:p>
        </w:tc>
      </w:tr>
      <w:tr>
        <w:tc>
          <w:tcPr/>
          <w:p>
            <w:pPr>
              <w:pStyle w:val="Compact"/>
            </w:pPr>
            <w:r>
              <w:t xml:space="preserve">R-013</w:t>
            </w:r>
          </w:p>
        </w:tc>
        <w:tc>
          <w:tcPr/>
          <w:p>
            <w:pPr>
              <w:pStyle w:val="Compact"/>
            </w:pPr>
            <w:r>
              <w:t xml:space="preserve">CI has duplicate/overlapping workflows and nonblocking gates</w:t>
            </w:r>
          </w:p>
        </w:tc>
        <w:tc>
          <w:tcPr/>
          <w:p>
            <w:pPr>
              <w:pStyle w:val="Compact"/>
            </w:pPr>
            <w:r>
              <w:t xml:space="preserve">DevOps</w:t>
            </w:r>
          </w:p>
        </w:tc>
        <w:tc>
          <w:tcPr/>
          <w:p>
            <w:pPr>
              <w:pStyle w:val="Compact"/>
              <w:jc w:val="right"/>
            </w:pPr>
            <w:r>
              <w:t xml:space="preserve">3</w:t>
            </w:r>
          </w:p>
        </w:tc>
        <w:tc>
          <w:tcPr/>
          <w:p>
            <w:pPr>
              <w:pStyle w:val="Compact"/>
              <w:jc w:val="right"/>
            </w:pPr>
            <w:r>
              <w:t xml:space="preserve">4</w:t>
            </w:r>
          </w:p>
        </w:tc>
        <w:tc>
          <w:tcPr/>
          <w:p>
            <w:pPr>
              <w:pStyle w:val="Compact"/>
              <w:jc w:val="right"/>
            </w:pPr>
            <w:r>
              <w:t xml:space="preserve">12</w:t>
            </w:r>
          </w:p>
        </w:tc>
        <w:tc>
          <w:tcPr/>
          <w:p>
            <w:pPr>
              <w:pStyle w:val="Compact"/>
            </w:pPr>
            <w:r>
              <w:t xml:space="preserve">P2</w:t>
            </w:r>
          </w:p>
        </w:tc>
        <w:tc>
          <w:tcPr/>
          <w:p>
            <w:pPr>
              <w:pStyle w:val="Compact"/>
            </w:pPr>
            <w:r>
              <w:rPr>
                <w:rStyle w:val="VerbatimChar"/>
              </w:rPr>
              <w:t xml:space="preserve">.github/workflows/*</w:t>
            </w:r>
          </w:p>
        </w:tc>
        <w:tc>
          <w:tcPr/>
          <w:p>
            <w:pPr>
              <w:pStyle w:val="Compact"/>
            </w:pPr>
            <w:r>
              <w:t xml:space="preserve">Consolidate CI and make release-critical gates blocking.</w:t>
            </w:r>
          </w:p>
        </w:tc>
      </w:tr>
      <w:tr>
        <w:tc>
          <w:tcPr/>
          <w:p>
            <w:pPr>
              <w:pStyle w:val="Compact"/>
            </w:pPr>
            <w:r>
              <w:t xml:space="preserve">R-014</w:t>
            </w:r>
          </w:p>
        </w:tc>
        <w:tc>
          <w:tcPr/>
          <w:p>
            <w:pPr>
              <w:pStyle w:val="Compact"/>
            </w:pPr>
            <w:r>
              <w:t xml:space="preserve">Docker Compose uses</w:t>
            </w:r>
            <w:r>
              <w:t xml:space="preserve"> </w:t>
            </w:r>
            <w:r>
              <w:rPr>
                <w:rStyle w:val="VerbatimChar"/>
              </w:rPr>
              <w:t xml:space="preserve">latest</w:t>
            </w:r>
            <w:r>
              <w:t xml:space="preserve"> </w:t>
            </w:r>
            <w:r>
              <w:t xml:space="preserve">images and dev defaults</w:t>
            </w:r>
          </w:p>
        </w:tc>
        <w:tc>
          <w:tcPr/>
          <w:p>
            <w:pPr>
              <w:pStyle w:val="Compact"/>
            </w:pPr>
            <w:r>
              <w:t xml:space="preserve">DevOps/Security</w:t>
            </w:r>
          </w:p>
        </w:tc>
        <w:tc>
          <w:tcPr/>
          <w:p>
            <w:pPr>
              <w:pStyle w:val="Compact"/>
              <w:jc w:val="right"/>
            </w:pPr>
            <w:r>
              <w:t xml:space="preserve">3</w:t>
            </w:r>
          </w:p>
        </w:tc>
        <w:tc>
          <w:tcPr/>
          <w:p>
            <w:pPr>
              <w:pStyle w:val="Compact"/>
              <w:jc w:val="right"/>
            </w:pPr>
            <w:r>
              <w:t xml:space="preserve">4</w:t>
            </w:r>
          </w:p>
        </w:tc>
        <w:tc>
          <w:tcPr/>
          <w:p>
            <w:pPr>
              <w:pStyle w:val="Compact"/>
              <w:jc w:val="right"/>
            </w:pPr>
            <w:r>
              <w:t xml:space="preserve">12</w:t>
            </w:r>
          </w:p>
        </w:tc>
        <w:tc>
          <w:tcPr/>
          <w:p>
            <w:pPr>
              <w:pStyle w:val="Compact"/>
            </w:pPr>
            <w:r>
              <w:t xml:space="preserve">P2</w:t>
            </w:r>
          </w:p>
        </w:tc>
        <w:tc>
          <w:tcPr/>
          <w:p>
            <w:pPr>
              <w:pStyle w:val="Compact"/>
            </w:pPr>
            <w:r>
              <w:rPr>
                <w:rStyle w:val="VerbatimChar"/>
              </w:rPr>
              <w:t xml:space="preserve">docker-compose.yml</w:t>
            </w:r>
          </w:p>
        </w:tc>
        <w:tc>
          <w:tcPr/>
          <w:p>
            <w:pPr>
              <w:pStyle w:val="Compact"/>
            </w:pPr>
            <w:r>
              <w:t xml:space="preserve">Pin images by version/digest; remove</w:t>
            </w:r>
            <w:r>
              <w:t xml:space="preserve"> </w:t>
            </w:r>
            <w:r>
              <w:rPr>
                <w:rStyle w:val="VerbatimChar"/>
              </w:rPr>
              <w:t xml:space="preserve">changeme</w:t>
            </w:r>
            <w:r>
              <w:t xml:space="preserve">; separate dev/prod compose.</w:t>
            </w:r>
          </w:p>
        </w:tc>
      </w:tr>
      <w:tr>
        <w:tc>
          <w:tcPr/>
          <w:p>
            <w:pPr>
              <w:pStyle w:val="Compact"/>
            </w:pPr>
            <w:r>
              <w:t xml:space="preserve">R-015</w:t>
            </w:r>
          </w:p>
        </w:tc>
        <w:tc>
          <w:tcPr/>
          <w:p>
            <w:pPr>
              <w:pStyle w:val="Compact"/>
            </w:pPr>
            <w:r>
              <w:t xml:space="preserve">No SBOM/provenance/signing evidence for release artifact</w:t>
            </w:r>
          </w:p>
        </w:tc>
        <w:tc>
          <w:tcPr/>
          <w:p>
            <w:pPr>
              <w:pStyle w:val="Compact"/>
            </w:pPr>
            <w:r>
              <w:t xml:space="preserve">Supply chain</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pPr>
            <w:r>
              <w:t xml:space="preserve">P2</w:t>
            </w:r>
          </w:p>
        </w:tc>
        <w:tc>
          <w:tcPr/>
          <w:p>
            <w:pPr>
              <w:pStyle w:val="Compact"/>
            </w:pPr>
            <w:r>
              <w:t xml:space="preserve">Release workflow</w:t>
            </w:r>
          </w:p>
        </w:tc>
        <w:tc>
          <w:tcPr/>
          <w:p>
            <w:pPr>
              <w:pStyle w:val="Compact"/>
            </w:pPr>
            <w:r>
              <w:t xml:space="preserve">Add CycloneDX/SPDX SBOM, SLSA provenance, artifact signature.</w:t>
            </w:r>
          </w:p>
        </w:tc>
      </w:tr>
      <w:tr>
        <w:tc>
          <w:tcPr/>
          <w:p>
            <w:pPr>
              <w:pStyle w:val="Compact"/>
            </w:pPr>
            <w:r>
              <w:t xml:space="preserve">R-016</w:t>
            </w:r>
          </w:p>
        </w:tc>
        <w:tc>
          <w:tcPr/>
          <w:p>
            <w:pPr>
              <w:pStyle w:val="Compact"/>
            </w:pPr>
            <w:r>
              <w:t xml:space="preserve">OTel/SIEM observability is partly design-level</w:t>
            </w:r>
          </w:p>
        </w:tc>
        <w:tc>
          <w:tcPr/>
          <w:p>
            <w:pPr>
              <w:pStyle w:val="Compact"/>
            </w:pPr>
            <w:r>
              <w:t xml:space="preserve">Operations</w:t>
            </w:r>
          </w:p>
        </w:tc>
        <w:tc>
          <w:tcPr/>
          <w:p>
            <w:pPr>
              <w:pStyle w:val="Compact"/>
              <w:jc w:val="right"/>
            </w:pPr>
            <w:r>
              <w:t xml:space="preserve">3</w:t>
            </w:r>
          </w:p>
        </w:tc>
        <w:tc>
          <w:tcPr/>
          <w:p>
            <w:pPr>
              <w:pStyle w:val="Compact"/>
              <w:jc w:val="right"/>
            </w:pPr>
            <w:r>
              <w:t xml:space="preserve">4</w:t>
            </w:r>
          </w:p>
        </w:tc>
        <w:tc>
          <w:tcPr/>
          <w:p>
            <w:pPr>
              <w:pStyle w:val="Compact"/>
              <w:jc w:val="right"/>
            </w:pPr>
            <w:r>
              <w:t xml:space="preserve">12</w:t>
            </w:r>
          </w:p>
        </w:tc>
        <w:tc>
          <w:tcPr/>
          <w:p>
            <w:pPr>
              <w:pStyle w:val="Compact"/>
            </w:pPr>
            <w:r>
              <w:t xml:space="preserve">P2</w:t>
            </w:r>
          </w:p>
        </w:tc>
        <w:tc>
          <w:tcPr/>
          <w:p>
            <w:pPr>
              <w:pStyle w:val="Compact"/>
            </w:pPr>
            <w:r>
              <w:t xml:space="preserve">ADR 0008</w:t>
            </w:r>
          </w:p>
        </w:tc>
        <w:tc>
          <w:tcPr/>
          <w:p>
            <w:pPr>
              <w:pStyle w:val="Compact"/>
            </w:pPr>
            <w:r>
              <w:t xml:space="preserve">Prove dashboards, alerts, SIEM forwarding, and redaction tests.</w:t>
            </w:r>
          </w:p>
        </w:tc>
      </w:tr>
      <w:tr>
        <w:tc>
          <w:tcPr/>
          <w:p>
            <w:pPr>
              <w:pStyle w:val="Compact"/>
            </w:pPr>
            <w:r>
              <w:t xml:space="preserve">R-017</w:t>
            </w:r>
          </w:p>
        </w:tc>
        <w:tc>
          <w:tcPr/>
          <w:p>
            <w:pPr>
              <w:pStyle w:val="Compact"/>
            </w:pPr>
            <w:r>
              <w:t xml:space="preserve">Server readiness probe depends on KMS and env names are inconsistent</w:t>
            </w:r>
          </w:p>
        </w:tc>
        <w:tc>
          <w:tcPr/>
          <w:p>
            <w:pPr>
              <w:pStyle w:val="Compact"/>
            </w:pPr>
            <w:r>
              <w:t xml:space="preserve">Operations</w:t>
            </w:r>
          </w:p>
        </w:tc>
        <w:tc>
          <w:tcPr/>
          <w:p>
            <w:pPr>
              <w:pStyle w:val="Compact"/>
              <w:jc w:val="right"/>
            </w:pPr>
            <w:r>
              <w:t xml:space="preserve">3</w:t>
            </w:r>
          </w:p>
        </w:tc>
        <w:tc>
          <w:tcPr/>
          <w:p>
            <w:pPr>
              <w:pStyle w:val="Compact"/>
              <w:jc w:val="right"/>
            </w:pPr>
            <w:r>
              <w:t xml:space="preserve">3</w:t>
            </w:r>
          </w:p>
        </w:tc>
        <w:tc>
          <w:tcPr/>
          <w:p>
            <w:pPr>
              <w:pStyle w:val="Compact"/>
              <w:jc w:val="right"/>
            </w:pPr>
            <w:r>
              <w:t xml:space="preserve">9</w:t>
            </w:r>
          </w:p>
        </w:tc>
        <w:tc>
          <w:tcPr/>
          <w:p>
            <w:pPr>
              <w:pStyle w:val="Compact"/>
            </w:pPr>
            <w:r>
              <w:t xml:space="preserve">P3</w:t>
            </w:r>
          </w:p>
        </w:tc>
        <w:tc>
          <w:tcPr/>
          <w:p>
            <w:pPr>
              <w:pStyle w:val="Compact"/>
            </w:pPr>
            <w:r>
              <w:rPr>
                <w:rStyle w:val="VerbatimChar"/>
              </w:rPr>
              <w:t xml:space="preserve">health.ts</w:t>
            </w:r>
            <w:r>
              <w:t xml:space="preserve">, KMS services</w:t>
            </w:r>
          </w:p>
        </w:tc>
        <w:tc>
          <w:tcPr/>
          <w:p>
            <w:pPr>
              <w:pStyle w:val="Compact"/>
            </w:pPr>
            <w:r>
              <w:t xml:space="preserve">Standardize env vars and define dependency readiness semantics.</w:t>
            </w:r>
          </w:p>
        </w:tc>
      </w:tr>
      <w:tr>
        <w:tc>
          <w:tcPr/>
          <w:p>
            <w:pPr>
              <w:pStyle w:val="Compact"/>
            </w:pPr>
            <w:r>
              <w:t xml:space="preserve">R-018</w:t>
            </w:r>
          </w:p>
        </w:tc>
        <w:tc>
          <w:tcPr/>
          <w:p>
            <w:pPr>
              <w:pStyle w:val="Compact"/>
            </w:pPr>
            <w:r>
              <w:t xml:space="preserve">Mobile/native profile lacks device security evidence</w:t>
            </w:r>
          </w:p>
        </w:tc>
        <w:tc>
          <w:tcPr/>
          <w:p>
            <w:pPr>
              <w:pStyle w:val="Compact"/>
            </w:pPr>
            <w:r>
              <w:t xml:space="preserve">Mobile</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pPr>
            <w:r>
              <w:t xml:space="preserve">P2</w:t>
            </w:r>
          </w:p>
        </w:tc>
        <w:tc>
          <w:tcPr/>
          <w:p>
            <w:pPr>
              <w:pStyle w:val="Compact"/>
            </w:pPr>
            <w:r>
              <w:t xml:space="preserve">mobile adapter todo tests</w:t>
            </w:r>
          </w:p>
        </w:tc>
        <w:tc>
          <w:tcPr/>
          <w:p>
            <w:pPr>
              <w:pStyle w:val="Compact"/>
            </w:pPr>
            <w:r>
              <w:t xml:space="preserve">Complete Capacitor storage, biometrics, MITM, and release IPA/APK checks.</w:t>
            </w:r>
          </w:p>
        </w:tc>
      </w:tr>
    </w:tbl>
    <w:bookmarkStart w:id="55" w:name="p0-exit-criteria"/>
    <w:p>
      <w:pPr>
        <w:pStyle w:val="Heading2"/>
      </w:pPr>
      <w:r>
        <w:t xml:space="preserve">P0 Exit Criteria</w:t>
      </w:r>
    </w:p>
    <w:p>
      <w:pPr>
        <w:pStyle w:val="FirstParagraph"/>
      </w:pPr>
      <w:r>
        <w:t xml:space="preserve">All P0 items must be closed before enterprise production use:</w:t>
      </w:r>
    </w:p>
    <w:p>
      <w:pPr>
        <w:pStyle w:val="Compact"/>
        <w:numPr>
          <w:ilvl w:val="0"/>
          <w:numId w:val="1043"/>
        </w:numPr>
      </w:pPr>
      <w:r>
        <w:rPr>
          <w:rStyle w:val="VerbatimChar"/>
        </w:rPr>
        <w:t xml:space="preserve">pnpm run typecheck</w:t>
      </w:r>
      <w:r>
        <w:t xml:space="preserve"> </w:t>
      </w:r>
      <w:r>
        <w:t xml:space="preserve">passes.</w:t>
      </w:r>
    </w:p>
    <w:p>
      <w:pPr>
        <w:pStyle w:val="Compact"/>
        <w:numPr>
          <w:ilvl w:val="0"/>
          <w:numId w:val="1043"/>
        </w:numPr>
      </w:pPr>
      <w:r>
        <w:rPr>
          <w:rStyle w:val="VerbatimChar"/>
        </w:rPr>
        <w:t xml:space="preserve">pnpm run lint</w:t>
      </w:r>
      <w:r>
        <w:t xml:space="preserve"> </w:t>
      </w:r>
      <w:r>
        <w:t xml:space="preserve">passes.</w:t>
      </w:r>
    </w:p>
    <w:p>
      <w:pPr>
        <w:pStyle w:val="Compact"/>
        <w:numPr>
          <w:ilvl w:val="0"/>
          <w:numId w:val="1043"/>
        </w:numPr>
      </w:pPr>
      <w:r>
        <w:rPr>
          <w:rStyle w:val="VerbatimChar"/>
        </w:rPr>
        <w:t xml:space="preserve">pnpm audit --audit-level moderate</w:t>
      </w:r>
      <w:r>
        <w:t xml:space="preserve"> </w:t>
      </w:r>
      <w:r>
        <w:t xml:space="preserve">passes.</w:t>
      </w:r>
    </w:p>
    <w:p>
      <w:pPr>
        <w:pStyle w:val="Compact"/>
        <w:numPr>
          <w:ilvl w:val="0"/>
          <w:numId w:val="1043"/>
        </w:numPr>
      </w:pPr>
      <w:r>
        <w:t xml:space="preserve">Docker server image builds from a clean checkout.</w:t>
      </w:r>
    </w:p>
    <w:p>
      <w:pPr>
        <w:pStyle w:val="Compact"/>
        <w:numPr>
          <w:ilvl w:val="0"/>
          <w:numId w:val="1043"/>
        </w:numPr>
      </w:pPr>
      <w:r>
        <w:t xml:space="preserve">Server auth denies unknown/unprovisioned users.</w:t>
      </w:r>
    </w:p>
    <w:p>
      <w:pPr>
        <w:pStyle w:val="Compact"/>
        <w:numPr>
          <w:ilvl w:val="0"/>
          <w:numId w:val="1043"/>
        </w:numPr>
      </w:pPr>
      <w:r>
        <w:t xml:space="preserve">Tenant isolation integration tests pass against PostgreSQL RLS.</w:t>
      </w:r>
    </w:p>
    <w:bookmarkEnd w:id="55"/>
    <w:bookmarkStart w:id="59" w:name="suggested-90-day-roadmap"/>
    <w:p>
      <w:pPr>
        <w:pStyle w:val="Heading2"/>
      </w:pPr>
      <w:r>
        <w:t xml:space="preserve">Suggested 90-Day Roadmap</w:t>
      </w:r>
    </w:p>
    <w:bookmarkStart w:id="56" w:name="days-1-15"/>
    <w:p>
      <w:pPr>
        <w:pStyle w:val="Heading3"/>
      </w:pPr>
      <w:r>
        <w:t xml:space="preserve">Days 1-15</w:t>
      </w:r>
    </w:p>
    <w:p>
      <w:pPr>
        <w:pStyle w:val="Compact"/>
        <w:numPr>
          <w:ilvl w:val="0"/>
          <w:numId w:val="1044"/>
        </w:numPr>
      </w:pPr>
      <w:r>
        <w:t xml:space="preserve">Fix workspace/dependency/Docker/typecheck/lint failures.</w:t>
      </w:r>
    </w:p>
    <w:p>
      <w:pPr>
        <w:pStyle w:val="Compact"/>
        <w:numPr>
          <w:ilvl w:val="0"/>
          <w:numId w:val="1044"/>
        </w:numPr>
      </w:pPr>
      <w:r>
        <w:t xml:space="preserve">Upgrade Drizzle and rerun audit.</w:t>
      </w:r>
    </w:p>
    <w:p>
      <w:pPr>
        <w:pStyle w:val="Compact"/>
        <w:numPr>
          <w:ilvl w:val="0"/>
          <w:numId w:val="1044"/>
        </w:numPr>
      </w:pPr>
      <w:r>
        <w:t xml:space="preserve">Establish clean CI status.</w:t>
      </w:r>
    </w:p>
    <w:bookmarkEnd w:id="56"/>
    <w:bookmarkStart w:id="57" w:name="days-16-45"/>
    <w:p>
      <w:pPr>
        <w:pStyle w:val="Heading3"/>
      </w:pPr>
      <w:r>
        <w:t xml:space="preserve">Days 16-45</w:t>
      </w:r>
    </w:p>
    <w:p>
      <w:pPr>
        <w:pStyle w:val="Compact"/>
        <w:numPr>
          <w:ilvl w:val="0"/>
          <w:numId w:val="1045"/>
        </w:numPr>
      </w:pPr>
      <w:r>
        <w:t xml:space="preserve">Harden auth and tenant isolation.</w:t>
      </w:r>
    </w:p>
    <w:p>
      <w:pPr>
        <w:pStyle w:val="Compact"/>
        <w:numPr>
          <w:ilvl w:val="0"/>
          <w:numId w:val="1045"/>
        </w:numPr>
      </w:pPr>
      <w:r>
        <w:t xml:space="preserve">Add Postgres, OPA, and server integration tests.</w:t>
      </w:r>
    </w:p>
    <w:p>
      <w:pPr>
        <w:pStyle w:val="Compact"/>
        <w:numPr>
          <w:ilvl w:val="0"/>
          <w:numId w:val="1045"/>
        </w:numPr>
      </w:pPr>
      <w:r>
        <w:t xml:space="preserve">Activate Playwright accessibility suite.</w:t>
      </w:r>
    </w:p>
    <w:p>
      <w:pPr>
        <w:pStyle w:val="Compact"/>
        <w:numPr>
          <w:ilvl w:val="0"/>
          <w:numId w:val="1045"/>
        </w:numPr>
      </w:pPr>
      <w:r>
        <w:t xml:space="preserve">Close bundle budget gap or approve a new budget.</w:t>
      </w:r>
    </w:p>
    <w:bookmarkEnd w:id="57"/>
    <w:bookmarkStart w:id="58" w:name="days-46-90"/>
    <w:p>
      <w:pPr>
        <w:pStyle w:val="Heading3"/>
      </w:pPr>
      <w:r>
        <w:t xml:space="preserve">Days 46-90</w:t>
      </w:r>
    </w:p>
    <w:p>
      <w:pPr>
        <w:pStyle w:val="Compact"/>
        <w:numPr>
          <w:ilvl w:val="0"/>
          <w:numId w:val="1046"/>
        </w:numPr>
      </w:pPr>
      <w:r>
        <w:t xml:space="preserve">Complete GDPR/DSAR/KMS evidence.</w:t>
      </w:r>
    </w:p>
    <w:p>
      <w:pPr>
        <w:pStyle w:val="Compact"/>
        <w:numPr>
          <w:ilvl w:val="0"/>
          <w:numId w:val="1046"/>
        </w:numPr>
      </w:pPr>
      <w:r>
        <w:t xml:space="preserve">Add SBOM/provenance/signing.</w:t>
      </w:r>
    </w:p>
    <w:p>
      <w:pPr>
        <w:pStyle w:val="Compact"/>
        <w:numPr>
          <w:ilvl w:val="0"/>
          <w:numId w:val="1046"/>
        </w:numPr>
      </w:pPr>
      <w:r>
        <w:t xml:space="preserve">Build ISO 42001/NIST AI RMF evidence pack.</w:t>
      </w:r>
    </w:p>
    <w:p>
      <w:pPr>
        <w:pStyle w:val="Compact"/>
        <w:numPr>
          <w:ilvl w:val="0"/>
          <w:numId w:val="1046"/>
        </w:numPr>
      </w:pPr>
      <w:r>
        <w:t xml:space="preserve">Run a production readiness review with incident, restore, and accessibility drills.</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AI-GOVERNANCE-ACCESSIBILITY.md" TargetMode="External" /><Relationship Type="http://schemas.openxmlformats.org/officeDocument/2006/relationships/hyperlink" Id="rId10" Target="./ENGINEERING-PRODUCTION-READINESS.md" TargetMode="External" /><Relationship Type="http://schemas.openxmlformats.org/officeDocument/2006/relationships/hyperlink" Id="rId9" Target="./EXECUTIVE-REPORT.md" TargetMode="External" /><Relationship Type="http://schemas.openxmlformats.org/officeDocument/2006/relationships/hyperlink" Id="rId13" Target="./RISK-REGISTER.md" TargetMode="External" /><Relationship Type="http://schemas.openxmlformats.org/officeDocument/2006/relationships/hyperlink" Id="rId11" Target="./SECURITY-PRIVACY-COMPLIANCE.md" TargetMode="External" /></Relationships>
</file>

<file path=word/_rels/footnotes.xml.rels><?xml version="1.0" encoding="UTF-8"?><Relationships xmlns="http://schemas.openxmlformats.org/package/2006/relationships"><Relationship Type="http://schemas.openxmlformats.org/officeDocument/2006/relationships/hyperlink" Id="rId12" Target="./AI-GOVERNANCE-ACCESSIBILITY.md" TargetMode="External" /><Relationship Type="http://schemas.openxmlformats.org/officeDocument/2006/relationships/hyperlink" Id="rId10" Target="./ENGINEERING-PRODUCTION-READINESS.md" TargetMode="External" /><Relationship Type="http://schemas.openxmlformats.org/officeDocument/2006/relationships/hyperlink" Id="rId9" Target="./EXECUTIVE-REPORT.md" TargetMode="External" /><Relationship Type="http://schemas.openxmlformats.org/officeDocument/2006/relationships/hyperlink" Id="rId13" Target="./RISK-REGISTER.md" TargetMode="External" /><Relationship Type="http://schemas.openxmlformats.org/officeDocument/2006/relationships/hyperlink" Id="rId11" Target="./SECURITY-PRIVACY-COMPLIA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App CRM Audit Pack</dc:title>
  <dc:creator/>
  <cp:keywords/>
  <dcterms:created xsi:type="dcterms:W3CDTF">2026-05-21T19:00:14Z</dcterms:created>
  <dcterms:modified xsi:type="dcterms:W3CDTF">2026-05-21T19:00:14Z</dcterms:modified>
</cp:coreProperties>
</file>

<file path=docProps/custom.xml><?xml version="1.0" encoding="utf-8"?>
<Properties xmlns="http://schemas.openxmlformats.org/officeDocument/2006/custom-properties" xmlns:vt="http://schemas.openxmlformats.org/officeDocument/2006/docPropsVTypes"/>
</file>