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Task App CRM — Enterprise Build Assessment v2</w:t>
      </w:r>
    </w:p>
    <w:p>
      <w:pPr>
        <w:jc w:val="center"/>
      </w:pPr>
      <w:r>
        <w:rPr>
          <w:sz w:val="22"/>
        </w:rPr>
        <w:t>Security, certification, audit, zero-trust, and implementation roadmap for an enterprise-ready build profile</w:t>
      </w:r>
    </w:p>
    <w:p/>
    <w:tbl>
      <w:tblPr>
        <w:tblStyle w:val="TableGrid"/>
        <w:tblW w:type="auto" w:w="0"/>
        <w:jc w:val="center"/>
        <w:tblLayout w:type="autofit"/>
        <w:tblLook w:firstColumn="1" w:firstRow="1" w:lastColumn="0" w:lastRow="0" w:noHBand="0" w:noVBand="1" w:val="04A0"/>
      </w:tblPr>
      <w:tblGrid>
        <w:gridCol w:w="5184"/>
        <w:gridCol w:w="5184"/>
      </w:tblGrid>
      <w:tr>
        <w:tc>
          <w:tcPr>
            <w:tcW w:type="dxa" w:w="2448"/>
            <w:vAlign w:val="top"/>
            <w:shd w:fill="D9EAF7"/>
          </w:tcPr>
          <w:p>
            <w:pPr>
              <w:spacing w:after="0" w:line="240" w:lineRule="auto"/>
            </w:pPr>
            <w:r/>
            <w:r>
              <w:rPr>
                <w:b/>
                <w:sz w:val="17"/>
              </w:rPr>
              <w:t>Field</w:t>
            </w:r>
          </w:p>
        </w:tc>
        <w:tc>
          <w:tcPr>
            <w:tcW w:type="dxa" w:w="8352"/>
            <w:vAlign w:val="top"/>
            <w:shd w:fill="D9EAF7"/>
          </w:tcPr>
          <w:p>
            <w:pPr>
              <w:spacing w:after="0" w:line="240" w:lineRule="auto"/>
            </w:pPr>
            <w:r/>
            <w:r>
              <w:rPr>
                <w:b/>
                <w:sz w:val="17"/>
              </w:rPr>
              <w:t>Value</w:t>
            </w:r>
          </w:p>
        </w:tc>
      </w:tr>
      <w:tr>
        <w:tc>
          <w:tcPr>
            <w:tcW w:type="dxa" w:w="2448"/>
            <w:vAlign w:val="top"/>
          </w:tcPr>
          <w:p>
            <w:pPr>
              <w:spacing w:after="0" w:line="240" w:lineRule="auto"/>
            </w:pPr>
            <w:r/>
            <w:r>
              <w:rPr>
                <w:b w:val="0"/>
                <w:sz w:val="17"/>
              </w:rPr>
              <w:t>Assessment date</w:t>
            </w:r>
          </w:p>
        </w:tc>
        <w:tc>
          <w:tcPr>
            <w:tcW w:type="dxa" w:w="8352"/>
            <w:vAlign w:val="top"/>
          </w:tcPr>
          <w:p>
            <w:pPr>
              <w:spacing w:after="0" w:line="240" w:lineRule="auto"/>
            </w:pPr>
            <w:r/>
            <w:r>
              <w:rPr>
                <w:b w:val="0"/>
                <w:sz w:val="17"/>
              </w:rPr>
              <w:t>2026-05-19</w:t>
            </w:r>
          </w:p>
        </w:tc>
      </w:tr>
      <w:tr>
        <w:tc>
          <w:tcPr>
            <w:tcW w:type="dxa" w:w="2448"/>
            <w:vAlign w:val="top"/>
          </w:tcPr>
          <w:p>
            <w:pPr>
              <w:spacing w:after="0" w:line="240" w:lineRule="auto"/>
            </w:pPr>
            <w:r/>
            <w:r>
              <w:rPr>
                <w:b w:val="0"/>
                <w:sz w:val="17"/>
              </w:rPr>
              <w:t>Repository/branch reviewed</w:t>
            </w:r>
          </w:p>
        </w:tc>
        <w:tc>
          <w:tcPr>
            <w:tcW w:type="dxa" w:w="8352"/>
            <w:vAlign w:val="top"/>
          </w:tcPr>
          <w:p>
            <w:pPr>
              <w:spacing w:after="0" w:line="240" w:lineRule="auto"/>
            </w:pPr>
            <w:r/>
            <w:r>
              <w:rPr>
                <w:b w:val="0"/>
                <w:sz w:val="17"/>
              </w:rPr>
              <w:t>https://github.com/admjrandall/tktaskapp/tree/claude/generate-offline-profile-html-CRKHK</w:t>
            </w:r>
          </w:p>
        </w:tc>
      </w:tr>
      <w:tr>
        <w:tc>
          <w:tcPr>
            <w:tcW w:type="dxa" w:w="2448"/>
            <w:vAlign w:val="top"/>
          </w:tcPr>
          <w:p>
            <w:pPr>
              <w:spacing w:after="0" w:line="240" w:lineRule="auto"/>
            </w:pPr>
            <w:r/>
            <w:r>
              <w:rPr>
                <w:b w:val="0"/>
                <w:sz w:val="17"/>
              </w:rPr>
              <w:t>Assessment type</w:t>
            </w:r>
          </w:p>
        </w:tc>
        <w:tc>
          <w:tcPr>
            <w:tcW w:type="dxa" w:w="8352"/>
            <w:vAlign w:val="top"/>
          </w:tcPr>
          <w:p>
            <w:pPr>
              <w:spacing w:after="0" w:line="240" w:lineRule="auto"/>
            </w:pPr>
            <w:r/>
            <w:r>
              <w:rPr>
                <w:b w:val="0"/>
                <w:sz w:val="17"/>
              </w:rPr>
              <w:t>Static architecture, code, documentation, and standards-alignment review. Not a penetration test, certification audit, source-code exhaustive review, or legal opinion.</w:t>
            </w:r>
          </w:p>
        </w:tc>
      </w:tr>
      <w:tr>
        <w:tc>
          <w:tcPr>
            <w:tcW w:type="dxa" w:w="2448"/>
            <w:vAlign w:val="top"/>
          </w:tcPr>
          <w:p>
            <w:pPr>
              <w:spacing w:after="0" w:line="240" w:lineRule="auto"/>
            </w:pPr>
            <w:r/>
            <w:r>
              <w:rPr>
                <w:b w:val="0"/>
                <w:sz w:val="17"/>
              </w:rPr>
              <w:t>Assessment rule</w:t>
            </w:r>
          </w:p>
        </w:tc>
        <w:tc>
          <w:tcPr>
            <w:tcW w:type="dxa" w:w="8352"/>
            <w:vAlign w:val="top"/>
          </w:tcPr>
          <w:p>
            <w:pPr>
              <w:spacing w:after="0" w:line="240" w:lineRule="auto"/>
            </w:pPr>
            <w:r/>
            <w:r>
              <w:rPr>
                <w:b w:val="0"/>
                <w:sz w:val="17"/>
              </w:rPr>
              <w:t>No unsupported certification claims. Each item is marked implemented, partial, not implemented, or not applicable based on observed branch evidence and current public standards.</w:t>
            </w:r>
          </w:p>
        </w:tc>
      </w:tr>
    </w:tbl>
    <w:p/>
    <w:p>
      <w:r>
        <w:br w:type="page"/>
      </w:r>
    </w:p>
    <w:p>
      <w:pPr>
        <w:pStyle w:val="Heading1"/>
      </w:pPr>
      <w:r>
        <w:t>Executive verdict</w:t>
      </w:r>
    </w:p>
    <w:tbl>
      <w:tblPr>
        <w:tblStyle w:val="TableGrid"/>
        <w:tblW w:type="auto" w:w="0"/>
        <w:tblLook w:firstColumn="1" w:firstRow="1" w:lastColumn="0" w:lastRow="0" w:noHBand="0" w:noVBand="1" w:val="04A0"/>
      </w:tblPr>
      <w:tblGrid>
        <w:gridCol w:w="10368"/>
      </w:tblGrid>
      <w:tr>
        <w:tc>
          <w:tcPr>
            <w:tcW w:type="dxa" w:w="10368"/>
            <w:shd w:fill="FCE4D6"/>
          </w:tcPr>
          <w:p>
            <w:pPr>
              <w:spacing w:after="40"/>
            </w:pPr>
            <w:r>
              <w:rPr>
                <w:b/>
                <w:sz w:val="18"/>
              </w:rPr>
              <w:t>No-BS verdict</w:t>
            </w:r>
          </w:p>
          <w:p>
            <w:pPr>
              <w:spacing w:after="0"/>
            </w:pPr>
            <w:r>
              <w:rPr>
                <w:sz w:val="18"/>
              </w:rPr>
              <w:t>The current branch is not enterprise-production-ready and is not ready for SOC 2, ISO/IEC 27001 certification scope, FedRAMP, CSA STAR Level 2, or a serious zero-trust enterprise claim. The core is a strong offline encrypted local app. The enterprise profile is still architectural groundwork: sync adapters are stubs, backend services are not implemented, identity federation is absent, tenant isolation is absent, centralized audit is absent, and operational evidence does not exist. The correct path is to preserve the offline core but build a separate enterprise service architecture around it.</w:t>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304"/>
            <w:vAlign w:val="top"/>
            <w:shd w:fill="D9EAF7"/>
          </w:tcPr>
          <w:p>
            <w:pPr>
              <w:spacing w:after="0" w:line="240" w:lineRule="auto"/>
            </w:pPr>
            <w:r/>
            <w:r>
              <w:rPr>
                <w:b/>
                <w:sz w:val="17"/>
              </w:rPr>
              <w:t>Dimension</w:t>
            </w:r>
          </w:p>
        </w:tc>
        <w:tc>
          <w:tcPr>
            <w:tcW w:type="dxa" w:w="3168"/>
            <w:vAlign w:val="top"/>
            <w:shd w:fill="D9EAF7"/>
          </w:tcPr>
          <w:p>
            <w:pPr>
              <w:spacing w:after="0" w:line="240" w:lineRule="auto"/>
            </w:pPr>
            <w:r/>
            <w:r>
              <w:rPr>
                <w:b/>
                <w:sz w:val="17"/>
              </w:rPr>
              <w:t>Current state</w:t>
            </w:r>
          </w:p>
        </w:tc>
        <w:tc>
          <w:tcPr>
            <w:tcW w:type="dxa" w:w="3744"/>
            <w:vAlign w:val="top"/>
            <w:shd w:fill="D9EAF7"/>
          </w:tcPr>
          <w:p>
            <w:pPr>
              <w:spacing w:after="0" w:line="240" w:lineRule="auto"/>
            </w:pPr>
            <w:r/>
            <w:r>
              <w:rPr>
                <w:b/>
                <w:sz w:val="17"/>
              </w:rPr>
              <w:t>Production target</w:t>
            </w:r>
          </w:p>
        </w:tc>
        <w:tc>
          <w:tcPr>
            <w:tcW w:type="dxa" w:w="1440"/>
            <w:vAlign w:val="top"/>
            <w:shd w:fill="D9EAF7"/>
          </w:tcPr>
          <w:p>
            <w:pPr>
              <w:spacing w:after="0" w:line="240" w:lineRule="auto"/>
            </w:pPr>
            <w:r/>
            <w:r>
              <w:rPr>
                <w:b/>
                <w:sz w:val="17"/>
              </w:rPr>
              <w:t>Readiness</w:t>
            </w:r>
          </w:p>
        </w:tc>
      </w:tr>
      <w:tr>
        <w:tc>
          <w:tcPr>
            <w:tcW w:type="dxa" w:w="2304"/>
            <w:vAlign w:val="top"/>
          </w:tcPr>
          <w:p>
            <w:pPr>
              <w:spacing w:after="0" w:line="240" w:lineRule="auto"/>
            </w:pPr>
            <w:r/>
            <w:r>
              <w:rPr>
                <w:b w:val="0"/>
                <w:sz w:val="16"/>
              </w:rPr>
              <w:t>Enterprise architecture</w:t>
            </w:r>
          </w:p>
        </w:tc>
        <w:tc>
          <w:tcPr>
            <w:tcW w:type="dxa" w:w="3168"/>
            <w:vAlign w:val="top"/>
          </w:tcPr>
          <w:p>
            <w:pPr>
              <w:spacing w:after="0" w:line="240" w:lineRule="auto"/>
            </w:pPr>
            <w:r/>
            <w:r>
              <w:rPr>
                <w:b w:val="0"/>
                <w:sz w:val="16"/>
              </w:rPr>
              <w:t>Local-first monorepo with NullAdapter and TODO sync adapters.</w:t>
            </w:r>
          </w:p>
        </w:tc>
        <w:tc>
          <w:tcPr>
            <w:tcW w:type="dxa" w:w="3744"/>
            <w:vAlign w:val="top"/>
          </w:tcPr>
          <w:p>
            <w:pPr>
              <w:spacing w:after="0" w:line="240" w:lineRule="auto"/>
            </w:pPr>
            <w:r/>
            <w:r>
              <w:rPr>
                <w:b w:val="0"/>
                <w:sz w:val="16"/>
              </w:rPr>
              <w:t>Backend API, identity, tenants, authorization, database, object storage, audit pipeline, observability.</w:t>
            </w:r>
          </w:p>
        </w:tc>
        <w:tc>
          <w:tcPr>
            <w:tcW w:type="dxa" w:w="1440"/>
            <w:vAlign w:val="top"/>
          </w:tcPr>
          <w:p>
            <w:pPr>
              <w:spacing w:after="0" w:line="240" w:lineRule="auto"/>
            </w:pPr>
            <w:r/>
            <w:r>
              <w:rPr>
                <w:b w:val="0"/>
                <w:sz w:val="16"/>
              </w:rPr>
              <w:t>Low</w:t>
            </w:r>
          </w:p>
        </w:tc>
      </w:tr>
      <w:tr>
        <w:tc>
          <w:tcPr>
            <w:tcW w:type="dxa" w:w="2304"/>
            <w:vAlign w:val="top"/>
          </w:tcPr>
          <w:p>
            <w:pPr>
              <w:spacing w:after="0" w:line="240" w:lineRule="auto"/>
            </w:pPr>
            <w:r/>
            <w:r>
              <w:rPr>
                <w:b w:val="0"/>
                <w:sz w:val="16"/>
              </w:rPr>
              <w:t>Certification posture</w:t>
            </w:r>
          </w:p>
        </w:tc>
        <w:tc>
          <w:tcPr>
            <w:tcW w:type="dxa" w:w="3168"/>
            <w:vAlign w:val="top"/>
          </w:tcPr>
          <w:p>
            <w:pPr>
              <w:spacing w:after="0" w:line="240" w:lineRule="auto"/>
            </w:pPr>
            <w:r/>
            <w:r>
              <w:rPr>
                <w:b w:val="0"/>
                <w:sz w:val="16"/>
              </w:rPr>
              <w:t>Good technical controls for local app; no organization-level control evidence.</w:t>
            </w:r>
          </w:p>
        </w:tc>
        <w:tc>
          <w:tcPr>
            <w:tcW w:type="dxa" w:w="3744"/>
            <w:vAlign w:val="top"/>
          </w:tcPr>
          <w:p>
            <w:pPr>
              <w:spacing w:after="0" w:line="240" w:lineRule="auto"/>
            </w:pPr>
            <w:r/>
            <w:r>
              <w:rPr>
                <w:b w:val="0"/>
                <w:sz w:val="16"/>
              </w:rPr>
              <w:t>SOC 2 Type I/II, ISO/IEC 27001 ISMS, ASVS evidence, WCAG evidence, privacy evidence.</w:t>
            </w:r>
          </w:p>
        </w:tc>
        <w:tc>
          <w:tcPr>
            <w:tcW w:type="dxa" w:w="1440"/>
            <w:vAlign w:val="top"/>
          </w:tcPr>
          <w:p>
            <w:pPr>
              <w:spacing w:after="0" w:line="240" w:lineRule="auto"/>
            </w:pPr>
            <w:r/>
            <w:r>
              <w:rPr>
                <w:b w:val="0"/>
                <w:sz w:val="16"/>
              </w:rPr>
              <w:t>Low</w:t>
            </w:r>
          </w:p>
        </w:tc>
      </w:tr>
      <w:tr>
        <w:tc>
          <w:tcPr>
            <w:tcW w:type="dxa" w:w="2304"/>
            <w:vAlign w:val="top"/>
          </w:tcPr>
          <w:p>
            <w:pPr>
              <w:spacing w:after="0" w:line="240" w:lineRule="auto"/>
            </w:pPr>
            <w:r/>
            <w:r>
              <w:rPr>
                <w:b w:val="0"/>
                <w:sz w:val="16"/>
              </w:rPr>
              <w:t>Zero Trust</w:t>
            </w:r>
          </w:p>
        </w:tc>
        <w:tc>
          <w:tcPr>
            <w:tcW w:type="dxa" w:w="3168"/>
            <w:vAlign w:val="top"/>
          </w:tcPr>
          <w:p>
            <w:pPr>
              <w:spacing w:after="0" w:line="240" w:lineRule="auto"/>
            </w:pPr>
            <w:r/>
            <w:r>
              <w:rPr>
                <w:b w:val="0"/>
                <w:sz w:val="16"/>
              </w:rPr>
              <w:t>Local password/MFA and restrictive offline policy; no enterprise policy decision/enforcement points.</w:t>
            </w:r>
          </w:p>
        </w:tc>
        <w:tc>
          <w:tcPr>
            <w:tcW w:type="dxa" w:w="3744"/>
            <w:vAlign w:val="top"/>
          </w:tcPr>
          <w:p>
            <w:pPr>
              <w:spacing w:after="0" w:line="240" w:lineRule="auto"/>
            </w:pPr>
            <w:r/>
            <w:r>
              <w:rPr>
                <w:b w:val="0"/>
                <w:sz w:val="16"/>
              </w:rPr>
              <w:t>Continuous identity, device, data, workload, and session policy enforcement.</w:t>
            </w:r>
          </w:p>
        </w:tc>
        <w:tc>
          <w:tcPr>
            <w:tcW w:type="dxa" w:w="1440"/>
            <w:vAlign w:val="top"/>
          </w:tcPr>
          <w:p>
            <w:pPr>
              <w:spacing w:after="0" w:line="240" w:lineRule="auto"/>
            </w:pPr>
            <w:r/>
            <w:r>
              <w:rPr>
                <w:b w:val="0"/>
                <w:sz w:val="16"/>
              </w:rPr>
              <w:t>Low</w:t>
            </w:r>
          </w:p>
        </w:tc>
      </w:tr>
      <w:tr>
        <w:tc>
          <w:tcPr>
            <w:tcW w:type="dxa" w:w="2304"/>
            <w:vAlign w:val="top"/>
          </w:tcPr>
          <w:p>
            <w:pPr>
              <w:spacing w:after="0" w:line="240" w:lineRule="auto"/>
            </w:pPr>
            <w:r/>
            <w:r>
              <w:rPr>
                <w:b w:val="0"/>
                <w:sz w:val="16"/>
              </w:rPr>
              <w:t>Security engineering</w:t>
            </w:r>
          </w:p>
        </w:tc>
        <w:tc>
          <w:tcPr>
            <w:tcW w:type="dxa" w:w="3168"/>
            <w:vAlign w:val="top"/>
          </w:tcPr>
          <w:p>
            <w:pPr>
              <w:spacing w:after="0" w:line="240" w:lineRule="auto"/>
            </w:pPr>
            <w:r/>
            <w:r>
              <w:rPr>
                <w:b w:val="0"/>
                <w:sz w:val="16"/>
              </w:rPr>
              <w:t>Strong crypto, CSP, audit, sanitization; Trusted Types design has a bypass-like raw policy risk.</w:t>
            </w:r>
          </w:p>
        </w:tc>
        <w:tc>
          <w:tcPr>
            <w:tcW w:type="dxa" w:w="3744"/>
            <w:vAlign w:val="top"/>
          </w:tcPr>
          <w:p>
            <w:pPr>
              <w:spacing w:after="0" w:line="240" w:lineRule="auto"/>
            </w:pPr>
            <w:r/>
            <w:r>
              <w:rPr>
                <w:b w:val="0"/>
                <w:sz w:val="16"/>
              </w:rPr>
              <w:t>Formal ASVS tests, threat model, SDLC, SAST/SCA/DAST, pen test, control evidence.</w:t>
            </w:r>
          </w:p>
        </w:tc>
        <w:tc>
          <w:tcPr>
            <w:tcW w:type="dxa" w:w="1440"/>
            <w:vAlign w:val="top"/>
          </w:tcPr>
          <w:p>
            <w:pPr>
              <w:spacing w:after="0" w:line="240" w:lineRule="auto"/>
            </w:pPr>
            <w:r/>
            <w:r>
              <w:rPr>
                <w:b w:val="0"/>
                <w:sz w:val="16"/>
              </w:rPr>
              <w:t>Medium-Low</w:t>
            </w:r>
          </w:p>
        </w:tc>
      </w:tr>
      <w:tr>
        <w:tc>
          <w:tcPr>
            <w:tcW w:type="dxa" w:w="2304"/>
            <w:vAlign w:val="top"/>
          </w:tcPr>
          <w:p>
            <w:pPr>
              <w:spacing w:after="0" w:line="240" w:lineRule="auto"/>
            </w:pPr>
            <w:r/>
            <w:r>
              <w:rPr>
                <w:b w:val="0"/>
                <w:sz w:val="16"/>
              </w:rPr>
              <w:t>Enterprise audit</w:t>
            </w:r>
          </w:p>
        </w:tc>
        <w:tc>
          <w:tcPr>
            <w:tcW w:type="dxa" w:w="3168"/>
            <w:vAlign w:val="top"/>
          </w:tcPr>
          <w:p>
            <w:pPr>
              <w:spacing w:after="0" w:line="240" w:lineRule="auto"/>
            </w:pPr>
            <w:r/>
            <w:r>
              <w:rPr>
                <w:b w:val="0"/>
                <w:sz w:val="16"/>
              </w:rPr>
              <w:t>Encrypted local audit log controlled by the user/device.</w:t>
            </w:r>
          </w:p>
        </w:tc>
        <w:tc>
          <w:tcPr>
            <w:tcW w:type="dxa" w:w="3744"/>
            <w:vAlign w:val="top"/>
          </w:tcPr>
          <w:p>
            <w:pPr>
              <w:spacing w:after="0" w:line="240" w:lineRule="auto"/>
            </w:pPr>
            <w:r/>
            <w:r>
              <w:rPr>
                <w:b w:val="0"/>
                <w:sz w:val="16"/>
              </w:rPr>
              <w:t>Centralized, append-only, tamper-resistant audit pipeline with SIEM export.</w:t>
            </w:r>
          </w:p>
        </w:tc>
        <w:tc>
          <w:tcPr>
            <w:tcW w:type="dxa" w:w="1440"/>
            <w:vAlign w:val="top"/>
          </w:tcPr>
          <w:p>
            <w:pPr>
              <w:spacing w:after="0" w:line="240" w:lineRule="auto"/>
            </w:pPr>
            <w:r/>
            <w:r>
              <w:rPr>
                <w:b w:val="0"/>
                <w:sz w:val="16"/>
              </w:rPr>
              <w:t>Low</w:t>
            </w:r>
          </w:p>
        </w:tc>
      </w:tr>
    </w:tbl>
    <w:p/>
    <w:p>
      <w:pPr>
        <w:pStyle w:val="Heading1"/>
      </w:pPr>
      <w:r>
        <w:t>Current implemented capabilities that are valuable for enterprise reuse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top"/>
            <w:shd w:fill="D9EAF7"/>
          </w:tcPr>
          <w:p>
            <w:pPr>
              <w:spacing w:after="0" w:line="240" w:lineRule="auto"/>
            </w:pPr>
            <w:r/>
            <w:r>
              <w:rPr>
                <w:b/>
                <w:sz w:val="17"/>
              </w:rPr>
              <w:t>Capability</w:t>
            </w:r>
          </w:p>
        </w:tc>
        <w:tc>
          <w:tcPr>
            <w:tcW w:type="dxa" w:w="3312"/>
            <w:vAlign w:val="top"/>
            <w:shd w:fill="D9EAF7"/>
          </w:tcPr>
          <w:p>
            <w:pPr>
              <w:spacing w:after="0" w:line="240" w:lineRule="auto"/>
            </w:pPr>
            <w:r/>
            <w:r>
              <w:rPr>
                <w:b/>
                <w:sz w:val="17"/>
              </w:rPr>
              <w:t>Observed evidence</w:t>
            </w:r>
          </w:p>
        </w:tc>
        <w:tc>
          <w:tcPr>
            <w:tcW w:type="dxa" w:w="3312"/>
            <w:vAlign w:val="top"/>
            <w:shd w:fill="D9EAF7"/>
          </w:tcPr>
          <w:p>
            <w:pPr>
              <w:spacing w:after="0" w:line="240" w:lineRule="auto"/>
            </w:pPr>
            <w:r/>
            <w:r>
              <w:rPr>
                <w:b/>
                <w:sz w:val="17"/>
              </w:rPr>
              <w:t>Enterprise reuse value</w:t>
            </w:r>
          </w:p>
        </w:tc>
        <w:tc>
          <w:tcPr>
            <w:tcW w:type="dxa" w:w="2448"/>
            <w:vAlign w:val="top"/>
            <w:shd w:fill="D9EAF7"/>
          </w:tcPr>
          <w:p>
            <w:pPr>
              <w:spacing w:after="0" w:line="240" w:lineRule="auto"/>
            </w:pPr>
            <w:r/>
            <w:r>
              <w:rPr>
                <w:b/>
                <w:sz w:val="17"/>
              </w:rPr>
              <w:t>Caveat</w:t>
            </w:r>
          </w:p>
        </w:tc>
      </w:tr>
      <w:tr>
        <w:tc>
          <w:tcPr>
            <w:tcW w:type="dxa" w:w="2160"/>
            <w:vAlign w:val="top"/>
          </w:tcPr>
          <w:p>
            <w:pPr>
              <w:spacing w:after="0" w:line="240" w:lineRule="auto"/>
            </w:pPr>
            <w:r/>
            <w:r>
              <w:rPr>
                <w:b w:val="0"/>
                <w:sz w:val="15"/>
              </w:rPr>
              <w:t>Offline encryption model</w:t>
            </w:r>
          </w:p>
        </w:tc>
        <w:tc>
          <w:tcPr>
            <w:tcW w:type="dxa" w:w="3312"/>
            <w:vAlign w:val="top"/>
          </w:tcPr>
          <w:p>
            <w:pPr>
              <w:spacing w:after="0" w:line="240" w:lineRule="auto"/>
            </w:pPr>
            <w:r/>
            <w:r>
              <w:rPr>
                <w:b w:val="0"/>
                <w:sz w:val="15"/>
              </w:rPr>
              <w:t>PBKDF2-HMAC-SHA-256 at 600,000 iterations, AES-GCM, 32-byte salt, 12-byte IV, non-extractable CryptoKey in crypto.ts/constants.ts.</w:t>
            </w:r>
          </w:p>
        </w:tc>
        <w:tc>
          <w:tcPr>
            <w:tcW w:type="dxa" w:w="3312"/>
            <w:vAlign w:val="top"/>
          </w:tcPr>
          <w:p>
            <w:pPr>
              <w:spacing w:after="0" w:line="240" w:lineRule="auto"/>
            </w:pPr>
            <w:r/>
            <w:r>
              <w:rPr>
                <w:b w:val="0"/>
                <w:sz w:val="15"/>
              </w:rPr>
              <w:t>Can be reused for encrypted exports, mobile/offline cache, client-side local vaults, and customer-controlled backup artifacts.</w:t>
            </w:r>
          </w:p>
        </w:tc>
        <w:tc>
          <w:tcPr>
            <w:tcW w:type="dxa" w:w="2448"/>
            <w:vAlign w:val="top"/>
          </w:tcPr>
          <w:p>
            <w:pPr>
              <w:spacing w:after="0" w:line="240" w:lineRule="auto"/>
            </w:pPr>
            <w:r/>
            <w:r>
              <w:rPr>
                <w:b w:val="0"/>
                <w:sz w:val="15"/>
              </w:rPr>
              <w:t>Do not make the offline master-password vault the enterprise system of record unless intentionally choosing E2EE, because it complicates search, recovery, legal hold, AI, and admin workflows.</w:t>
            </w:r>
          </w:p>
        </w:tc>
      </w:tr>
      <w:tr>
        <w:tc>
          <w:tcPr>
            <w:tcW w:type="dxa" w:w="2160"/>
            <w:vAlign w:val="top"/>
          </w:tcPr>
          <w:p>
            <w:pPr>
              <w:spacing w:after="0" w:line="240" w:lineRule="auto"/>
            </w:pPr>
            <w:r/>
            <w:r>
              <w:rPr>
                <w:b w:val="0"/>
                <w:sz w:val="15"/>
              </w:rPr>
              <w:t>Vault import/export</w:t>
            </w:r>
          </w:p>
        </w:tc>
        <w:tc>
          <w:tcPr>
            <w:tcW w:type="dxa" w:w="3312"/>
            <w:vAlign w:val="top"/>
          </w:tcPr>
          <w:p>
            <w:pPr>
              <w:spacing w:after="0" w:line="240" w:lineRule="auto"/>
            </w:pPr>
            <w:r/>
            <w:r>
              <w:rPr>
                <w:b w:val="0"/>
                <w:sz w:val="15"/>
              </w:rPr>
              <w:t>vault.ts implements encrypted backup export/import, password change, KDF migration, and JSON import validation.</w:t>
            </w:r>
          </w:p>
        </w:tc>
        <w:tc>
          <w:tcPr>
            <w:tcW w:type="dxa" w:w="3312"/>
            <w:vAlign w:val="top"/>
          </w:tcPr>
          <w:p>
            <w:pPr>
              <w:spacing w:after="0" w:line="240" w:lineRule="auto"/>
            </w:pPr>
            <w:r/>
            <w:r>
              <w:rPr>
                <w:b w:val="0"/>
                <w:sz w:val="15"/>
              </w:rPr>
              <w:t>Good foundation for data portability and offline export controls.</w:t>
            </w:r>
          </w:p>
        </w:tc>
        <w:tc>
          <w:tcPr>
            <w:tcW w:type="dxa" w:w="2448"/>
            <w:vAlign w:val="top"/>
          </w:tcPr>
          <w:p>
            <w:pPr>
              <w:spacing w:after="0" w:line="240" w:lineRule="auto"/>
            </w:pPr>
            <w:r/>
            <w:r>
              <w:rPr>
                <w:b w:val="0"/>
                <w:sz w:val="15"/>
              </w:rPr>
              <w:t>Enterprise export must add approval, policy, DLP, audit, retention, and rate limits.</w:t>
            </w:r>
          </w:p>
        </w:tc>
      </w:tr>
      <w:tr>
        <w:tc>
          <w:tcPr>
            <w:tcW w:type="dxa" w:w="2160"/>
            <w:vAlign w:val="top"/>
          </w:tcPr>
          <w:p>
            <w:pPr>
              <w:spacing w:after="0" w:line="240" w:lineRule="auto"/>
            </w:pPr>
            <w:r/>
            <w:r>
              <w:rPr>
                <w:b w:val="0"/>
                <w:sz w:val="15"/>
              </w:rPr>
              <w:t>CSP and browser hardening</w:t>
            </w:r>
          </w:p>
        </w:tc>
        <w:tc>
          <w:tcPr>
            <w:tcW w:type="dxa" w:w="3312"/>
            <w:vAlign w:val="top"/>
          </w:tcPr>
          <w:p>
            <w:pPr>
              <w:spacing w:after="0" w:line="240" w:lineRule="auto"/>
            </w:pPr>
            <w:r/>
            <w:r>
              <w:rPr>
                <w:b w:val="0"/>
                <w:sz w:val="15"/>
              </w:rPr>
              <w:t>apps/offline/index.html uses strict CSP template, Trusted Types, no-referrer, restrictive Permissions-Policy.</w:t>
            </w:r>
          </w:p>
        </w:tc>
        <w:tc>
          <w:tcPr>
            <w:tcW w:type="dxa" w:w="3312"/>
            <w:vAlign w:val="top"/>
          </w:tcPr>
          <w:p>
            <w:pPr>
              <w:spacing w:after="0" w:line="240" w:lineRule="auto"/>
            </w:pPr>
            <w:r/>
            <w:r>
              <w:rPr>
                <w:b w:val="0"/>
                <w:sz w:val="15"/>
              </w:rPr>
              <w:t>Good starting point for hosted CSP/security headers.</w:t>
            </w:r>
          </w:p>
        </w:tc>
        <w:tc>
          <w:tcPr>
            <w:tcW w:type="dxa" w:w="2448"/>
            <w:vAlign w:val="top"/>
          </w:tcPr>
          <w:p>
            <w:pPr>
              <w:spacing w:after="0" w:line="240" w:lineRule="auto"/>
            </w:pPr>
            <w:r/>
            <w:r>
              <w:rPr>
                <w:b w:val="0"/>
                <w:sz w:val="15"/>
              </w:rPr>
              <w:t>Hosted enterprise must move security headers to server/CDN and remove unnecessary allowances per profile.</w:t>
            </w:r>
          </w:p>
        </w:tc>
      </w:tr>
      <w:tr>
        <w:tc>
          <w:tcPr>
            <w:tcW w:type="dxa" w:w="2160"/>
            <w:vAlign w:val="top"/>
          </w:tcPr>
          <w:p>
            <w:pPr>
              <w:spacing w:after="0" w:line="240" w:lineRule="auto"/>
            </w:pPr>
            <w:r/>
            <w:r>
              <w:rPr>
                <w:b w:val="0"/>
                <w:sz w:val="15"/>
              </w:rPr>
              <w:t>Sanitization</w:t>
            </w:r>
          </w:p>
        </w:tc>
        <w:tc>
          <w:tcPr>
            <w:tcW w:type="dxa" w:w="3312"/>
            <w:vAlign w:val="top"/>
          </w:tcPr>
          <w:p>
            <w:pPr>
              <w:spacing w:after="0" w:line="240" w:lineRule="auto"/>
            </w:pPr>
            <w:r/>
            <w:r>
              <w:rPr>
                <w:b w:val="0"/>
                <w:sz w:val="15"/>
              </w:rPr>
              <w:t>sanitize.ts uses DOMPurify allowlists for rich text and link schemes.</w:t>
            </w:r>
          </w:p>
        </w:tc>
        <w:tc>
          <w:tcPr>
            <w:tcW w:type="dxa" w:w="3312"/>
            <w:vAlign w:val="top"/>
          </w:tcPr>
          <w:p>
            <w:pPr>
              <w:spacing w:after="0" w:line="240" w:lineRule="auto"/>
            </w:pPr>
            <w:r/>
            <w:r>
              <w:rPr>
                <w:b w:val="0"/>
                <w:sz w:val="15"/>
              </w:rPr>
              <w:t>Strong start for stored XSS mitigation.</w:t>
            </w:r>
          </w:p>
        </w:tc>
        <w:tc>
          <w:tcPr>
            <w:tcW w:type="dxa" w:w="2448"/>
            <w:vAlign w:val="top"/>
          </w:tcPr>
          <w:p>
            <w:pPr>
              <w:spacing w:after="0" w:line="240" w:lineRule="auto"/>
            </w:pPr>
            <w:r/>
            <w:r>
              <w:rPr>
                <w:b w:val="0"/>
                <w:sz w:val="15"/>
              </w:rPr>
              <w:t>Must add automated XSS tests across all input/render sinks.</w:t>
            </w:r>
          </w:p>
        </w:tc>
      </w:tr>
      <w:tr>
        <w:tc>
          <w:tcPr>
            <w:tcW w:type="dxa" w:w="2160"/>
            <w:vAlign w:val="top"/>
          </w:tcPr>
          <w:p>
            <w:pPr>
              <w:spacing w:after="0" w:line="240" w:lineRule="auto"/>
            </w:pPr>
            <w:r/>
            <w:r>
              <w:rPr>
                <w:b w:val="0"/>
                <w:sz w:val="15"/>
              </w:rPr>
              <w:t>Audit events</w:t>
            </w:r>
          </w:p>
        </w:tc>
        <w:tc>
          <w:tcPr>
            <w:tcW w:type="dxa" w:w="3312"/>
            <w:vAlign w:val="top"/>
          </w:tcPr>
          <w:p>
            <w:pPr>
              <w:spacing w:after="0" w:line="240" w:lineRule="auto"/>
            </w:pPr>
            <w:r/>
            <w:r>
              <w:rPr>
                <w:b w:val="0"/>
                <w:sz w:val="15"/>
              </w:rPr>
              <w:t>audit.ts covers auth, MFA, passkeys, vault, backup, import/export, app reset, AI key, and AI query events.</w:t>
            </w:r>
          </w:p>
        </w:tc>
        <w:tc>
          <w:tcPr>
            <w:tcW w:type="dxa" w:w="3312"/>
            <w:vAlign w:val="top"/>
          </w:tcPr>
          <w:p>
            <w:pPr>
              <w:spacing w:after="0" w:line="240" w:lineRule="auto"/>
            </w:pPr>
            <w:r/>
            <w:r>
              <w:rPr>
                <w:b w:val="0"/>
                <w:sz w:val="15"/>
              </w:rPr>
              <w:t>Useful event taxonomy for future central audit pipeline.</w:t>
            </w:r>
          </w:p>
        </w:tc>
        <w:tc>
          <w:tcPr>
            <w:tcW w:type="dxa" w:w="2448"/>
            <w:vAlign w:val="top"/>
          </w:tcPr>
          <w:p>
            <w:pPr>
              <w:spacing w:after="0" w:line="240" w:lineRule="auto"/>
            </w:pPr>
            <w:r/>
            <w:r>
              <w:rPr>
                <w:b w:val="0"/>
                <w:sz w:val="15"/>
              </w:rPr>
              <w:t>Local user-controlled audit is not tamper-resistant enough for enterprise assurance.</w:t>
            </w:r>
          </w:p>
        </w:tc>
      </w:tr>
      <w:tr>
        <w:tc>
          <w:tcPr>
            <w:tcW w:type="dxa" w:w="2160"/>
            <w:vAlign w:val="top"/>
          </w:tcPr>
          <w:p>
            <w:pPr>
              <w:spacing w:after="0" w:line="240" w:lineRule="auto"/>
            </w:pPr>
            <w:r/>
            <w:r>
              <w:rPr>
                <w:b w:val="0"/>
                <w:sz w:val="15"/>
              </w:rPr>
              <w:t>Adapter abstraction</w:t>
            </w:r>
          </w:p>
        </w:tc>
        <w:tc>
          <w:tcPr>
            <w:tcW w:type="dxa" w:w="3312"/>
            <w:vAlign w:val="top"/>
          </w:tcPr>
          <w:p>
            <w:pPr>
              <w:spacing w:after="0" w:line="240" w:lineRule="auto"/>
            </w:pPr>
            <w:r/>
            <w:r>
              <w:rPr>
                <w:b w:val="0"/>
                <w:sz w:val="15"/>
              </w:rPr>
              <w:t>adapter-interface.ts defines pull/push/stream/clear.</w:t>
            </w:r>
          </w:p>
        </w:tc>
        <w:tc>
          <w:tcPr>
            <w:tcW w:type="dxa" w:w="3312"/>
            <w:vAlign w:val="top"/>
          </w:tcPr>
          <w:p>
            <w:pPr>
              <w:spacing w:after="0" w:line="240" w:lineRule="auto"/>
            </w:pPr>
            <w:r/>
            <w:r>
              <w:rPr>
                <w:b w:val="0"/>
                <w:sz w:val="15"/>
              </w:rPr>
              <w:t>Useful seam for enterprise sync/backends.</w:t>
            </w:r>
          </w:p>
        </w:tc>
        <w:tc>
          <w:tcPr>
            <w:tcW w:type="dxa" w:w="2448"/>
            <w:vAlign w:val="top"/>
          </w:tcPr>
          <w:p>
            <w:pPr>
              <w:spacing w:after="0" w:line="240" w:lineRule="auto"/>
            </w:pPr>
            <w:r/>
            <w:r>
              <w:rPr>
                <w:b w:val="0"/>
                <w:sz w:val="15"/>
              </w:rPr>
              <w:t>Current RxDB/Dataverse adapters are TODO stubs; no conflict, auth, or tenant controls exist.</w:t>
            </w:r>
          </w:p>
        </w:tc>
      </w:tr>
    </w:tbl>
    <w:p/>
    <w:p>
      <w:pPr>
        <w:pStyle w:val="Heading1"/>
      </w:pPr>
      <w:r>
        <w:t>Certification and framework applicability</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top"/>
            <w:shd w:fill="D9EAF7"/>
          </w:tcPr>
          <w:p>
            <w:pPr>
              <w:spacing w:after="0" w:line="240" w:lineRule="auto"/>
            </w:pPr>
            <w:r/>
            <w:r>
              <w:rPr>
                <w:b/>
                <w:sz w:val="17"/>
              </w:rPr>
              <w:t>Certification / framework</w:t>
            </w:r>
          </w:p>
        </w:tc>
        <w:tc>
          <w:tcPr>
            <w:tcW w:type="dxa" w:w="2448"/>
            <w:vAlign w:val="top"/>
            <w:shd w:fill="D9EAF7"/>
          </w:tcPr>
          <w:p>
            <w:pPr>
              <w:spacing w:after="0" w:line="240" w:lineRule="auto"/>
            </w:pPr>
            <w:r/>
            <w:r>
              <w:rPr>
                <w:b/>
                <w:sz w:val="17"/>
              </w:rPr>
              <w:t>Applies to enterprise build?</w:t>
            </w:r>
          </w:p>
        </w:tc>
        <w:tc>
          <w:tcPr>
            <w:tcW w:type="dxa" w:w="3168"/>
            <w:vAlign w:val="top"/>
            <w:shd w:fill="D9EAF7"/>
          </w:tcPr>
          <w:p>
            <w:pPr>
              <w:spacing w:after="0" w:line="240" w:lineRule="auto"/>
            </w:pPr>
            <w:r/>
            <w:r>
              <w:rPr>
                <w:b/>
                <w:sz w:val="17"/>
              </w:rPr>
              <w:t>Current branch status</w:t>
            </w:r>
          </w:p>
        </w:tc>
        <w:tc>
          <w:tcPr>
            <w:tcW w:type="dxa" w:w="3744"/>
            <w:vAlign w:val="top"/>
            <w:shd w:fill="D9EAF7"/>
          </w:tcPr>
          <w:p>
            <w:pPr>
              <w:spacing w:after="0" w:line="240" w:lineRule="auto"/>
            </w:pPr>
            <w:r/>
            <w:r>
              <w:rPr>
                <w:b/>
                <w:sz w:val="17"/>
              </w:rPr>
              <w:t>What must exist before claiming readiness</w:t>
            </w:r>
          </w:p>
        </w:tc>
      </w:tr>
      <w:tr>
        <w:tc>
          <w:tcPr>
            <w:tcW w:type="dxa" w:w="2160"/>
            <w:vAlign w:val="top"/>
          </w:tcPr>
          <w:p>
            <w:pPr>
              <w:spacing w:after="0" w:line="240" w:lineRule="auto"/>
            </w:pPr>
            <w:r/>
            <w:r>
              <w:rPr>
                <w:b w:val="0"/>
                <w:sz w:val="14"/>
              </w:rPr>
              <w:t>SOC 2 Type I / Type II</w:t>
            </w:r>
          </w:p>
        </w:tc>
        <w:tc>
          <w:tcPr>
            <w:tcW w:type="dxa" w:w="2448"/>
            <w:vAlign w:val="top"/>
          </w:tcPr>
          <w:p>
            <w:pPr>
              <w:spacing w:after="0" w:line="240" w:lineRule="auto"/>
            </w:pPr>
            <w:r/>
            <w:r>
              <w:rPr>
                <w:b w:val="0"/>
                <w:sz w:val="14"/>
              </w:rPr>
              <w:t>Yes, if delivered as hosted SaaS, managed service, or enterprise cloud service.</w:t>
            </w:r>
          </w:p>
        </w:tc>
        <w:tc>
          <w:tcPr>
            <w:tcW w:type="dxa" w:w="3168"/>
            <w:vAlign w:val="top"/>
          </w:tcPr>
          <w:p>
            <w:pPr>
              <w:spacing w:after="0" w:line="240" w:lineRule="auto"/>
            </w:pPr>
            <w:r/>
            <w:r>
              <w:rPr>
                <w:b w:val="0"/>
                <w:sz w:val="14"/>
              </w:rPr>
              <w:t>Not ready. No service organization control environment, backend, monitoring, access reviews, incident process evidence, change evidence, or vendor evidence.</w:t>
            </w:r>
          </w:p>
        </w:tc>
        <w:tc>
          <w:tcPr>
            <w:tcW w:type="dxa" w:w="3744"/>
            <w:vAlign w:val="top"/>
          </w:tcPr>
          <w:p>
            <w:pPr>
              <w:spacing w:after="0" w:line="240" w:lineRule="auto"/>
            </w:pPr>
            <w:r/>
            <w:r>
              <w:rPr>
                <w:b w:val="0"/>
                <w:sz w:val="14"/>
              </w:rPr>
              <w:t>Define system boundary; implement security/availability/confidentiality controls; collect 3-6+ months operating evidence for Type II; auditor readiness review.</w:t>
            </w:r>
          </w:p>
        </w:tc>
      </w:tr>
      <w:tr>
        <w:tc>
          <w:tcPr>
            <w:tcW w:type="dxa" w:w="2160"/>
            <w:vAlign w:val="top"/>
          </w:tcPr>
          <w:p>
            <w:pPr>
              <w:spacing w:after="0" w:line="240" w:lineRule="auto"/>
            </w:pPr>
            <w:r/>
            <w:r>
              <w:rPr>
                <w:b w:val="0"/>
                <w:sz w:val="14"/>
              </w:rPr>
              <w:t>ISO/IEC 27001:2022</w:t>
            </w:r>
          </w:p>
        </w:tc>
        <w:tc>
          <w:tcPr>
            <w:tcW w:type="dxa" w:w="2448"/>
            <w:vAlign w:val="top"/>
          </w:tcPr>
          <w:p>
            <w:pPr>
              <w:spacing w:after="0" w:line="240" w:lineRule="auto"/>
            </w:pPr>
            <w:r/>
            <w:r>
              <w:rPr>
                <w:b w:val="0"/>
                <w:sz w:val="14"/>
              </w:rPr>
              <w:t>Yes, organization-level certification; not just app code.</w:t>
            </w:r>
          </w:p>
        </w:tc>
        <w:tc>
          <w:tcPr>
            <w:tcW w:type="dxa" w:w="3168"/>
            <w:vAlign w:val="top"/>
          </w:tcPr>
          <w:p>
            <w:pPr>
              <w:spacing w:after="0" w:line="240" w:lineRule="auto"/>
            </w:pPr>
            <w:r/>
            <w:r>
              <w:rPr>
                <w:b w:val="0"/>
                <w:sz w:val="14"/>
              </w:rPr>
              <w:t>Not ready. Code has controls, but no ISMS evidence: risk register, scope, SoA, internal audit, management review, asset inventory, supplier management, corrective actions.</w:t>
            </w:r>
          </w:p>
        </w:tc>
        <w:tc>
          <w:tcPr>
            <w:tcW w:type="dxa" w:w="3744"/>
            <w:vAlign w:val="top"/>
          </w:tcPr>
          <w:p>
            <w:pPr>
              <w:spacing w:after="0" w:line="240" w:lineRule="auto"/>
            </w:pPr>
            <w:r/>
            <w:r>
              <w:rPr>
                <w:b w:val="0"/>
                <w:sz w:val="14"/>
              </w:rPr>
              <w:t>Build ISMS, define scope, risk treatment plan, Statement of Applicability, policies, internal audit, management review, certification audit.</w:t>
            </w:r>
          </w:p>
        </w:tc>
      </w:tr>
      <w:tr>
        <w:tc>
          <w:tcPr>
            <w:tcW w:type="dxa" w:w="2160"/>
            <w:vAlign w:val="top"/>
          </w:tcPr>
          <w:p>
            <w:pPr>
              <w:spacing w:after="0" w:line="240" w:lineRule="auto"/>
            </w:pPr>
            <w:r/>
            <w:r>
              <w:rPr>
                <w:b w:val="0"/>
                <w:sz w:val="14"/>
              </w:rPr>
              <w:t>ISO/IEC 27701:2025</w:t>
            </w:r>
          </w:p>
        </w:tc>
        <w:tc>
          <w:tcPr>
            <w:tcW w:type="dxa" w:w="2448"/>
            <w:vAlign w:val="top"/>
          </w:tcPr>
          <w:p>
            <w:pPr>
              <w:spacing w:after="0" w:line="240" w:lineRule="auto"/>
            </w:pPr>
            <w:r/>
            <w:r>
              <w:rPr>
                <w:b w:val="0"/>
                <w:sz w:val="14"/>
              </w:rPr>
              <w:t>Yes if processing customer PII at scale or positioning as privacy-ready.</w:t>
            </w:r>
          </w:p>
        </w:tc>
        <w:tc>
          <w:tcPr>
            <w:tcW w:type="dxa" w:w="3168"/>
            <w:vAlign w:val="top"/>
          </w:tcPr>
          <w:p>
            <w:pPr>
              <w:spacing w:after="0" w:line="240" w:lineRule="auto"/>
            </w:pPr>
            <w:r/>
            <w:r>
              <w:rPr>
                <w:b w:val="0"/>
                <w:sz w:val="14"/>
              </w:rPr>
              <w:t>Not ready. Privacy statement exists in code/docs, but no PIMS, processor/controller roles, DSAR workflow, retention, deletion verification, subprocessor governance.</w:t>
            </w:r>
          </w:p>
        </w:tc>
        <w:tc>
          <w:tcPr>
            <w:tcW w:type="dxa" w:w="3744"/>
            <w:vAlign w:val="top"/>
          </w:tcPr>
          <w:p>
            <w:pPr>
              <w:spacing w:after="0" w:line="240" w:lineRule="auto"/>
            </w:pPr>
            <w:r/>
            <w:r>
              <w:rPr>
                <w:b w:val="0"/>
                <w:sz w:val="14"/>
              </w:rPr>
              <w:t>Create PII inventory, lawful basis/roles, retention/deletion controls, DPA/subprocessor list, privacy risk assessments, DSAR process.</w:t>
            </w:r>
          </w:p>
        </w:tc>
      </w:tr>
      <w:tr>
        <w:tc>
          <w:tcPr>
            <w:tcW w:type="dxa" w:w="2160"/>
            <w:vAlign w:val="top"/>
          </w:tcPr>
          <w:p>
            <w:pPr>
              <w:spacing w:after="0" w:line="240" w:lineRule="auto"/>
            </w:pPr>
            <w:r/>
            <w:r>
              <w:rPr>
                <w:b w:val="0"/>
                <w:sz w:val="14"/>
              </w:rPr>
              <w:t>OWASP ASVS 5.0 Level 2</w:t>
            </w:r>
          </w:p>
        </w:tc>
        <w:tc>
          <w:tcPr>
            <w:tcW w:type="dxa" w:w="2448"/>
            <w:vAlign w:val="top"/>
          </w:tcPr>
          <w:p>
            <w:pPr>
              <w:spacing w:after="0" w:line="240" w:lineRule="auto"/>
            </w:pPr>
            <w:r/>
            <w:r>
              <w:rPr>
                <w:b w:val="0"/>
                <w:sz w:val="14"/>
              </w:rPr>
              <w:t>Yes; should be the main technical web-app acceptance baseline.</w:t>
            </w:r>
          </w:p>
        </w:tc>
        <w:tc>
          <w:tcPr>
            <w:tcW w:type="dxa" w:w="3168"/>
            <w:vAlign w:val="top"/>
          </w:tcPr>
          <w:p>
            <w:pPr>
              <w:spacing w:after="0" w:line="240" w:lineRule="auto"/>
            </w:pPr>
            <w:r/>
            <w:r>
              <w:rPr>
                <w:b w:val="0"/>
                <w:sz w:val="14"/>
              </w:rPr>
              <w:t>Partial. Strong crypto, CSP, sanitization, MFA, session handling. Missing server-side authz/API controls because no enterprise backend exists.</w:t>
            </w:r>
          </w:p>
        </w:tc>
        <w:tc>
          <w:tcPr>
            <w:tcW w:type="dxa" w:w="3744"/>
            <w:vAlign w:val="top"/>
          </w:tcPr>
          <w:p>
            <w:pPr>
              <w:spacing w:after="0" w:line="240" w:lineRule="auto"/>
            </w:pPr>
            <w:r/>
            <w:r>
              <w:rPr>
                <w:b w:val="0"/>
                <w:sz w:val="14"/>
              </w:rPr>
              <w:t>Create ASVS requirement-by-requirement matrix; implement tests; run independent verification; document exceptions.</w:t>
            </w:r>
          </w:p>
        </w:tc>
      </w:tr>
      <w:tr>
        <w:tc>
          <w:tcPr>
            <w:tcW w:type="dxa" w:w="2160"/>
            <w:vAlign w:val="top"/>
          </w:tcPr>
          <w:p>
            <w:pPr>
              <w:spacing w:after="0" w:line="240" w:lineRule="auto"/>
            </w:pPr>
            <w:r/>
            <w:r>
              <w:rPr>
                <w:b w:val="0"/>
                <w:sz w:val="14"/>
              </w:rPr>
              <w:t>NIST SP 800-207 Zero Trust</w:t>
            </w:r>
          </w:p>
        </w:tc>
        <w:tc>
          <w:tcPr>
            <w:tcW w:type="dxa" w:w="2448"/>
            <w:vAlign w:val="top"/>
          </w:tcPr>
          <w:p>
            <w:pPr>
              <w:spacing w:after="0" w:line="240" w:lineRule="auto"/>
            </w:pPr>
            <w:r/>
            <w:r>
              <w:rPr>
                <w:b w:val="0"/>
                <w:sz w:val="14"/>
              </w:rPr>
              <w:t>Yes as architecture guidance, not a certificate.</w:t>
            </w:r>
          </w:p>
        </w:tc>
        <w:tc>
          <w:tcPr>
            <w:tcW w:type="dxa" w:w="3168"/>
            <w:vAlign w:val="top"/>
          </w:tcPr>
          <w:p>
            <w:pPr>
              <w:spacing w:after="0" w:line="240" w:lineRule="auto"/>
            </w:pPr>
            <w:r/>
            <w:r>
              <w:rPr>
                <w:b w:val="0"/>
                <w:sz w:val="14"/>
              </w:rPr>
              <w:t>Not zero-trust enterprise. No IdP, PDP/PEP, device posture, dynamic authorization, microsegmentation, resource-scoped policy, continuous evaluation.</w:t>
            </w:r>
          </w:p>
        </w:tc>
        <w:tc>
          <w:tcPr>
            <w:tcW w:type="dxa" w:w="3744"/>
            <w:vAlign w:val="top"/>
          </w:tcPr>
          <w:p>
            <w:pPr>
              <w:spacing w:after="0" w:line="240" w:lineRule="auto"/>
            </w:pPr>
            <w:r/>
            <w:r>
              <w:rPr>
                <w:b w:val="0"/>
                <w:sz w:val="14"/>
              </w:rPr>
              <w:t>Build identity/device/data/workload policy enforcement; server-side authorization; session risk; audit and telemetry loops.</w:t>
            </w:r>
          </w:p>
        </w:tc>
      </w:tr>
      <w:tr>
        <w:tc>
          <w:tcPr>
            <w:tcW w:type="dxa" w:w="2160"/>
            <w:vAlign w:val="top"/>
          </w:tcPr>
          <w:p>
            <w:pPr>
              <w:spacing w:after="0" w:line="240" w:lineRule="auto"/>
            </w:pPr>
            <w:r/>
            <w:r>
              <w:rPr>
                <w:b w:val="0"/>
                <w:sz w:val="14"/>
              </w:rPr>
              <w:t>NIST SP 800-63B-4</w:t>
            </w:r>
          </w:p>
        </w:tc>
        <w:tc>
          <w:tcPr>
            <w:tcW w:type="dxa" w:w="2448"/>
            <w:vAlign w:val="top"/>
          </w:tcPr>
          <w:p>
            <w:pPr>
              <w:spacing w:after="0" w:line="240" w:lineRule="auto"/>
            </w:pPr>
            <w:r/>
            <w:r>
              <w:rPr>
                <w:b w:val="0"/>
                <w:sz w:val="14"/>
              </w:rPr>
              <w:t>Yes for authentication design.</w:t>
            </w:r>
          </w:p>
        </w:tc>
        <w:tc>
          <w:tcPr>
            <w:tcW w:type="dxa" w:w="3168"/>
            <w:vAlign w:val="top"/>
          </w:tcPr>
          <w:p>
            <w:pPr>
              <w:spacing w:after="0" w:line="240" w:lineRule="auto"/>
            </w:pPr>
            <w:r/>
            <w:r>
              <w:rPr>
                <w:b w:val="0"/>
                <w:sz w:val="14"/>
              </w:rPr>
              <w:t>Partial. Password/TOTP/passkey ideas exist. Enterprise IdP/federation and authenticator lifecycle do not.</w:t>
            </w:r>
          </w:p>
        </w:tc>
        <w:tc>
          <w:tcPr>
            <w:tcW w:type="dxa" w:w="3744"/>
            <w:vAlign w:val="top"/>
          </w:tcPr>
          <w:p>
            <w:pPr>
              <w:spacing w:after="0" w:line="240" w:lineRule="auto"/>
            </w:pPr>
            <w:r/>
            <w:r>
              <w:rPr>
                <w:b w:val="0"/>
                <w:sz w:val="14"/>
              </w:rPr>
              <w:t>Integrate OIDC/SAML with enterprise MFA, session management, credential recovery, authenticator binding/removal, step-up auth, reauthentication rules.</w:t>
            </w:r>
          </w:p>
        </w:tc>
      </w:tr>
      <w:tr>
        <w:tc>
          <w:tcPr>
            <w:tcW w:type="dxa" w:w="2160"/>
            <w:vAlign w:val="top"/>
          </w:tcPr>
          <w:p>
            <w:pPr>
              <w:spacing w:after="0" w:line="240" w:lineRule="auto"/>
            </w:pPr>
            <w:r/>
            <w:r>
              <w:rPr>
                <w:b w:val="0"/>
                <w:sz w:val="14"/>
              </w:rPr>
              <w:t>NIST SP 800-218 SSDF</w:t>
            </w:r>
          </w:p>
        </w:tc>
        <w:tc>
          <w:tcPr>
            <w:tcW w:type="dxa" w:w="2448"/>
            <w:vAlign w:val="top"/>
          </w:tcPr>
          <w:p>
            <w:pPr>
              <w:spacing w:after="0" w:line="240" w:lineRule="auto"/>
            </w:pPr>
            <w:r/>
            <w:r>
              <w:rPr>
                <w:b w:val="0"/>
                <w:sz w:val="14"/>
              </w:rPr>
              <w:t>Yes for secure software development process.</w:t>
            </w:r>
          </w:p>
        </w:tc>
        <w:tc>
          <w:tcPr>
            <w:tcW w:type="dxa" w:w="3168"/>
            <w:vAlign w:val="top"/>
          </w:tcPr>
          <w:p>
            <w:pPr>
              <w:spacing w:after="0" w:line="240" w:lineRule="auto"/>
            </w:pPr>
            <w:r/>
            <w:r>
              <w:rPr>
                <w:b w:val="0"/>
                <w:sz w:val="14"/>
              </w:rPr>
              <w:t>Not evidenced. Typecheck script exists, but no proof of SAST/SCA/secret scanning, code review, release signing, vulnerability disclosure, or change approvals.</w:t>
            </w:r>
          </w:p>
        </w:tc>
        <w:tc>
          <w:tcPr>
            <w:tcW w:type="dxa" w:w="3744"/>
            <w:vAlign w:val="top"/>
          </w:tcPr>
          <w:p>
            <w:pPr>
              <w:spacing w:after="0" w:line="240" w:lineRule="auto"/>
            </w:pPr>
            <w:r/>
            <w:r>
              <w:rPr>
                <w:b w:val="0"/>
                <w:sz w:val="14"/>
              </w:rPr>
              <w:t>Implement CI security gates, SBOM, dependency review, signed releases, vulnerability management, secure design reviews.</w:t>
            </w:r>
          </w:p>
        </w:tc>
      </w:tr>
      <w:tr>
        <w:tc>
          <w:tcPr>
            <w:tcW w:type="dxa" w:w="2160"/>
            <w:vAlign w:val="top"/>
          </w:tcPr>
          <w:p>
            <w:pPr>
              <w:spacing w:after="0" w:line="240" w:lineRule="auto"/>
            </w:pPr>
            <w:r/>
            <w:r>
              <w:rPr>
                <w:b w:val="0"/>
                <w:sz w:val="14"/>
              </w:rPr>
              <w:t>NIST SP 800-53 / FedRAMP Moderate/High</w:t>
            </w:r>
          </w:p>
        </w:tc>
        <w:tc>
          <w:tcPr>
            <w:tcW w:type="dxa" w:w="2448"/>
            <w:vAlign w:val="top"/>
          </w:tcPr>
          <w:p>
            <w:pPr>
              <w:spacing w:after="0" w:line="240" w:lineRule="auto"/>
            </w:pPr>
            <w:r/>
            <w:r>
              <w:rPr>
                <w:b w:val="0"/>
                <w:sz w:val="14"/>
              </w:rPr>
              <w:t>Only if selling cloud service to US federal agencies.</w:t>
            </w:r>
          </w:p>
        </w:tc>
        <w:tc>
          <w:tcPr>
            <w:tcW w:type="dxa" w:w="3168"/>
            <w:vAlign w:val="top"/>
          </w:tcPr>
          <w:p>
            <w:pPr>
              <w:spacing w:after="0" w:line="240" w:lineRule="auto"/>
            </w:pPr>
            <w:r/>
            <w:r>
              <w:rPr>
                <w:b w:val="0"/>
                <w:sz w:val="14"/>
              </w:rPr>
              <w:t>Not ready. No cloud boundary, SSP, POA&amp;M, continuous monitoring, 3PAO evidence, cloud service architecture, or inherited controls.</w:t>
            </w:r>
          </w:p>
        </w:tc>
        <w:tc>
          <w:tcPr>
            <w:tcW w:type="dxa" w:w="3744"/>
            <w:vAlign w:val="top"/>
          </w:tcPr>
          <w:p>
            <w:pPr>
              <w:spacing w:after="0" w:line="240" w:lineRule="auto"/>
            </w:pPr>
            <w:r/>
            <w:r>
              <w:rPr>
                <w:b w:val="0"/>
                <w:sz w:val="14"/>
              </w:rPr>
              <w:t>Design federal cloud boundary, FedRAMP authorization strategy, control implementation statements, automated evidence, SSP, POA&amp;M, incident/IR integrations.</w:t>
            </w:r>
          </w:p>
        </w:tc>
      </w:tr>
      <w:tr>
        <w:tc>
          <w:tcPr>
            <w:tcW w:type="dxa" w:w="2160"/>
            <w:vAlign w:val="top"/>
          </w:tcPr>
          <w:p>
            <w:pPr>
              <w:spacing w:after="0" w:line="240" w:lineRule="auto"/>
            </w:pPr>
            <w:r/>
            <w:r>
              <w:rPr>
                <w:b w:val="0"/>
                <w:sz w:val="14"/>
              </w:rPr>
              <w:t>FedRAMP 20x</w:t>
            </w:r>
          </w:p>
        </w:tc>
        <w:tc>
          <w:tcPr>
            <w:tcW w:type="dxa" w:w="2448"/>
            <w:vAlign w:val="top"/>
          </w:tcPr>
          <w:p>
            <w:pPr>
              <w:spacing w:after="0" w:line="240" w:lineRule="auto"/>
            </w:pPr>
            <w:r/>
            <w:r>
              <w:rPr>
                <w:b w:val="0"/>
                <w:sz w:val="14"/>
              </w:rPr>
              <w:t>Only for cloud service pursuing federal authorization path.</w:t>
            </w:r>
          </w:p>
        </w:tc>
        <w:tc>
          <w:tcPr>
            <w:tcW w:type="dxa" w:w="3168"/>
            <w:vAlign w:val="top"/>
          </w:tcPr>
          <w:p>
            <w:pPr>
              <w:spacing w:after="0" w:line="240" w:lineRule="auto"/>
            </w:pPr>
            <w:r/>
            <w:r>
              <w:rPr>
                <w:b w:val="0"/>
                <w:sz w:val="14"/>
              </w:rPr>
              <w:t>Not ready. No cloud-native evidence automation, inventory, vulnerability, IAM, logging, encryption, network, or KSI pipeline.</w:t>
            </w:r>
          </w:p>
        </w:tc>
        <w:tc>
          <w:tcPr>
            <w:tcW w:type="dxa" w:w="3744"/>
            <w:vAlign w:val="top"/>
          </w:tcPr>
          <w:p>
            <w:pPr>
              <w:spacing w:after="0" w:line="240" w:lineRule="auto"/>
            </w:pPr>
            <w:r/>
            <w:r>
              <w:rPr>
                <w:b w:val="0"/>
                <w:sz w:val="14"/>
              </w:rPr>
              <w:t>Build automated evidence collection and KSI-aligned controls early if federal is a target market.</w:t>
            </w:r>
          </w:p>
        </w:tc>
      </w:tr>
      <w:tr>
        <w:tc>
          <w:tcPr>
            <w:tcW w:type="dxa" w:w="2160"/>
            <w:vAlign w:val="top"/>
          </w:tcPr>
          <w:p>
            <w:pPr>
              <w:spacing w:after="0" w:line="240" w:lineRule="auto"/>
            </w:pPr>
            <w:r/>
            <w:r>
              <w:rPr>
                <w:b w:val="0"/>
                <w:sz w:val="14"/>
              </w:rPr>
              <w:t>CSA CCM / STAR</w:t>
            </w:r>
          </w:p>
        </w:tc>
        <w:tc>
          <w:tcPr>
            <w:tcW w:type="dxa" w:w="2448"/>
            <w:vAlign w:val="top"/>
          </w:tcPr>
          <w:p>
            <w:pPr>
              <w:spacing w:after="0" w:line="240" w:lineRule="auto"/>
            </w:pPr>
            <w:r/>
            <w:r>
              <w:rPr>
                <w:b w:val="0"/>
                <w:sz w:val="14"/>
              </w:rPr>
              <w:t>Yes if enterprise cloud or SaaS.</w:t>
            </w:r>
          </w:p>
        </w:tc>
        <w:tc>
          <w:tcPr>
            <w:tcW w:type="dxa" w:w="3168"/>
            <w:vAlign w:val="top"/>
          </w:tcPr>
          <w:p>
            <w:pPr>
              <w:spacing w:after="0" w:line="240" w:lineRule="auto"/>
            </w:pPr>
            <w:r/>
            <w:r>
              <w:rPr>
                <w:b w:val="0"/>
                <w:sz w:val="14"/>
              </w:rPr>
              <w:t>Not ready. No cloud shared-responsibility model or CCM domain evidence.</w:t>
            </w:r>
          </w:p>
        </w:tc>
        <w:tc>
          <w:tcPr>
            <w:tcW w:type="dxa" w:w="3744"/>
            <w:vAlign w:val="top"/>
          </w:tcPr>
          <w:p>
            <w:pPr>
              <w:spacing w:after="0" w:line="240" w:lineRule="auto"/>
            </w:pPr>
            <w:r/>
            <w:r>
              <w:rPr>
                <w:b w:val="0"/>
                <w:sz w:val="14"/>
              </w:rPr>
              <w:t>Map CCM domains to architecture; complete CAIQ; implement STAR Level 1 self-assessment, then Level 2 certification/attestation if needed.</w:t>
            </w:r>
          </w:p>
        </w:tc>
      </w:tr>
      <w:tr>
        <w:tc>
          <w:tcPr>
            <w:tcW w:type="dxa" w:w="2160"/>
            <w:vAlign w:val="top"/>
          </w:tcPr>
          <w:p>
            <w:pPr>
              <w:spacing w:after="0" w:line="240" w:lineRule="auto"/>
            </w:pPr>
            <w:r/>
            <w:r>
              <w:rPr>
                <w:b w:val="0"/>
                <w:sz w:val="14"/>
              </w:rPr>
              <w:t>WCAG 2.2 AA / VPAT</w:t>
            </w:r>
          </w:p>
        </w:tc>
        <w:tc>
          <w:tcPr>
            <w:tcW w:type="dxa" w:w="2448"/>
            <w:vAlign w:val="top"/>
          </w:tcPr>
          <w:p>
            <w:pPr>
              <w:spacing w:after="0" w:line="240" w:lineRule="auto"/>
            </w:pPr>
            <w:r/>
            <w:r>
              <w:rPr>
                <w:b w:val="0"/>
                <w:sz w:val="14"/>
              </w:rPr>
              <w:t>Yes for enterprise and public-sector procurement.</w:t>
            </w:r>
          </w:p>
        </w:tc>
        <w:tc>
          <w:tcPr>
            <w:tcW w:type="dxa" w:w="3168"/>
            <w:vAlign w:val="top"/>
          </w:tcPr>
          <w:p>
            <w:pPr>
              <w:spacing w:after="0" w:line="240" w:lineRule="auto"/>
            </w:pPr>
            <w:r/>
            <w:r>
              <w:rPr>
                <w:b w:val="0"/>
                <w:sz w:val="14"/>
              </w:rPr>
              <w:t>Unknown. No accessibility audit evidence found. UI uses many custom controls, modals, icon buttons, tables, and editor surfaces.</w:t>
            </w:r>
          </w:p>
        </w:tc>
        <w:tc>
          <w:tcPr>
            <w:tcW w:type="dxa" w:w="3744"/>
            <w:vAlign w:val="top"/>
          </w:tcPr>
          <w:p>
            <w:pPr>
              <w:spacing w:after="0" w:line="240" w:lineRule="auto"/>
            </w:pPr>
            <w:r/>
            <w:r>
              <w:rPr>
                <w:b w:val="0"/>
                <w:sz w:val="14"/>
              </w:rPr>
              <w:t>Keyboard/screen-reader audit, color contrast, focus management, ARIA labels, form labels, VPAT, regression tests.</w:t>
            </w:r>
          </w:p>
        </w:tc>
      </w:tr>
      <w:tr>
        <w:tc>
          <w:tcPr>
            <w:tcW w:type="dxa" w:w="2160"/>
            <w:vAlign w:val="top"/>
          </w:tcPr>
          <w:p>
            <w:pPr>
              <w:spacing w:after="0" w:line="240" w:lineRule="auto"/>
            </w:pPr>
            <w:r/>
            <w:r>
              <w:rPr>
                <w:b w:val="0"/>
                <w:sz w:val="14"/>
              </w:rPr>
              <w:t>ISO/IEC 42001:2023</w:t>
            </w:r>
          </w:p>
        </w:tc>
        <w:tc>
          <w:tcPr>
            <w:tcW w:type="dxa" w:w="2448"/>
            <w:vAlign w:val="top"/>
          </w:tcPr>
          <w:p>
            <w:pPr>
              <w:spacing w:after="0" w:line="240" w:lineRule="auto"/>
            </w:pPr>
            <w:r/>
            <w:r>
              <w:rPr>
                <w:b w:val="0"/>
                <w:sz w:val="14"/>
              </w:rPr>
              <w:t>Yes if AI becomes a material product function.</w:t>
            </w:r>
          </w:p>
        </w:tc>
        <w:tc>
          <w:tcPr>
            <w:tcW w:type="dxa" w:w="3168"/>
            <w:vAlign w:val="top"/>
          </w:tcPr>
          <w:p>
            <w:pPr>
              <w:spacing w:after="0" w:line="240" w:lineRule="auto"/>
            </w:pPr>
            <w:r/>
            <w:r>
              <w:rPr>
                <w:b w:val="0"/>
                <w:sz w:val="14"/>
              </w:rPr>
              <w:t>Not ready. AI runtime and cloud/local options exist; no AI management system, risk classification, model inventory, impact assessment, or AI supplier governance.</w:t>
            </w:r>
          </w:p>
        </w:tc>
        <w:tc>
          <w:tcPr>
            <w:tcW w:type="dxa" w:w="3744"/>
            <w:vAlign w:val="top"/>
          </w:tcPr>
          <w:p>
            <w:pPr>
              <w:spacing w:after="0" w:line="240" w:lineRule="auto"/>
            </w:pPr>
            <w:r/>
            <w:r>
              <w:rPr>
                <w:b w:val="0"/>
                <w:sz w:val="14"/>
              </w:rPr>
              <w:t>Create AI governance, model inventory, prompt/data boundary rules, AI audit, human approval rules, evaluation and monitoring.</w:t>
            </w:r>
          </w:p>
        </w:tc>
      </w:tr>
      <w:tr>
        <w:tc>
          <w:tcPr>
            <w:tcW w:type="dxa" w:w="2160"/>
            <w:vAlign w:val="top"/>
          </w:tcPr>
          <w:p>
            <w:pPr>
              <w:spacing w:after="0" w:line="240" w:lineRule="auto"/>
            </w:pPr>
            <w:r/>
            <w:r>
              <w:rPr>
                <w:b w:val="0"/>
                <w:sz w:val="14"/>
              </w:rPr>
              <w:t>PCI DSS v4.0.1</w:t>
            </w:r>
          </w:p>
        </w:tc>
        <w:tc>
          <w:tcPr>
            <w:tcW w:type="dxa" w:w="2448"/>
            <w:vAlign w:val="top"/>
          </w:tcPr>
          <w:p>
            <w:pPr>
              <w:spacing w:after="0" w:line="240" w:lineRule="auto"/>
            </w:pPr>
            <w:r/>
            <w:r>
              <w:rPr>
                <w:b w:val="0"/>
                <w:sz w:val="14"/>
              </w:rPr>
              <w:t>Only if storing, processing, or transmitting payment card data.</w:t>
            </w:r>
          </w:p>
        </w:tc>
        <w:tc>
          <w:tcPr>
            <w:tcW w:type="dxa" w:w="3168"/>
            <w:vAlign w:val="top"/>
          </w:tcPr>
          <w:p>
            <w:pPr>
              <w:spacing w:after="0" w:line="240" w:lineRule="auto"/>
            </w:pPr>
            <w:r/>
            <w:r>
              <w:rPr>
                <w:b w:val="0"/>
                <w:sz w:val="14"/>
              </w:rPr>
              <w:t>Not applicable based on observed app scope.</w:t>
            </w:r>
          </w:p>
        </w:tc>
        <w:tc>
          <w:tcPr>
            <w:tcW w:type="dxa" w:w="3744"/>
            <w:vAlign w:val="top"/>
          </w:tcPr>
          <w:p>
            <w:pPr>
              <w:spacing w:after="0" w:line="240" w:lineRule="auto"/>
            </w:pPr>
            <w:r/>
            <w:r>
              <w:rPr>
                <w:b w:val="0"/>
                <w:sz w:val="14"/>
              </w:rPr>
              <w:t>Keep cardholder data out of scope. If payments are added, isolate via PCI-compliant provider/tokenization.</w:t>
            </w:r>
          </w:p>
        </w:tc>
      </w:tr>
      <w:tr>
        <w:tc>
          <w:tcPr>
            <w:tcW w:type="dxa" w:w="2160"/>
            <w:vAlign w:val="top"/>
          </w:tcPr>
          <w:p>
            <w:pPr>
              <w:spacing w:after="0" w:line="240" w:lineRule="auto"/>
            </w:pPr>
            <w:r/>
            <w:r>
              <w:rPr>
                <w:b w:val="0"/>
                <w:sz w:val="14"/>
              </w:rPr>
              <w:t>HIPAA / HITRUST</w:t>
            </w:r>
          </w:p>
        </w:tc>
        <w:tc>
          <w:tcPr>
            <w:tcW w:type="dxa" w:w="2448"/>
            <w:vAlign w:val="top"/>
          </w:tcPr>
          <w:p>
            <w:pPr>
              <w:spacing w:after="0" w:line="240" w:lineRule="auto"/>
            </w:pPr>
            <w:r/>
            <w:r>
              <w:rPr>
                <w:b w:val="0"/>
                <w:sz w:val="14"/>
              </w:rPr>
              <w:t>Only if PHI is stored or processed for covered entities/business associates.</w:t>
            </w:r>
          </w:p>
        </w:tc>
        <w:tc>
          <w:tcPr>
            <w:tcW w:type="dxa" w:w="3168"/>
            <w:vAlign w:val="top"/>
          </w:tcPr>
          <w:p>
            <w:pPr>
              <w:spacing w:after="0" w:line="240" w:lineRule="auto"/>
            </w:pPr>
            <w:r/>
            <w:r>
              <w:rPr>
                <w:b w:val="0"/>
                <w:sz w:val="14"/>
              </w:rPr>
              <w:t>Not applicable based on observed app scope.</w:t>
            </w:r>
          </w:p>
        </w:tc>
        <w:tc>
          <w:tcPr>
            <w:tcW w:type="dxa" w:w="3744"/>
            <w:vAlign w:val="top"/>
          </w:tcPr>
          <w:p>
            <w:pPr>
              <w:spacing w:after="0" w:line="240" w:lineRule="auto"/>
            </w:pPr>
            <w:r/>
            <w:r>
              <w:rPr>
                <w:b w:val="0"/>
                <w:sz w:val="14"/>
              </w:rPr>
              <w:t>Avoid PHI unless deliberately building healthcare compliance. If added, implement HIPAA security/privacy controls, BAA workflow, audit, access, retention.</w:t>
            </w:r>
          </w:p>
        </w:tc>
      </w:tr>
      <w:tr>
        <w:tc>
          <w:tcPr>
            <w:tcW w:type="dxa" w:w="2160"/>
            <w:vAlign w:val="top"/>
          </w:tcPr>
          <w:p>
            <w:pPr>
              <w:spacing w:after="0" w:line="240" w:lineRule="auto"/>
            </w:pPr>
            <w:r/>
            <w:r>
              <w:rPr>
                <w:b w:val="0"/>
                <w:sz w:val="14"/>
              </w:rPr>
              <w:t>FIPS 140-3</w:t>
            </w:r>
          </w:p>
        </w:tc>
        <w:tc>
          <w:tcPr>
            <w:tcW w:type="dxa" w:w="2448"/>
            <w:vAlign w:val="top"/>
          </w:tcPr>
          <w:p>
            <w:pPr>
              <w:spacing w:after="0" w:line="240" w:lineRule="auto"/>
            </w:pPr>
            <w:r/>
            <w:r>
              <w:rPr>
                <w:b w:val="0"/>
                <w:sz w:val="14"/>
              </w:rPr>
              <w:t>Only if required by federal/regulated customers for validated crypto modules.</w:t>
            </w:r>
          </w:p>
        </w:tc>
        <w:tc>
          <w:tcPr>
            <w:tcW w:type="dxa" w:w="3168"/>
            <w:vAlign w:val="top"/>
          </w:tcPr>
          <w:p>
            <w:pPr>
              <w:spacing w:after="0" w:line="240" w:lineRule="auto"/>
            </w:pPr>
            <w:r/>
            <w:r>
              <w:rPr>
                <w:b w:val="0"/>
                <w:sz w:val="14"/>
              </w:rPr>
              <w:t>Cannot claim. WebCrypto using AES/PBKDF2 is not automatically FIPS validated.</w:t>
            </w:r>
          </w:p>
        </w:tc>
        <w:tc>
          <w:tcPr>
            <w:tcW w:type="dxa" w:w="3744"/>
            <w:vAlign w:val="top"/>
          </w:tcPr>
          <w:p>
            <w:pPr>
              <w:spacing w:after="0" w:line="240" w:lineRule="auto"/>
            </w:pPr>
            <w:r/>
            <w:r>
              <w:rPr>
                <w:b w:val="0"/>
                <w:sz w:val="14"/>
              </w:rPr>
              <w:t>Use validated cryptographic modules/platforms and document module certificate/boundary; do not claim FIPS without validation evidence.</w:t>
            </w:r>
          </w:p>
        </w:tc>
      </w:tr>
    </w:tbl>
    <w:p/>
    <w:p>
      <w:pPr>
        <w:pStyle w:val="Heading1"/>
      </w:pPr>
      <w:r>
        <w:t>Zero Trust assessment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shd w:fill="D9EAF7"/>
          </w:tcPr>
          <w:p>
            <w:pPr>
              <w:spacing w:after="0" w:line="240" w:lineRule="auto"/>
            </w:pPr>
            <w:r/>
            <w:r>
              <w:rPr>
                <w:b/>
                <w:sz w:val="17"/>
              </w:rPr>
              <w:t>Zero Trust pillar</w:t>
            </w:r>
          </w:p>
        </w:tc>
        <w:tc>
          <w:tcPr>
            <w:tcW w:type="dxa" w:w="2880"/>
            <w:vAlign w:val="top"/>
            <w:shd w:fill="D9EAF7"/>
          </w:tcPr>
          <w:p>
            <w:pPr>
              <w:spacing w:after="0" w:line="240" w:lineRule="auto"/>
            </w:pPr>
            <w:r/>
            <w:r>
              <w:rPr>
                <w:b/>
                <w:sz w:val="17"/>
              </w:rPr>
              <w:t>Observed state</w:t>
            </w:r>
          </w:p>
        </w:tc>
        <w:tc>
          <w:tcPr>
            <w:tcW w:type="dxa" w:w="3168"/>
            <w:vAlign w:val="top"/>
            <w:shd w:fill="D9EAF7"/>
          </w:tcPr>
          <w:p>
            <w:pPr>
              <w:spacing w:after="0" w:line="240" w:lineRule="auto"/>
            </w:pPr>
            <w:r/>
            <w:r>
              <w:rPr>
                <w:b/>
                <w:sz w:val="17"/>
              </w:rPr>
              <w:t>Gap</w:t>
            </w:r>
          </w:p>
        </w:tc>
        <w:tc>
          <w:tcPr>
            <w:tcW w:type="dxa" w:w="3456"/>
            <w:vAlign w:val="top"/>
            <w:shd w:fill="D9EAF7"/>
          </w:tcPr>
          <w:p>
            <w:pPr>
              <w:spacing w:after="0" w:line="240" w:lineRule="auto"/>
            </w:pPr>
            <w:r/>
            <w:r>
              <w:rPr>
                <w:b/>
                <w:sz w:val="17"/>
              </w:rPr>
              <w:t>Implementation direction</w:t>
            </w:r>
          </w:p>
        </w:tc>
      </w:tr>
      <w:tr>
        <w:tc>
          <w:tcPr>
            <w:tcW w:type="dxa" w:w="2016"/>
            <w:vAlign w:val="top"/>
          </w:tcPr>
          <w:p>
            <w:pPr>
              <w:spacing w:after="0" w:line="240" w:lineRule="auto"/>
            </w:pPr>
            <w:r/>
            <w:r>
              <w:rPr>
                <w:b w:val="0"/>
                <w:sz w:val="14"/>
              </w:rPr>
              <w:t>Identity</w:t>
            </w:r>
          </w:p>
        </w:tc>
        <w:tc>
          <w:tcPr>
            <w:tcW w:type="dxa" w:w="2880"/>
            <w:vAlign w:val="top"/>
          </w:tcPr>
          <w:p>
            <w:pPr>
              <w:spacing w:after="0" w:line="240" w:lineRule="auto"/>
            </w:pPr>
            <w:r/>
            <w:r>
              <w:rPr>
                <w:b w:val="0"/>
                <w:sz w:val="14"/>
              </w:rPr>
              <w:t>Local master password, TOTP, passkey PRF logic exist.</w:t>
            </w:r>
          </w:p>
        </w:tc>
        <w:tc>
          <w:tcPr>
            <w:tcW w:type="dxa" w:w="3168"/>
            <w:vAlign w:val="top"/>
          </w:tcPr>
          <w:p>
            <w:pPr>
              <w:spacing w:after="0" w:line="240" w:lineRule="auto"/>
            </w:pPr>
            <w:r/>
            <w:r>
              <w:rPr>
                <w:b w:val="0"/>
                <w:sz w:val="14"/>
              </w:rPr>
              <w:t>No enterprise identity provider, federation, lifecycle, privileged access management, SCIM, or conditional access.</w:t>
            </w:r>
          </w:p>
        </w:tc>
        <w:tc>
          <w:tcPr>
            <w:tcW w:type="dxa" w:w="3456"/>
            <w:vAlign w:val="top"/>
          </w:tcPr>
          <w:p>
            <w:pPr>
              <w:spacing w:after="0" w:line="240" w:lineRule="auto"/>
            </w:pPr>
            <w:r/>
            <w:r>
              <w:rPr>
                <w:b w:val="0"/>
                <w:sz w:val="14"/>
              </w:rPr>
              <w:t>Use IdP federation (OIDC/SAML), SCIM, MFA enforcement, group/role claims, privileged admin workflow, reauth policies.</w:t>
            </w:r>
          </w:p>
        </w:tc>
      </w:tr>
      <w:tr>
        <w:tc>
          <w:tcPr>
            <w:tcW w:type="dxa" w:w="2016"/>
            <w:vAlign w:val="top"/>
          </w:tcPr>
          <w:p>
            <w:pPr>
              <w:spacing w:after="0" w:line="240" w:lineRule="auto"/>
            </w:pPr>
            <w:r/>
            <w:r>
              <w:rPr>
                <w:b w:val="0"/>
                <w:sz w:val="14"/>
              </w:rPr>
              <w:t>Device</w:t>
            </w:r>
          </w:p>
        </w:tc>
        <w:tc>
          <w:tcPr>
            <w:tcW w:type="dxa" w:w="2880"/>
            <w:vAlign w:val="top"/>
          </w:tcPr>
          <w:p>
            <w:pPr>
              <w:spacing w:after="0" w:line="240" w:lineRule="auto"/>
            </w:pPr>
            <w:r/>
            <w:r>
              <w:rPr>
                <w:b w:val="0"/>
                <w:sz w:val="14"/>
              </w:rPr>
              <w:t>No enterprise device posture controls observed.</w:t>
            </w:r>
          </w:p>
        </w:tc>
        <w:tc>
          <w:tcPr>
            <w:tcW w:type="dxa" w:w="3168"/>
            <w:vAlign w:val="top"/>
          </w:tcPr>
          <w:p>
            <w:pPr>
              <w:spacing w:after="0" w:line="240" w:lineRule="auto"/>
            </w:pPr>
            <w:r/>
            <w:r>
              <w:rPr>
                <w:b w:val="0"/>
                <w:sz w:val="14"/>
              </w:rPr>
              <w:t>No managed-device checks, MDM compliance, jailbreak/root detection for mobile, or browser/device trust signals.</w:t>
            </w:r>
          </w:p>
        </w:tc>
        <w:tc>
          <w:tcPr>
            <w:tcW w:type="dxa" w:w="3456"/>
            <w:vAlign w:val="top"/>
          </w:tcPr>
          <w:p>
            <w:pPr>
              <w:spacing w:after="0" w:line="240" w:lineRule="auto"/>
            </w:pPr>
            <w:r/>
            <w:r>
              <w:rPr>
                <w:b w:val="0"/>
                <w:sz w:val="14"/>
              </w:rPr>
              <w:t>Integrate MDM/Intune/Jamf/Android Enterprise signals, device compliance claims, session risk, managed app config.</w:t>
            </w:r>
          </w:p>
        </w:tc>
      </w:tr>
      <w:tr>
        <w:tc>
          <w:tcPr>
            <w:tcW w:type="dxa" w:w="2016"/>
            <w:vAlign w:val="top"/>
          </w:tcPr>
          <w:p>
            <w:pPr>
              <w:spacing w:after="0" w:line="240" w:lineRule="auto"/>
            </w:pPr>
            <w:r/>
            <w:r>
              <w:rPr>
                <w:b w:val="0"/>
                <w:sz w:val="14"/>
              </w:rPr>
              <w:t>Network/environment</w:t>
            </w:r>
          </w:p>
        </w:tc>
        <w:tc>
          <w:tcPr>
            <w:tcW w:type="dxa" w:w="2880"/>
            <w:vAlign w:val="top"/>
          </w:tcPr>
          <w:p>
            <w:pPr>
              <w:spacing w:after="0" w:line="240" w:lineRule="auto"/>
            </w:pPr>
            <w:r/>
            <w:r>
              <w:rPr>
                <w:b w:val="0"/>
                <w:sz w:val="14"/>
              </w:rPr>
              <w:t>Offline CSP restricts network. Enterprise architecture not implemented.</w:t>
            </w:r>
          </w:p>
        </w:tc>
        <w:tc>
          <w:tcPr>
            <w:tcW w:type="dxa" w:w="3168"/>
            <w:vAlign w:val="top"/>
          </w:tcPr>
          <w:p>
            <w:pPr>
              <w:spacing w:after="0" w:line="240" w:lineRule="auto"/>
            </w:pPr>
            <w:r/>
            <w:r>
              <w:rPr>
                <w:b w:val="0"/>
                <w:sz w:val="14"/>
              </w:rPr>
              <w:t>No service mesh, API gateway, network segmentation, tenant boundary, DDoS/WAF, or private connectivity model.</w:t>
            </w:r>
          </w:p>
        </w:tc>
        <w:tc>
          <w:tcPr>
            <w:tcW w:type="dxa" w:w="3456"/>
            <w:vAlign w:val="top"/>
          </w:tcPr>
          <w:p>
            <w:pPr>
              <w:spacing w:after="0" w:line="240" w:lineRule="auto"/>
            </w:pPr>
            <w:r/>
            <w:r>
              <w:rPr>
                <w:b w:val="0"/>
                <w:sz w:val="14"/>
              </w:rPr>
              <w:t>Use API gateway, WAF, private service endpoints, rate limiting, egress controls, zero-trust network access where needed.</w:t>
            </w:r>
          </w:p>
        </w:tc>
      </w:tr>
      <w:tr>
        <w:tc>
          <w:tcPr>
            <w:tcW w:type="dxa" w:w="2016"/>
            <w:vAlign w:val="top"/>
          </w:tcPr>
          <w:p>
            <w:pPr>
              <w:spacing w:after="0" w:line="240" w:lineRule="auto"/>
            </w:pPr>
            <w:r/>
            <w:r>
              <w:rPr>
                <w:b w:val="0"/>
                <w:sz w:val="14"/>
              </w:rPr>
              <w:t>Application/workload</w:t>
            </w:r>
          </w:p>
        </w:tc>
        <w:tc>
          <w:tcPr>
            <w:tcW w:type="dxa" w:w="2880"/>
            <w:vAlign w:val="top"/>
          </w:tcPr>
          <w:p>
            <w:pPr>
              <w:spacing w:after="0" w:line="240" w:lineRule="auto"/>
            </w:pPr>
            <w:r/>
            <w:r>
              <w:rPr>
                <w:b w:val="0"/>
                <w:sz w:val="14"/>
              </w:rPr>
              <w:t>Client-side controls and adapter seam exist.</w:t>
            </w:r>
          </w:p>
        </w:tc>
        <w:tc>
          <w:tcPr>
            <w:tcW w:type="dxa" w:w="3168"/>
            <w:vAlign w:val="top"/>
          </w:tcPr>
          <w:p>
            <w:pPr>
              <w:spacing w:after="0" w:line="240" w:lineRule="auto"/>
            </w:pPr>
            <w:r/>
            <w:r>
              <w:rPr>
                <w:b w:val="0"/>
                <w:sz w:val="14"/>
              </w:rPr>
              <w:t>No server-side PEP enforcing object-level authorization.</w:t>
            </w:r>
          </w:p>
        </w:tc>
        <w:tc>
          <w:tcPr>
            <w:tcW w:type="dxa" w:w="3456"/>
            <w:vAlign w:val="top"/>
          </w:tcPr>
          <w:p>
            <w:pPr>
              <w:spacing w:after="0" w:line="240" w:lineRule="auto"/>
            </w:pPr>
            <w:r/>
            <w:r>
              <w:rPr>
                <w:b w:val="0"/>
                <w:sz w:val="14"/>
              </w:rPr>
              <w:t>Create authorization middleware and policy engine; enforce RBAC/ABAC for every resource/action.</w:t>
            </w:r>
          </w:p>
        </w:tc>
      </w:tr>
      <w:tr>
        <w:tc>
          <w:tcPr>
            <w:tcW w:type="dxa" w:w="2016"/>
            <w:vAlign w:val="top"/>
          </w:tcPr>
          <w:p>
            <w:pPr>
              <w:spacing w:after="0" w:line="240" w:lineRule="auto"/>
            </w:pPr>
            <w:r/>
            <w:r>
              <w:rPr>
                <w:b w:val="0"/>
                <w:sz w:val="14"/>
              </w:rPr>
              <w:t>Data</w:t>
            </w:r>
          </w:p>
        </w:tc>
        <w:tc>
          <w:tcPr>
            <w:tcW w:type="dxa" w:w="2880"/>
            <w:vAlign w:val="top"/>
          </w:tcPr>
          <w:p>
            <w:pPr>
              <w:spacing w:after="0" w:line="240" w:lineRule="auto"/>
            </w:pPr>
            <w:r/>
            <w:r>
              <w:rPr>
                <w:b w:val="0"/>
                <w:sz w:val="14"/>
              </w:rPr>
              <w:t>Local encryption strong; enterprise data model absent.</w:t>
            </w:r>
          </w:p>
        </w:tc>
        <w:tc>
          <w:tcPr>
            <w:tcW w:type="dxa" w:w="3168"/>
            <w:vAlign w:val="top"/>
          </w:tcPr>
          <w:p>
            <w:pPr>
              <w:spacing w:after="0" w:line="240" w:lineRule="auto"/>
            </w:pPr>
            <w:r/>
            <w:r>
              <w:rPr>
                <w:b w:val="0"/>
                <w:sz w:val="14"/>
              </w:rPr>
              <w:t>No tenant isolation, data classification, retention, legal hold, DLP, server-side encryption/KMS, or export governance.</w:t>
            </w:r>
          </w:p>
        </w:tc>
        <w:tc>
          <w:tcPr>
            <w:tcW w:type="dxa" w:w="3456"/>
            <w:vAlign w:val="top"/>
          </w:tcPr>
          <w:p>
            <w:pPr>
              <w:spacing w:after="0" w:line="240" w:lineRule="auto"/>
            </w:pPr>
            <w:r/>
            <w:r>
              <w:rPr>
                <w:b w:val="0"/>
                <w:sz w:val="14"/>
              </w:rPr>
              <w:t>Design data classification, tenant ID everywhere, KMS, database RLS/constraints, file scanning, retention/legal hold, export approval.</w:t>
            </w:r>
          </w:p>
        </w:tc>
      </w:tr>
      <w:tr>
        <w:tc>
          <w:tcPr>
            <w:tcW w:type="dxa" w:w="2016"/>
            <w:vAlign w:val="top"/>
          </w:tcPr>
          <w:p>
            <w:pPr>
              <w:spacing w:after="0" w:line="240" w:lineRule="auto"/>
            </w:pPr>
            <w:r/>
            <w:r>
              <w:rPr>
                <w:b w:val="0"/>
                <w:sz w:val="14"/>
              </w:rPr>
              <w:t>Visibility/analytics</w:t>
            </w:r>
          </w:p>
        </w:tc>
        <w:tc>
          <w:tcPr>
            <w:tcW w:type="dxa" w:w="2880"/>
            <w:vAlign w:val="top"/>
          </w:tcPr>
          <w:p>
            <w:pPr>
              <w:spacing w:after="0" w:line="240" w:lineRule="auto"/>
            </w:pPr>
            <w:r/>
            <w:r>
              <w:rPr>
                <w:b w:val="0"/>
                <w:sz w:val="14"/>
              </w:rPr>
              <w:t>Local encrypted audit log exists.</w:t>
            </w:r>
          </w:p>
        </w:tc>
        <w:tc>
          <w:tcPr>
            <w:tcW w:type="dxa" w:w="3168"/>
            <w:vAlign w:val="top"/>
          </w:tcPr>
          <w:p>
            <w:pPr>
              <w:spacing w:after="0" w:line="240" w:lineRule="auto"/>
            </w:pPr>
            <w:r/>
            <w:r>
              <w:rPr>
                <w:b w:val="0"/>
                <w:sz w:val="14"/>
              </w:rPr>
              <w:t>No central telemetry, SIEM, anomaly detection, admin audit, support-access audit, or immutable logs.</w:t>
            </w:r>
          </w:p>
        </w:tc>
        <w:tc>
          <w:tcPr>
            <w:tcW w:type="dxa" w:w="3456"/>
            <w:vAlign w:val="top"/>
          </w:tcPr>
          <w:p>
            <w:pPr>
              <w:spacing w:after="0" w:line="240" w:lineRule="auto"/>
            </w:pPr>
            <w:r/>
            <w:r>
              <w:rPr>
                <w:b w:val="0"/>
                <w:sz w:val="14"/>
              </w:rPr>
              <w:t>Build central append-only audit, security telemetry pipeline, SIEM export, dashboards, alerting, SLOs.</w:t>
            </w:r>
          </w:p>
        </w:tc>
      </w:tr>
      <w:tr>
        <w:tc>
          <w:tcPr>
            <w:tcW w:type="dxa" w:w="2016"/>
            <w:vAlign w:val="top"/>
          </w:tcPr>
          <w:p>
            <w:pPr>
              <w:spacing w:after="0" w:line="240" w:lineRule="auto"/>
            </w:pPr>
            <w:r/>
            <w:r>
              <w:rPr>
                <w:b w:val="0"/>
                <w:sz w:val="14"/>
              </w:rPr>
              <w:t>Automation/orchestration</w:t>
            </w:r>
          </w:p>
        </w:tc>
        <w:tc>
          <w:tcPr>
            <w:tcW w:type="dxa" w:w="2880"/>
            <w:vAlign w:val="top"/>
          </w:tcPr>
          <w:p>
            <w:pPr>
              <w:spacing w:after="0" w:line="240" w:lineRule="auto"/>
            </w:pPr>
            <w:r/>
            <w:r>
              <w:rPr>
                <w:b w:val="0"/>
                <w:sz w:val="14"/>
              </w:rPr>
              <w:t>No CI/CD control evidence observed beyond build/typecheck scripts.</w:t>
            </w:r>
          </w:p>
        </w:tc>
        <w:tc>
          <w:tcPr>
            <w:tcW w:type="dxa" w:w="3168"/>
            <w:vAlign w:val="top"/>
          </w:tcPr>
          <w:p>
            <w:pPr>
              <w:spacing w:after="0" w:line="240" w:lineRule="auto"/>
            </w:pPr>
            <w:r/>
            <w:r>
              <w:rPr>
                <w:b w:val="0"/>
                <w:sz w:val="14"/>
              </w:rPr>
              <w:t>No policy-as-code, control evidence automation, vulnerability gating, or incident automation.</w:t>
            </w:r>
          </w:p>
        </w:tc>
        <w:tc>
          <w:tcPr>
            <w:tcW w:type="dxa" w:w="3456"/>
            <w:vAlign w:val="top"/>
          </w:tcPr>
          <w:p>
            <w:pPr>
              <w:spacing w:after="0" w:line="240" w:lineRule="auto"/>
            </w:pPr>
            <w:r/>
            <w:r>
              <w:rPr>
                <w:b w:val="0"/>
                <w:sz w:val="14"/>
              </w:rPr>
              <w:t>Implement CI/CD with SAST/SCA/secret scan/SBOM, IaC scanning, automated evidence capture, incident runbooks.</w:t>
            </w:r>
          </w:p>
        </w:tc>
      </w:tr>
    </w:tbl>
    <w:p/>
    <w:p>
      <w:pPr>
        <w:pStyle w:val="Heading1"/>
      </w:pPr>
      <w:r>
        <w:t>Detailed enterprise findings and implementation instructions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648"/>
            <w:vAlign w:val="top"/>
            <w:shd w:fill="D9EAF7"/>
          </w:tcPr>
          <w:p>
            <w:pPr>
              <w:spacing w:after="0" w:line="240" w:lineRule="auto"/>
            </w:pPr>
            <w:r/>
            <w:r>
              <w:rPr>
                <w:b/>
                <w:sz w:val="17"/>
              </w:rPr>
              <w:t>ID</w:t>
            </w:r>
          </w:p>
        </w:tc>
        <w:tc>
          <w:tcPr>
            <w:tcW w:type="dxa" w:w="936"/>
            <w:vAlign w:val="top"/>
            <w:shd w:fill="D9EAF7"/>
          </w:tcPr>
          <w:p>
            <w:pPr>
              <w:spacing w:after="0" w:line="240" w:lineRule="auto"/>
            </w:pPr>
            <w:r/>
            <w:r>
              <w:rPr>
                <w:b/>
                <w:sz w:val="17"/>
              </w:rPr>
              <w:t>Severity</w:t>
            </w:r>
          </w:p>
        </w:tc>
        <w:tc>
          <w:tcPr>
            <w:tcW w:type="dxa" w:w="2232"/>
            <w:vAlign w:val="top"/>
            <w:shd w:fill="D9EAF7"/>
          </w:tcPr>
          <w:p>
            <w:pPr>
              <w:spacing w:after="0" w:line="240" w:lineRule="auto"/>
            </w:pPr>
            <w:r/>
            <w:r>
              <w:rPr>
                <w:b/>
                <w:sz w:val="17"/>
              </w:rPr>
              <w:t>Finding</w:t>
            </w:r>
          </w:p>
        </w:tc>
        <w:tc>
          <w:tcPr>
            <w:tcW w:type="dxa" w:w="3168"/>
            <w:vAlign w:val="top"/>
            <w:shd w:fill="D9EAF7"/>
          </w:tcPr>
          <w:p>
            <w:pPr>
              <w:spacing w:after="0" w:line="240" w:lineRule="auto"/>
            </w:pPr>
            <w:r/>
            <w:r>
              <w:rPr>
                <w:b/>
                <w:sz w:val="17"/>
              </w:rPr>
              <w:t>Evidence / reason</w:t>
            </w:r>
          </w:p>
        </w:tc>
        <w:tc>
          <w:tcPr>
            <w:tcW w:type="dxa" w:w="4392"/>
            <w:vAlign w:val="top"/>
            <w:shd w:fill="D9EAF7"/>
          </w:tcPr>
          <w:p>
            <w:pPr>
              <w:spacing w:after="0" w:line="240" w:lineRule="auto"/>
            </w:pPr>
            <w:r/>
            <w:r>
              <w:rPr>
                <w:b/>
                <w:sz w:val="17"/>
              </w:rPr>
              <w:t>Implementation instruction and acceptance criteria</w:t>
            </w:r>
          </w:p>
        </w:tc>
      </w:tr>
      <w:tr>
        <w:tc>
          <w:tcPr>
            <w:tcW w:type="dxa" w:w="648"/>
            <w:vAlign w:val="top"/>
          </w:tcPr>
          <w:p>
            <w:pPr>
              <w:spacing w:after="0" w:line="240" w:lineRule="auto"/>
            </w:pPr>
            <w:r/>
            <w:r>
              <w:rPr>
                <w:b w:val="0"/>
                <w:sz w:val="13"/>
              </w:rPr>
              <w:t>E-01</w:t>
            </w:r>
          </w:p>
        </w:tc>
        <w:tc>
          <w:tcPr>
            <w:tcW w:type="dxa" w:w="936"/>
            <w:vAlign w:val="top"/>
          </w:tcPr>
          <w:p>
            <w:pPr>
              <w:spacing w:after="0" w:line="240" w:lineRule="auto"/>
            </w:pPr>
            <w:r/>
            <w:r>
              <w:rPr>
                <w:b w:val="0"/>
                <w:sz w:val="13"/>
              </w:rPr>
              <w:t>Critical</w:t>
            </w:r>
          </w:p>
        </w:tc>
        <w:tc>
          <w:tcPr>
            <w:tcW w:type="dxa" w:w="2232"/>
            <w:vAlign w:val="top"/>
          </w:tcPr>
          <w:p>
            <w:pPr>
              <w:spacing w:after="0" w:line="240" w:lineRule="auto"/>
            </w:pPr>
            <w:r/>
            <w:r>
              <w:rPr>
                <w:b w:val="0"/>
                <w:sz w:val="13"/>
              </w:rPr>
              <w:t>No enterprise backend/system of record</w:t>
            </w:r>
          </w:p>
        </w:tc>
        <w:tc>
          <w:tcPr>
            <w:tcW w:type="dxa" w:w="3168"/>
            <w:vAlign w:val="top"/>
          </w:tcPr>
          <w:p>
            <w:pPr>
              <w:spacing w:after="0" w:line="240" w:lineRule="auto"/>
            </w:pPr>
            <w:r/>
            <w:r>
              <w:rPr>
                <w:b w:val="0"/>
                <w:sz w:val="13"/>
              </w:rPr>
              <w:t>The current sync build still uses NullAdapter; RxDB and Dataverse adapters are TODO stubs. There is no API, database, tenant model, server authorization, or central audit.</w:t>
            </w:r>
          </w:p>
        </w:tc>
        <w:tc>
          <w:tcPr>
            <w:tcW w:type="dxa" w:w="4392"/>
            <w:vAlign w:val="top"/>
          </w:tcPr>
          <w:p>
            <w:pPr>
              <w:spacing w:after="0" w:line="240" w:lineRule="auto"/>
            </w:pPr>
            <w:r/>
            <w:r>
              <w:rPr>
                <w:b w:val="0"/>
                <w:sz w:val="13"/>
              </w:rPr>
              <w:t>Design backend boundary first: API gateway, auth middleware, domain services, database, object storage, audit service, notification service. Create OpenAPI schemas and threat model before coding. Acceptance: every client/project/task/document/file operation goes through authenticated API with server-side authorization and audit event.</w:t>
            </w:r>
          </w:p>
        </w:tc>
      </w:tr>
      <w:tr>
        <w:tc>
          <w:tcPr>
            <w:tcW w:type="dxa" w:w="648"/>
            <w:vAlign w:val="top"/>
          </w:tcPr>
          <w:p>
            <w:pPr>
              <w:spacing w:after="0" w:line="240" w:lineRule="auto"/>
            </w:pPr>
            <w:r/>
            <w:r>
              <w:rPr>
                <w:b w:val="0"/>
                <w:sz w:val="13"/>
              </w:rPr>
              <w:t>E-02</w:t>
            </w:r>
          </w:p>
        </w:tc>
        <w:tc>
          <w:tcPr>
            <w:tcW w:type="dxa" w:w="936"/>
            <w:vAlign w:val="top"/>
          </w:tcPr>
          <w:p>
            <w:pPr>
              <w:spacing w:after="0" w:line="240" w:lineRule="auto"/>
            </w:pPr>
            <w:r/>
            <w:r>
              <w:rPr>
                <w:b w:val="0"/>
                <w:sz w:val="13"/>
              </w:rPr>
              <w:t>Critical</w:t>
            </w:r>
          </w:p>
        </w:tc>
        <w:tc>
          <w:tcPr>
            <w:tcW w:type="dxa" w:w="2232"/>
            <w:vAlign w:val="top"/>
          </w:tcPr>
          <w:p>
            <w:pPr>
              <w:spacing w:after="0" w:line="240" w:lineRule="auto"/>
            </w:pPr>
            <w:r/>
            <w:r>
              <w:rPr>
                <w:b w:val="0"/>
                <w:sz w:val="13"/>
              </w:rPr>
              <w:t>No SSO/OIDC/SAML/SCIM</w:t>
            </w:r>
          </w:p>
        </w:tc>
        <w:tc>
          <w:tcPr>
            <w:tcW w:type="dxa" w:w="3168"/>
            <w:vAlign w:val="top"/>
          </w:tcPr>
          <w:p>
            <w:pPr>
              <w:spacing w:after="0" w:line="240" w:lineRule="auto"/>
            </w:pPr>
            <w:r/>
            <w:r>
              <w:rPr>
                <w:b w:val="0"/>
                <w:sz w:val="13"/>
              </w:rPr>
              <w:t>Local password model is appropriate for offline vaulting but not enterprise identity lifecycle.</w:t>
            </w:r>
          </w:p>
        </w:tc>
        <w:tc>
          <w:tcPr>
            <w:tcW w:type="dxa" w:w="4392"/>
            <w:vAlign w:val="top"/>
          </w:tcPr>
          <w:p>
            <w:pPr>
              <w:spacing w:after="0" w:line="240" w:lineRule="auto"/>
            </w:pPr>
            <w:r/>
            <w:r>
              <w:rPr>
                <w:b w:val="0"/>
                <w:sz w:val="13"/>
              </w:rPr>
              <w:t>Implement OIDC first, SAML second if buyers require it, SCIM for provisioning/deprovisioning. Map IdP groups to roles. Acceptance: disable user at IdP removes access within defined SLA; login events are centrally audited.</w:t>
            </w:r>
          </w:p>
        </w:tc>
      </w:tr>
      <w:tr>
        <w:tc>
          <w:tcPr>
            <w:tcW w:type="dxa" w:w="648"/>
            <w:vAlign w:val="top"/>
          </w:tcPr>
          <w:p>
            <w:pPr>
              <w:spacing w:after="0" w:line="240" w:lineRule="auto"/>
            </w:pPr>
            <w:r/>
            <w:r>
              <w:rPr>
                <w:b w:val="0"/>
                <w:sz w:val="13"/>
              </w:rPr>
              <w:t>E-03</w:t>
            </w:r>
          </w:p>
        </w:tc>
        <w:tc>
          <w:tcPr>
            <w:tcW w:type="dxa" w:w="936"/>
            <w:vAlign w:val="top"/>
          </w:tcPr>
          <w:p>
            <w:pPr>
              <w:spacing w:after="0" w:line="240" w:lineRule="auto"/>
            </w:pPr>
            <w:r/>
            <w:r>
              <w:rPr>
                <w:b w:val="0"/>
                <w:sz w:val="13"/>
              </w:rPr>
              <w:t>Critical</w:t>
            </w:r>
          </w:p>
        </w:tc>
        <w:tc>
          <w:tcPr>
            <w:tcW w:type="dxa" w:w="2232"/>
            <w:vAlign w:val="top"/>
          </w:tcPr>
          <w:p>
            <w:pPr>
              <w:spacing w:after="0" w:line="240" w:lineRule="auto"/>
            </w:pPr>
            <w:r/>
            <w:r>
              <w:rPr>
                <w:b w:val="0"/>
                <w:sz w:val="13"/>
              </w:rPr>
              <w:t>No server-side RBAC/ABAC</w:t>
            </w:r>
          </w:p>
        </w:tc>
        <w:tc>
          <w:tcPr>
            <w:tcW w:type="dxa" w:w="3168"/>
            <w:vAlign w:val="top"/>
          </w:tcPr>
          <w:p>
            <w:pPr>
              <w:spacing w:after="0" w:line="240" w:lineRule="auto"/>
            </w:pPr>
            <w:r/>
            <w:r>
              <w:rPr>
                <w:b w:val="0"/>
                <w:sz w:val="13"/>
              </w:rPr>
              <w:t>Enterprise cannot trust browser-side UI hiding or local vault roles.</w:t>
            </w:r>
          </w:p>
        </w:tc>
        <w:tc>
          <w:tcPr>
            <w:tcW w:type="dxa" w:w="4392"/>
            <w:vAlign w:val="top"/>
          </w:tcPr>
          <w:p>
            <w:pPr>
              <w:spacing w:after="0" w:line="240" w:lineRule="auto"/>
            </w:pPr>
            <w:r/>
            <w:r>
              <w:rPr>
                <w:b w:val="0"/>
                <w:sz w:val="13"/>
              </w:rPr>
              <w:t>Define roles and permissions: Org Owner, Security Admin, Workspace Admin, Project Manager, Contributor, Client User, Auditor. Add policy checks at API middleware plus object-level resource checks. Acceptance: automated BOLA/IDOR tests fail closed.</w:t>
            </w:r>
          </w:p>
        </w:tc>
      </w:tr>
      <w:tr>
        <w:tc>
          <w:tcPr>
            <w:tcW w:type="dxa" w:w="648"/>
            <w:vAlign w:val="top"/>
          </w:tcPr>
          <w:p>
            <w:pPr>
              <w:spacing w:after="0" w:line="240" w:lineRule="auto"/>
            </w:pPr>
            <w:r/>
            <w:r>
              <w:rPr>
                <w:b w:val="0"/>
                <w:sz w:val="13"/>
              </w:rPr>
              <w:t>E-04</w:t>
            </w:r>
          </w:p>
        </w:tc>
        <w:tc>
          <w:tcPr>
            <w:tcW w:type="dxa" w:w="936"/>
            <w:vAlign w:val="top"/>
          </w:tcPr>
          <w:p>
            <w:pPr>
              <w:spacing w:after="0" w:line="240" w:lineRule="auto"/>
            </w:pPr>
            <w:r/>
            <w:r>
              <w:rPr>
                <w:b w:val="0"/>
                <w:sz w:val="13"/>
              </w:rPr>
              <w:t>Critical</w:t>
            </w:r>
          </w:p>
        </w:tc>
        <w:tc>
          <w:tcPr>
            <w:tcW w:type="dxa" w:w="2232"/>
            <w:vAlign w:val="top"/>
          </w:tcPr>
          <w:p>
            <w:pPr>
              <w:spacing w:after="0" w:line="240" w:lineRule="auto"/>
            </w:pPr>
            <w:r/>
            <w:r>
              <w:rPr>
                <w:b w:val="0"/>
                <w:sz w:val="13"/>
              </w:rPr>
              <w:t>No tenant isolation</w:t>
            </w:r>
          </w:p>
        </w:tc>
        <w:tc>
          <w:tcPr>
            <w:tcW w:type="dxa" w:w="3168"/>
            <w:vAlign w:val="top"/>
          </w:tcPr>
          <w:p>
            <w:pPr>
              <w:spacing w:after="0" w:line="240" w:lineRule="auto"/>
            </w:pPr>
            <w:r/>
            <w:r>
              <w:rPr>
                <w:b w:val="0"/>
                <w:sz w:val="13"/>
              </w:rPr>
              <w:t>No tenant-scoped backend exists.</w:t>
            </w:r>
          </w:p>
        </w:tc>
        <w:tc>
          <w:tcPr>
            <w:tcW w:type="dxa" w:w="4392"/>
            <w:vAlign w:val="top"/>
          </w:tcPr>
          <w:p>
            <w:pPr>
              <w:spacing w:after="0" w:line="240" w:lineRule="auto"/>
            </w:pPr>
            <w:r/>
            <w:r>
              <w:rPr>
                <w:b w:val="0"/>
                <w:sz w:val="13"/>
              </w:rPr>
              <w:t>Add tenant_id/org_id to every server-side table, object, search index, audit record, file path, and event. Use DB constraints/row-level security where available. Acceptance: tenant-isolation regression tests for every endpoint and search query.</w:t>
            </w:r>
          </w:p>
        </w:tc>
      </w:tr>
      <w:tr>
        <w:tc>
          <w:tcPr>
            <w:tcW w:type="dxa" w:w="648"/>
            <w:vAlign w:val="top"/>
          </w:tcPr>
          <w:p>
            <w:pPr>
              <w:spacing w:after="0" w:line="240" w:lineRule="auto"/>
            </w:pPr>
            <w:r/>
            <w:r>
              <w:rPr>
                <w:b w:val="0"/>
                <w:sz w:val="13"/>
              </w:rPr>
              <w:t>E-05</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Audit log is local and user-controlled</w:t>
            </w:r>
          </w:p>
        </w:tc>
        <w:tc>
          <w:tcPr>
            <w:tcW w:type="dxa" w:w="3168"/>
            <w:vAlign w:val="top"/>
          </w:tcPr>
          <w:p>
            <w:pPr>
              <w:spacing w:after="0" w:line="240" w:lineRule="auto"/>
            </w:pPr>
            <w:r/>
            <w:r>
              <w:rPr>
                <w:b w:val="0"/>
                <w:sz w:val="13"/>
              </w:rPr>
              <w:t>audit.ts is a strong local event taxonomy, but enterprise logs must be append-only and centrally controlled.</w:t>
            </w:r>
          </w:p>
        </w:tc>
        <w:tc>
          <w:tcPr>
            <w:tcW w:type="dxa" w:w="4392"/>
            <w:vAlign w:val="top"/>
          </w:tcPr>
          <w:p>
            <w:pPr>
              <w:spacing w:after="0" w:line="240" w:lineRule="auto"/>
            </w:pPr>
            <w:r/>
            <w:r>
              <w:rPr>
                <w:b w:val="0"/>
                <w:sz w:val="13"/>
              </w:rPr>
              <w:t>Create audit ingestion service. Events should include actor, tenant, resource, action, result, IP, device/session, request ID, before/after fields where appropriate. Ship to WORM-capable storage/SIEM. Acceptance: users cannot purge security logs; admin/support access is visible.</w:t>
            </w:r>
          </w:p>
        </w:tc>
      </w:tr>
      <w:tr>
        <w:tc>
          <w:tcPr>
            <w:tcW w:type="dxa" w:w="648"/>
            <w:vAlign w:val="top"/>
          </w:tcPr>
          <w:p>
            <w:pPr>
              <w:spacing w:after="0" w:line="240" w:lineRule="auto"/>
            </w:pPr>
            <w:r/>
            <w:r>
              <w:rPr>
                <w:b w:val="0"/>
                <w:sz w:val="13"/>
              </w:rPr>
              <w:t>E-06</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No centralized monitoring/SIEM/SLOs</w:t>
            </w:r>
          </w:p>
        </w:tc>
        <w:tc>
          <w:tcPr>
            <w:tcW w:type="dxa" w:w="3168"/>
            <w:vAlign w:val="top"/>
          </w:tcPr>
          <w:p>
            <w:pPr>
              <w:spacing w:after="0" w:line="240" w:lineRule="auto"/>
            </w:pPr>
            <w:r/>
            <w:r>
              <w:rPr>
                <w:b w:val="0"/>
                <w:sz w:val="13"/>
              </w:rPr>
              <w:t>SOC 2 Availability/Security require operational monitoring evidence.</w:t>
            </w:r>
          </w:p>
        </w:tc>
        <w:tc>
          <w:tcPr>
            <w:tcW w:type="dxa" w:w="4392"/>
            <w:vAlign w:val="top"/>
          </w:tcPr>
          <w:p>
            <w:pPr>
              <w:spacing w:after="0" w:line="240" w:lineRule="auto"/>
            </w:pPr>
            <w:r/>
            <w:r>
              <w:rPr>
                <w:b w:val="0"/>
                <w:sz w:val="13"/>
              </w:rPr>
              <w:t>Implement structured application logs, metrics, traces, uptime checks, alert routing, on-call, incident records, SLO/SLA tracking. Acceptance: alerts for auth anomalies, export spikes, admin actions, failed backups, suspicious tenant access.</w:t>
            </w:r>
          </w:p>
        </w:tc>
      </w:tr>
      <w:tr>
        <w:tc>
          <w:tcPr>
            <w:tcW w:type="dxa" w:w="648"/>
            <w:vAlign w:val="top"/>
          </w:tcPr>
          <w:p>
            <w:pPr>
              <w:spacing w:after="0" w:line="240" w:lineRule="auto"/>
            </w:pPr>
            <w:r/>
            <w:r>
              <w:rPr>
                <w:b w:val="0"/>
                <w:sz w:val="13"/>
              </w:rPr>
              <w:t>E-07</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Trusted Types raw policy weakens XSS defense</w:t>
            </w:r>
          </w:p>
        </w:tc>
        <w:tc>
          <w:tcPr>
            <w:tcW w:type="dxa" w:w="3168"/>
            <w:vAlign w:val="top"/>
          </w:tcPr>
          <w:p>
            <w:pPr>
              <w:spacing w:after="0" w:line="240" w:lineRule="auto"/>
            </w:pPr>
            <w:r/>
            <w:r>
              <w:rPr>
                <w:b w:val="0"/>
                <w:sz w:val="13"/>
              </w:rPr>
              <w:t>trusted-types.ts monkey-patches innerHTML/outerHTML to trust all strings through nexus-crm-raw.</w:t>
            </w:r>
          </w:p>
        </w:tc>
        <w:tc>
          <w:tcPr>
            <w:tcW w:type="dxa" w:w="4392"/>
            <w:vAlign w:val="top"/>
          </w:tcPr>
          <w:p>
            <w:pPr>
              <w:spacing w:after="0" w:line="240" w:lineRule="auto"/>
            </w:pPr>
            <w:r/>
            <w:r>
              <w:rPr>
                <w:b w:val="0"/>
                <w:sz w:val="13"/>
              </w:rPr>
              <w:t>Replace global raw auto-trust with explicit safeHtml()/text rendering. Use DOM APIs for text; sanitize rich HTML only. Acceptance: CI tests confirm unsafe strings throw or are escaped; no global raw policy except tightly scoped renderer.</w:t>
            </w:r>
          </w:p>
        </w:tc>
      </w:tr>
      <w:tr>
        <w:tc>
          <w:tcPr>
            <w:tcW w:type="dxa" w:w="648"/>
            <w:vAlign w:val="top"/>
          </w:tcPr>
          <w:p>
            <w:pPr>
              <w:spacing w:after="0" w:line="240" w:lineRule="auto"/>
            </w:pPr>
            <w:r/>
            <w:r>
              <w:rPr>
                <w:b w:val="0"/>
                <w:sz w:val="13"/>
              </w:rPr>
              <w:t>E-08</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No secure enterprise secrets management</w:t>
            </w:r>
          </w:p>
        </w:tc>
        <w:tc>
          <w:tcPr>
            <w:tcW w:type="dxa" w:w="3168"/>
            <w:vAlign w:val="top"/>
          </w:tcPr>
          <w:p>
            <w:pPr>
              <w:spacing w:after="0" w:line="240" w:lineRule="auto"/>
            </w:pPr>
            <w:r/>
            <w:r>
              <w:rPr>
                <w:b w:val="0"/>
                <w:sz w:val="13"/>
              </w:rPr>
              <w:t>Cloud API keys are locally encrypted for offline use; enterprise needs centralized secrets management and customer policy.</w:t>
            </w:r>
          </w:p>
        </w:tc>
        <w:tc>
          <w:tcPr>
            <w:tcW w:type="dxa" w:w="4392"/>
            <w:vAlign w:val="top"/>
          </w:tcPr>
          <w:p>
            <w:pPr>
              <w:spacing w:after="0" w:line="240" w:lineRule="auto"/>
            </w:pPr>
            <w:r/>
            <w:r>
              <w:rPr>
                <w:b w:val="0"/>
                <w:sz w:val="13"/>
              </w:rPr>
              <w:t>Store provider keys in KMS/secret manager; encrypt at rest; rotate; restrict by tenant policy; audit use. Acceptance: no provider API key is stored in browser localStorage or shipped artifact.</w:t>
            </w:r>
          </w:p>
        </w:tc>
      </w:tr>
      <w:tr>
        <w:tc>
          <w:tcPr>
            <w:tcW w:type="dxa" w:w="648"/>
            <w:vAlign w:val="top"/>
          </w:tcPr>
          <w:p>
            <w:pPr>
              <w:spacing w:after="0" w:line="240" w:lineRule="auto"/>
            </w:pPr>
            <w:r/>
            <w:r>
              <w:rPr>
                <w:b w:val="0"/>
                <w:sz w:val="13"/>
              </w:rPr>
              <w:t>E-09</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AI governance incomplete</w:t>
            </w:r>
          </w:p>
        </w:tc>
        <w:tc>
          <w:tcPr>
            <w:tcW w:type="dxa" w:w="3168"/>
            <w:vAlign w:val="top"/>
          </w:tcPr>
          <w:p>
            <w:pPr>
              <w:spacing w:after="0" w:line="240" w:lineRule="auto"/>
            </w:pPr>
            <w:r/>
            <w:r>
              <w:rPr>
                <w:b w:val="0"/>
                <w:sz w:val="13"/>
              </w:rPr>
              <w:t>AI runtime supports browser, Ollama, and cloud calls. Enterprise needs policy, logging, prompt/data controls, and AI risk management.</w:t>
            </w:r>
          </w:p>
        </w:tc>
        <w:tc>
          <w:tcPr>
            <w:tcW w:type="dxa" w:w="4392"/>
            <w:vAlign w:val="top"/>
          </w:tcPr>
          <w:p>
            <w:pPr>
              <w:spacing w:after="0" w:line="240" w:lineRule="auto"/>
            </w:pPr>
            <w:r/>
            <w:r>
              <w:rPr>
                <w:b w:val="0"/>
                <w:sz w:val="13"/>
              </w:rPr>
              <w:t>Build AI gateway. Add model/provider allowlists, prompt/data minimization, tenant policy, redaction, human approval, prompt-injection tests, AI audit log, DPA/subprocessor checks. Acceptance: admin can disable cloud AI and prove no data leaves boundary.</w:t>
            </w:r>
          </w:p>
        </w:tc>
      </w:tr>
      <w:tr>
        <w:tc>
          <w:tcPr>
            <w:tcW w:type="dxa" w:w="648"/>
            <w:vAlign w:val="top"/>
          </w:tcPr>
          <w:p>
            <w:pPr>
              <w:spacing w:after="0" w:line="240" w:lineRule="auto"/>
            </w:pPr>
            <w:r/>
            <w:r>
              <w:rPr>
                <w:b w:val="0"/>
                <w:sz w:val="13"/>
              </w:rPr>
              <w:t>E-10</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No secure file service</w:t>
            </w:r>
          </w:p>
        </w:tc>
        <w:tc>
          <w:tcPr>
            <w:tcW w:type="dxa" w:w="3168"/>
            <w:vAlign w:val="top"/>
          </w:tcPr>
          <w:p>
            <w:pPr>
              <w:spacing w:after="0" w:line="240" w:lineRule="auto"/>
            </w:pPr>
            <w:r/>
            <w:r>
              <w:rPr>
                <w:b w:val="0"/>
                <w:sz w:val="13"/>
              </w:rPr>
              <w:t>Files are currently local records/attachments. Enterprise files require object storage controls.</w:t>
            </w:r>
          </w:p>
        </w:tc>
        <w:tc>
          <w:tcPr>
            <w:tcW w:type="dxa" w:w="4392"/>
            <w:vAlign w:val="top"/>
          </w:tcPr>
          <w:p>
            <w:pPr>
              <w:spacing w:after="0" w:line="240" w:lineRule="auto"/>
            </w:pPr>
            <w:r/>
            <w:r>
              <w:rPr>
                <w:b w:val="0"/>
                <w:sz w:val="13"/>
              </w:rPr>
              <w:t>Implement upload scanning, type/size allowlists, content-disposition protections, signed URLs, DLP hooks, retention/legal hold, download audit. Acceptance: malware test files blocked; every download logged.</w:t>
            </w:r>
          </w:p>
        </w:tc>
      </w:tr>
      <w:tr>
        <w:tc>
          <w:tcPr>
            <w:tcW w:type="dxa" w:w="648"/>
            <w:vAlign w:val="top"/>
          </w:tcPr>
          <w:p>
            <w:pPr>
              <w:spacing w:after="0" w:line="240" w:lineRule="auto"/>
            </w:pPr>
            <w:r/>
            <w:r>
              <w:rPr>
                <w:b w:val="0"/>
                <w:sz w:val="13"/>
              </w:rPr>
              <w:t>E-11</w:t>
            </w:r>
          </w:p>
        </w:tc>
        <w:tc>
          <w:tcPr>
            <w:tcW w:type="dxa" w:w="936"/>
            <w:vAlign w:val="top"/>
          </w:tcPr>
          <w:p>
            <w:pPr>
              <w:spacing w:after="0" w:line="240" w:lineRule="auto"/>
            </w:pPr>
            <w:r/>
            <w:r>
              <w:rPr>
                <w:b w:val="0"/>
                <w:sz w:val="13"/>
              </w:rPr>
              <w:t>High</w:t>
            </w:r>
          </w:p>
        </w:tc>
        <w:tc>
          <w:tcPr>
            <w:tcW w:type="dxa" w:w="2232"/>
            <w:vAlign w:val="top"/>
          </w:tcPr>
          <w:p>
            <w:pPr>
              <w:spacing w:after="0" w:line="240" w:lineRule="auto"/>
            </w:pPr>
            <w:r/>
            <w:r>
              <w:rPr>
                <w:b w:val="0"/>
                <w:sz w:val="13"/>
              </w:rPr>
              <w:t>No SDLC/compliance evidence pipeline</w:t>
            </w:r>
          </w:p>
        </w:tc>
        <w:tc>
          <w:tcPr>
            <w:tcW w:type="dxa" w:w="3168"/>
            <w:vAlign w:val="top"/>
          </w:tcPr>
          <w:p>
            <w:pPr>
              <w:spacing w:after="0" w:line="240" w:lineRule="auto"/>
            </w:pPr>
            <w:r/>
            <w:r>
              <w:rPr>
                <w:b w:val="0"/>
                <w:sz w:val="13"/>
              </w:rPr>
              <w:t>package.json has typecheck/build scripts but no observed SAST/SCA/secrets/SBOM gates.</w:t>
            </w:r>
          </w:p>
        </w:tc>
        <w:tc>
          <w:tcPr>
            <w:tcW w:type="dxa" w:w="4392"/>
            <w:vAlign w:val="top"/>
          </w:tcPr>
          <w:p>
            <w:pPr>
              <w:spacing w:after="0" w:line="240" w:lineRule="auto"/>
            </w:pPr>
            <w:r/>
            <w:r>
              <w:rPr>
                <w:b w:val="0"/>
                <w:sz w:val="13"/>
              </w:rPr>
              <w:t>Add GitHub Actions or equivalent: typecheck, tests, lint, dependency scan, secret scan, SBOM, license scan, artifact signing, provenance. Acceptance: release blocked on critical findings unless risk accepted.</w:t>
            </w:r>
          </w:p>
        </w:tc>
      </w:tr>
      <w:tr>
        <w:tc>
          <w:tcPr>
            <w:tcW w:type="dxa" w:w="648"/>
            <w:vAlign w:val="top"/>
          </w:tcPr>
          <w:p>
            <w:pPr>
              <w:spacing w:after="0" w:line="240" w:lineRule="auto"/>
            </w:pPr>
            <w:r/>
            <w:r>
              <w:rPr>
                <w:b w:val="0"/>
                <w:sz w:val="13"/>
              </w:rPr>
              <w:t>E-12</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Accessibility evidence missing</w:t>
            </w:r>
          </w:p>
        </w:tc>
        <w:tc>
          <w:tcPr>
            <w:tcW w:type="dxa" w:w="3168"/>
            <w:vAlign w:val="top"/>
          </w:tcPr>
          <w:p>
            <w:pPr>
              <w:spacing w:after="0" w:line="240" w:lineRule="auto"/>
            </w:pPr>
            <w:r/>
            <w:r>
              <w:rPr>
                <w:b w:val="0"/>
                <w:sz w:val="13"/>
              </w:rPr>
              <w:t>No WCAG/VPAT evidence found.</w:t>
            </w:r>
          </w:p>
        </w:tc>
        <w:tc>
          <w:tcPr>
            <w:tcW w:type="dxa" w:w="4392"/>
            <w:vAlign w:val="top"/>
          </w:tcPr>
          <w:p>
            <w:pPr>
              <w:spacing w:after="0" w:line="240" w:lineRule="auto"/>
            </w:pPr>
            <w:r/>
            <w:r>
              <w:rPr>
                <w:b w:val="0"/>
                <w:sz w:val="13"/>
              </w:rPr>
              <w:t>Run automated and manual WCAG 2.2 AA audit. Fix focus traps, labels, keyboard navigation, contrast, editor semantics. Acceptance: VPAT produced and keyboard-only task completion passes.</w:t>
            </w:r>
          </w:p>
        </w:tc>
      </w:tr>
      <w:tr>
        <w:tc>
          <w:tcPr>
            <w:tcW w:type="dxa" w:w="648"/>
            <w:vAlign w:val="top"/>
          </w:tcPr>
          <w:p>
            <w:pPr>
              <w:spacing w:after="0" w:line="240" w:lineRule="auto"/>
            </w:pPr>
            <w:r/>
            <w:r>
              <w:rPr>
                <w:b w:val="0"/>
                <w:sz w:val="13"/>
              </w:rPr>
              <w:t>E-13</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Privacy program missing</w:t>
            </w:r>
          </w:p>
        </w:tc>
        <w:tc>
          <w:tcPr>
            <w:tcW w:type="dxa" w:w="3168"/>
            <w:vAlign w:val="top"/>
          </w:tcPr>
          <w:p>
            <w:pPr>
              <w:spacing w:after="0" w:line="240" w:lineRule="auto"/>
            </w:pPr>
            <w:r/>
            <w:r>
              <w:rPr>
                <w:b w:val="0"/>
                <w:sz w:val="13"/>
              </w:rPr>
              <w:t>Offline privacy narrative exists; enterprise privacy obligations require a program.</w:t>
            </w:r>
          </w:p>
        </w:tc>
        <w:tc>
          <w:tcPr>
            <w:tcW w:type="dxa" w:w="4392"/>
            <w:vAlign w:val="top"/>
          </w:tcPr>
          <w:p>
            <w:pPr>
              <w:spacing w:after="0" w:line="240" w:lineRule="auto"/>
            </w:pPr>
            <w:r/>
            <w:r>
              <w:rPr>
                <w:b w:val="0"/>
                <w:sz w:val="13"/>
              </w:rPr>
              <w:t>Create data inventory, PII classification, retention schedule, deletion workflow, DSAR process, subprocessor list, DPA, privacy notice, breach workflow. Acceptance: delete/export user data with audit and verification.</w:t>
            </w:r>
          </w:p>
        </w:tc>
      </w:tr>
      <w:tr>
        <w:tc>
          <w:tcPr>
            <w:tcW w:type="dxa" w:w="648"/>
            <w:vAlign w:val="top"/>
          </w:tcPr>
          <w:p>
            <w:pPr>
              <w:spacing w:after="0" w:line="240" w:lineRule="auto"/>
            </w:pPr>
            <w:r/>
            <w:r>
              <w:rPr>
                <w:b w:val="0"/>
                <w:sz w:val="13"/>
              </w:rPr>
              <w:t>E-14</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BC/DR/SLA not defined</w:t>
            </w:r>
          </w:p>
        </w:tc>
        <w:tc>
          <w:tcPr>
            <w:tcW w:type="dxa" w:w="3168"/>
            <w:vAlign w:val="top"/>
          </w:tcPr>
          <w:p>
            <w:pPr>
              <w:spacing w:after="0" w:line="240" w:lineRule="auto"/>
            </w:pPr>
            <w:r/>
            <w:r>
              <w:rPr>
                <w:b w:val="0"/>
                <w:sz w:val="13"/>
              </w:rPr>
              <w:t>Offline local backup does not satisfy enterprise availability.</w:t>
            </w:r>
          </w:p>
        </w:tc>
        <w:tc>
          <w:tcPr>
            <w:tcW w:type="dxa" w:w="4392"/>
            <w:vAlign w:val="top"/>
          </w:tcPr>
          <w:p>
            <w:pPr>
              <w:spacing w:after="0" w:line="240" w:lineRule="auto"/>
            </w:pPr>
            <w:r/>
            <w:r>
              <w:rPr>
                <w:b w:val="0"/>
                <w:sz w:val="13"/>
              </w:rPr>
              <w:t>Define RTO/RPO, backups, restore tests, multi-zone architecture if hosted, incident communications, status page. Acceptance: quarterly restore test evidence and downtime incident process.</w:t>
            </w:r>
          </w:p>
        </w:tc>
      </w:tr>
      <w:tr>
        <w:tc>
          <w:tcPr>
            <w:tcW w:type="dxa" w:w="648"/>
            <w:vAlign w:val="top"/>
          </w:tcPr>
          <w:p>
            <w:pPr>
              <w:spacing w:after="0" w:line="240" w:lineRule="auto"/>
            </w:pPr>
            <w:r/>
            <w:r>
              <w:rPr>
                <w:b w:val="0"/>
                <w:sz w:val="13"/>
              </w:rPr>
              <w:t>E-15</w:t>
            </w:r>
          </w:p>
        </w:tc>
        <w:tc>
          <w:tcPr>
            <w:tcW w:type="dxa" w:w="936"/>
            <w:vAlign w:val="top"/>
          </w:tcPr>
          <w:p>
            <w:pPr>
              <w:spacing w:after="0" w:line="240" w:lineRule="auto"/>
            </w:pPr>
            <w:r/>
            <w:r>
              <w:rPr>
                <w:b w:val="0"/>
                <w:sz w:val="13"/>
              </w:rPr>
              <w:t>Medium</w:t>
            </w:r>
          </w:p>
        </w:tc>
        <w:tc>
          <w:tcPr>
            <w:tcW w:type="dxa" w:w="2232"/>
            <w:vAlign w:val="top"/>
          </w:tcPr>
          <w:p>
            <w:pPr>
              <w:spacing w:after="0" w:line="240" w:lineRule="auto"/>
            </w:pPr>
            <w:r/>
            <w:r>
              <w:rPr>
                <w:b w:val="0"/>
                <w:sz w:val="13"/>
              </w:rPr>
              <w:t>No formal certification evidence repository</w:t>
            </w:r>
          </w:p>
        </w:tc>
        <w:tc>
          <w:tcPr>
            <w:tcW w:type="dxa" w:w="3168"/>
            <w:vAlign w:val="top"/>
          </w:tcPr>
          <w:p>
            <w:pPr>
              <w:spacing w:after="0" w:line="240" w:lineRule="auto"/>
            </w:pPr>
            <w:r/>
            <w:r>
              <w:rPr>
                <w:b w:val="0"/>
                <w:sz w:val="13"/>
              </w:rPr>
              <w:t>Docs exist, but no control evidence library.</w:t>
            </w:r>
          </w:p>
        </w:tc>
        <w:tc>
          <w:tcPr>
            <w:tcW w:type="dxa" w:w="4392"/>
            <w:vAlign w:val="top"/>
          </w:tcPr>
          <w:p>
            <w:pPr>
              <w:spacing w:after="0" w:line="240" w:lineRule="auto"/>
            </w:pPr>
            <w:r/>
            <w:r>
              <w:rPr>
                <w:b w:val="0"/>
                <w:sz w:val="13"/>
              </w:rPr>
              <w:t>Create evidence repository mapped to SOC 2/ISO/ASVS controls: policies, screenshots, CI outputs, access reviews, pen test, risk acceptance, vendor reviews. Acceptance: auditor-ready evidence indexed by control.</w:t>
            </w:r>
          </w:p>
        </w:tc>
      </w:tr>
    </w:tbl>
    <w:p/>
    <w:p>
      <w:pPr>
        <w:pStyle w:val="Heading1"/>
      </w:pPr>
      <w:r>
        <w:t>Target enterprise architecture</w:t>
      </w:r>
    </w:p>
    <w:p>
      <w:pPr>
        <w:pStyle w:val="ListBullet"/>
      </w:pPr>
      <w:r>
        <w:t>Frontend: keep the current TypeScript/Vite core as the enterprise web client, but remove local-only trust assumptions. The UI should call a typed API client rather than writing the enterprise system of record directly to IndexedDB.</w:t>
      </w:r>
    </w:p>
    <w:p>
      <w:pPr>
        <w:pStyle w:val="ListBullet"/>
      </w:pPr>
      <w:r>
        <w:t>Identity: OIDC/SAML federation, SCIM provisioning, MFA via enterprise IdP, session risk policy, step-up authentication for exports, admin changes, AI provider changes, and destructive operations.</w:t>
      </w:r>
    </w:p>
    <w:p>
      <w:pPr>
        <w:pStyle w:val="ListBullet"/>
      </w:pPr>
      <w:r>
        <w:t>API layer: resource-scoped authorization middleware, request validation, rate limiting, CSRF strategy if cookies are used, CORS allowlist, audit hooks, OpenAPI spec, and error model that does not leak tenant data.</w:t>
      </w:r>
    </w:p>
    <w:p>
      <w:pPr>
        <w:pStyle w:val="ListBullet"/>
      </w:pPr>
      <w:r>
        <w:t>Data layer: tenant-scoped relational database or document database with constraints, encrypted object storage, search indexes with tenant filters, retention/legal hold, and tested backup/restore.</w:t>
      </w:r>
    </w:p>
    <w:p>
      <w:pPr>
        <w:pStyle w:val="ListBullet"/>
      </w:pPr>
      <w:r>
        <w:t>Audit and monitoring: append-only audit event store, SIEM export, dashboards, alerting, incident ticket linkage, admin/support access logging, and evidence retention.</w:t>
      </w:r>
    </w:p>
    <w:p>
      <w:pPr>
        <w:pStyle w:val="ListBullet"/>
      </w:pPr>
      <w:r>
        <w:t>AI gateway: tenant policy engine, provider/model allowlist, data minimization, prompt-injection defenses, redaction, logging, cost tracking, DPA/subprocessor linkage, and human approval for write actions.</w:t>
      </w:r>
    </w:p>
    <w:p>
      <w:pPr>
        <w:pStyle w:val="Heading1"/>
      </w:pPr>
      <w:r>
        <w:t>Enterprise implementation roadmap</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1440"/>
            <w:vAlign w:val="top"/>
            <w:shd w:fill="D9EAF7"/>
          </w:tcPr>
          <w:p>
            <w:pPr>
              <w:spacing w:after="0" w:line="240" w:lineRule="auto"/>
            </w:pPr>
            <w:r/>
            <w:r>
              <w:rPr>
                <w:b/>
                <w:sz w:val="17"/>
              </w:rPr>
              <w:t>Phase</w:t>
            </w:r>
          </w:p>
        </w:tc>
        <w:tc>
          <w:tcPr>
            <w:tcW w:type="dxa" w:w="2160"/>
            <w:vAlign w:val="top"/>
            <w:shd w:fill="D9EAF7"/>
          </w:tcPr>
          <w:p>
            <w:pPr>
              <w:spacing w:after="0" w:line="240" w:lineRule="auto"/>
            </w:pPr>
            <w:r/>
            <w:r>
              <w:rPr>
                <w:b/>
                <w:sz w:val="17"/>
              </w:rPr>
              <w:t>Goal</w:t>
            </w:r>
          </w:p>
        </w:tc>
        <w:tc>
          <w:tcPr>
            <w:tcW w:type="dxa" w:w="4896"/>
            <w:vAlign w:val="top"/>
            <w:shd w:fill="D9EAF7"/>
          </w:tcPr>
          <w:p>
            <w:pPr>
              <w:spacing w:after="0" w:line="240" w:lineRule="auto"/>
            </w:pPr>
            <w:r/>
            <w:r>
              <w:rPr>
                <w:b/>
                <w:sz w:val="17"/>
              </w:rPr>
              <w:t>Concrete implementation tasks</w:t>
            </w:r>
          </w:p>
        </w:tc>
        <w:tc>
          <w:tcPr>
            <w:tcW w:type="dxa" w:w="2880"/>
            <w:vAlign w:val="top"/>
            <w:shd w:fill="D9EAF7"/>
          </w:tcPr>
          <w:p>
            <w:pPr>
              <w:spacing w:after="0" w:line="240" w:lineRule="auto"/>
            </w:pPr>
            <w:r/>
            <w:r>
              <w:rPr>
                <w:b/>
                <w:sz w:val="17"/>
              </w:rPr>
              <w:t>Exit criteria</w:t>
            </w:r>
          </w:p>
        </w:tc>
      </w:tr>
      <w:tr>
        <w:tc>
          <w:tcPr>
            <w:tcW w:type="dxa" w:w="1440"/>
            <w:vAlign w:val="top"/>
          </w:tcPr>
          <w:p>
            <w:pPr>
              <w:spacing w:after="0" w:line="240" w:lineRule="auto"/>
            </w:pPr>
            <w:r/>
            <w:r>
              <w:rPr>
                <w:b w:val="0"/>
                <w:sz w:val="14"/>
              </w:rPr>
              <w:t>0 - Decide scope</w:t>
            </w:r>
          </w:p>
        </w:tc>
        <w:tc>
          <w:tcPr>
            <w:tcW w:type="dxa" w:w="2160"/>
            <w:vAlign w:val="top"/>
          </w:tcPr>
          <w:p>
            <w:pPr>
              <w:spacing w:after="0" w:line="240" w:lineRule="auto"/>
            </w:pPr>
            <w:r/>
            <w:r>
              <w:rPr>
                <w:b w:val="0"/>
                <w:sz w:val="14"/>
              </w:rPr>
              <w:t>Stop trying to certify the offline file as enterprise SaaS.</w:t>
            </w:r>
          </w:p>
        </w:tc>
        <w:tc>
          <w:tcPr>
            <w:tcW w:type="dxa" w:w="4896"/>
            <w:vAlign w:val="top"/>
          </w:tcPr>
          <w:p>
            <w:pPr>
              <w:spacing w:after="0" w:line="240" w:lineRule="auto"/>
            </w:pPr>
            <w:r/>
            <w:r>
              <w:rPr>
                <w:b w:val="0"/>
                <w:sz w:val="14"/>
              </w:rPr>
              <w:t>Choose enterprise deployment model: hosted SaaS, customer-hosted, Dataverse/Power Platform, or hybrid sync. Define tenant, user, data, AI, audit, and admin boundaries.</w:t>
            </w:r>
          </w:p>
        </w:tc>
        <w:tc>
          <w:tcPr>
            <w:tcW w:type="dxa" w:w="2880"/>
            <w:vAlign w:val="top"/>
          </w:tcPr>
          <w:p>
            <w:pPr>
              <w:spacing w:after="0" w:line="240" w:lineRule="auto"/>
            </w:pPr>
            <w:r/>
            <w:r>
              <w:rPr>
                <w:b w:val="0"/>
                <w:sz w:val="14"/>
              </w:rPr>
              <w:t>Written architecture decision record and system boundary approved.</w:t>
            </w:r>
          </w:p>
        </w:tc>
      </w:tr>
      <w:tr>
        <w:tc>
          <w:tcPr>
            <w:tcW w:type="dxa" w:w="1440"/>
            <w:vAlign w:val="top"/>
          </w:tcPr>
          <w:p>
            <w:pPr>
              <w:spacing w:after="0" w:line="240" w:lineRule="auto"/>
            </w:pPr>
            <w:r/>
            <w:r>
              <w:rPr>
                <w:b w:val="0"/>
                <w:sz w:val="14"/>
              </w:rPr>
              <w:t>1 - Backend foundation</w:t>
            </w:r>
          </w:p>
        </w:tc>
        <w:tc>
          <w:tcPr>
            <w:tcW w:type="dxa" w:w="2160"/>
            <w:vAlign w:val="top"/>
          </w:tcPr>
          <w:p>
            <w:pPr>
              <w:spacing w:after="0" w:line="240" w:lineRule="auto"/>
            </w:pPr>
            <w:r/>
            <w:r>
              <w:rPr>
                <w:b w:val="0"/>
                <w:sz w:val="14"/>
              </w:rPr>
              <w:t>Create the service control plane.</w:t>
            </w:r>
          </w:p>
        </w:tc>
        <w:tc>
          <w:tcPr>
            <w:tcW w:type="dxa" w:w="4896"/>
            <w:vAlign w:val="top"/>
          </w:tcPr>
          <w:p>
            <w:pPr>
              <w:spacing w:after="0" w:line="240" w:lineRule="auto"/>
            </w:pPr>
            <w:r/>
            <w:r>
              <w:rPr>
                <w:b w:val="0"/>
                <w:sz w:val="14"/>
              </w:rPr>
              <w:t>API gateway, OIDC login, server sessions/tokens, database schema, object storage, tenant model, audit ingestion, OpenAPI contracts, migration strategy from local vaults.</w:t>
            </w:r>
          </w:p>
        </w:tc>
        <w:tc>
          <w:tcPr>
            <w:tcW w:type="dxa" w:w="2880"/>
            <w:vAlign w:val="top"/>
          </w:tcPr>
          <w:p>
            <w:pPr>
              <w:spacing w:after="0" w:line="240" w:lineRule="auto"/>
            </w:pPr>
            <w:r/>
            <w:r>
              <w:rPr>
                <w:b w:val="0"/>
                <w:sz w:val="14"/>
              </w:rPr>
              <w:t>Authenticated CRUD endpoints exist with tenant-scoped tests.</w:t>
            </w:r>
          </w:p>
        </w:tc>
      </w:tr>
      <w:tr>
        <w:tc>
          <w:tcPr>
            <w:tcW w:type="dxa" w:w="1440"/>
            <w:vAlign w:val="top"/>
          </w:tcPr>
          <w:p>
            <w:pPr>
              <w:spacing w:after="0" w:line="240" w:lineRule="auto"/>
            </w:pPr>
            <w:r/>
            <w:r>
              <w:rPr>
                <w:b w:val="0"/>
                <w:sz w:val="14"/>
              </w:rPr>
              <w:t>2 - Authorization and identity lifecycle</w:t>
            </w:r>
          </w:p>
        </w:tc>
        <w:tc>
          <w:tcPr>
            <w:tcW w:type="dxa" w:w="2160"/>
            <w:vAlign w:val="top"/>
          </w:tcPr>
          <w:p>
            <w:pPr>
              <w:spacing w:after="0" w:line="240" w:lineRule="auto"/>
            </w:pPr>
            <w:r/>
            <w:r>
              <w:rPr>
                <w:b w:val="0"/>
                <w:sz w:val="14"/>
              </w:rPr>
              <w:t>Make access enterprise-governed.</w:t>
            </w:r>
          </w:p>
        </w:tc>
        <w:tc>
          <w:tcPr>
            <w:tcW w:type="dxa" w:w="4896"/>
            <w:vAlign w:val="top"/>
          </w:tcPr>
          <w:p>
            <w:pPr>
              <w:spacing w:after="0" w:line="240" w:lineRule="auto"/>
            </w:pPr>
            <w:r/>
            <w:r>
              <w:rPr>
                <w:b w:val="0"/>
                <w:sz w:val="14"/>
              </w:rPr>
              <w:t>Roles/permissions, object-level authorization, SCIM, group mapping, admin console, session revoke, break-glass admin, access review exports.</w:t>
            </w:r>
          </w:p>
        </w:tc>
        <w:tc>
          <w:tcPr>
            <w:tcW w:type="dxa" w:w="2880"/>
            <w:vAlign w:val="top"/>
          </w:tcPr>
          <w:p>
            <w:pPr>
              <w:spacing w:after="0" w:line="240" w:lineRule="auto"/>
            </w:pPr>
            <w:r/>
            <w:r>
              <w:rPr>
                <w:b w:val="0"/>
                <w:sz w:val="14"/>
              </w:rPr>
              <w:t>IDOR/BOLA tests pass; IdP disable removes access; admin actions audited.</w:t>
            </w:r>
          </w:p>
        </w:tc>
      </w:tr>
      <w:tr>
        <w:tc>
          <w:tcPr>
            <w:tcW w:type="dxa" w:w="1440"/>
            <w:vAlign w:val="top"/>
          </w:tcPr>
          <w:p>
            <w:pPr>
              <w:spacing w:after="0" w:line="240" w:lineRule="auto"/>
            </w:pPr>
            <w:r/>
            <w:r>
              <w:rPr>
                <w:b w:val="0"/>
                <w:sz w:val="14"/>
              </w:rPr>
              <w:t>3 - Security operations</w:t>
            </w:r>
          </w:p>
        </w:tc>
        <w:tc>
          <w:tcPr>
            <w:tcW w:type="dxa" w:w="2160"/>
            <w:vAlign w:val="top"/>
          </w:tcPr>
          <w:p>
            <w:pPr>
              <w:spacing w:after="0" w:line="240" w:lineRule="auto"/>
            </w:pPr>
            <w:r/>
            <w:r>
              <w:rPr>
                <w:b w:val="0"/>
                <w:sz w:val="14"/>
              </w:rPr>
              <w:t>Create SOC/ISO evidence-generating operations.</w:t>
            </w:r>
          </w:p>
        </w:tc>
        <w:tc>
          <w:tcPr>
            <w:tcW w:type="dxa" w:w="4896"/>
            <w:vAlign w:val="top"/>
          </w:tcPr>
          <w:p>
            <w:pPr>
              <w:spacing w:after="0" w:line="240" w:lineRule="auto"/>
            </w:pPr>
            <w:r/>
            <w:r>
              <w:rPr>
                <w:b w:val="0"/>
                <w:sz w:val="14"/>
              </w:rPr>
              <w:t>SAST/SCA/secret scanning, SBOM, vulnerability SLAs, incident process, log/metric/trace stack, SIEM export, backup/restore tests, risk register.</w:t>
            </w:r>
          </w:p>
        </w:tc>
        <w:tc>
          <w:tcPr>
            <w:tcW w:type="dxa" w:w="2880"/>
            <w:vAlign w:val="top"/>
          </w:tcPr>
          <w:p>
            <w:pPr>
              <w:spacing w:after="0" w:line="240" w:lineRule="auto"/>
            </w:pPr>
            <w:r/>
            <w:r>
              <w:rPr>
                <w:b w:val="0"/>
                <w:sz w:val="14"/>
              </w:rPr>
              <w:t>Evidence pack exists for security, availability, confidentiality, change management, access control.</w:t>
            </w:r>
          </w:p>
        </w:tc>
      </w:tr>
      <w:tr>
        <w:tc>
          <w:tcPr>
            <w:tcW w:type="dxa" w:w="1440"/>
            <w:vAlign w:val="top"/>
          </w:tcPr>
          <w:p>
            <w:pPr>
              <w:spacing w:after="0" w:line="240" w:lineRule="auto"/>
            </w:pPr>
            <w:r/>
            <w:r>
              <w:rPr>
                <w:b w:val="0"/>
                <w:sz w:val="14"/>
              </w:rPr>
              <w:t>4 - AI governance</w:t>
            </w:r>
          </w:p>
        </w:tc>
        <w:tc>
          <w:tcPr>
            <w:tcW w:type="dxa" w:w="2160"/>
            <w:vAlign w:val="top"/>
          </w:tcPr>
          <w:p>
            <w:pPr>
              <w:spacing w:after="0" w:line="240" w:lineRule="auto"/>
            </w:pPr>
            <w:r/>
            <w:r>
              <w:rPr>
                <w:b w:val="0"/>
                <w:sz w:val="14"/>
              </w:rPr>
              <w:t>Make AI enterprise-safe.</w:t>
            </w:r>
          </w:p>
        </w:tc>
        <w:tc>
          <w:tcPr>
            <w:tcW w:type="dxa" w:w="4896"/>
            <w:vAlign w:val="top"/>
          </w:tcPr>
          <w:p>
            <w:pPr>
              <w:spacing w:after="0" w:line="240" w:lineRule="auto"/>
            </w:pPr>
            <w:r/>
            <w:r>
              <w:rPr>
                <w:b w:val="0"/>
                <w:sz w:val="14"/>
              </w:rPr>
              <w:t>AI policy admin, provider/model allowlists, redaction, data-boundary controls, prompt injection tests, prompt/response retention settings, human approvals, AI risk register.</w:t>
            </w:r>
          </w:p>
        </w:tc>
        <w:tc>
          <w:tcPr>
            <w:tcW w:type="dxa" w:w="2880"/>
            <w:vAlign w:val="top"/>
          </w:tcPr>
          <w:p>
            <w:pPr>
              <w:spacing w:after="0" w:line="240" w:lineRule="auto"/>
            </w:pPr>
            <w:r/>
            <w:r>
              <w:rPr>
                <w:b w:val="0"/>
                <w:sz w:val="14"/>
              </w:rPr>
              <w:t>Cloud AI can be disabled and verified; all AI use is policy-bound and audited.</w:t>
            </w:r>
          </w:p>
        </w:tc>
      </w:tr>
      <w:tr>
        <w:tc>
          <w:tcPr>
            <w:tcW w:type="dxa" w:w="1440"/>
            <w:vAlign w:val="top"/>
          </w:tcPr>
          <w:p>
            <w:pPr>
              <w:spacing w:after="0" w:line="240" w:lineRule="auto"/>
            </w:pPr>
            <w:r/>
            <w:r>
              <w:rPr>
                <w:b w:val="0"/>
                <w:sz w:val="14"/>
              </w:rPr>
              <w:t>5 - Certification readiness</w:t>
            </w:r>
          </w:p>
        </w:tc>
        <w:tc>
          <w:tcPr>
            <w:tcW w:type="dxa" w:w="2160"/>
            <w:vAlign w:val="top"/>
          </w:tcPr>
          <w:p>
            <w:pPr>
              <w:spacing w:after="0" w:line="240" w:lineRule="auto"/>
            </w:pPr>
            <w:r/>
            <w:r>
              <w:rPr>
                <w:b w:val="0"/>
                <w:sz w:val="14"/>
              </w:rPr>
              <w:t>Prepare formal assurance.</w:t>
            </w:r>
          </w:p>
        </w:tc>
        <w:tc>
          <w:tcPr>
            <w:tcW w:type="dxa" w:w="4896"/>
            <w:vAlign w:val="top"/>
          </w:tcPr>
          <w:p>
            <w:pPr>
              <w:spacing w:after="0" w:line="240" w:lineRule="auto"/>
            </w:pPr>
            <w:r/>
            <w:r>
              <w:rPr>
                <w:b w:val="0"/>
                <w:sz w:val="14"/>
              </w:rPr>
              <w:t>ASVS L2 verification, WCAG audit/VPAT, SOC 2 Type I readiness, ISO 27001 gap assessment, privacy/27701 if needed, CSA CAIQ if cloud.</w:t>
            </w:r>
          </w:p>
        </w:tc>
        <w:tc>
          <w:tcPr>
            <w:tcW w:type="dxa" w:w="2880"/>
            <w:vAlign w:val="top"/>
          </w:tcPr>
          <w:p>
            <w:pPr>
              <w:spacing w:after="0" w:line="240" w:lineRule="auto"/>
            </w:pPr>
            <w:r/>
            <w:r>
              <w:rPr>
                <w:b w:val="0"/>
                <w:sz w:val="14"/>
              </w:rPr>
              <w:t>External readiness review passes with remediation backlog.</w:t>
            </w:r>
          </w:p>
        </w:tc>
      </w:tr>
      <w:tr>
        <w:tc>
          <w:tcPr>
            <w:tcW w:type="dxa" w:w="1440"/>
            <w:vAlign w:val="top"/>
          </w:tcPr>
          <w:p>
            <w:pPr>
              <w:spacing w:after="0" w:line="240" w:lineRule="auto"/>
            </w:pPr>
            <w:r/>
            <w:r>
              <w:rPr>
                <w:b w:val="0"/>
                <w:sz w:val="14"/>
              </w:rPr>
              <w:t>6 - Type II / continuous assurance</w:t>
            </w:r>
          </w:p>
        </w:tc>
        <w:tc>
          <w:tcPr>
            <w:tcW w:type="dxa" w:w="2160"/>
            <w:vAlign w:val="top"/>
          </w:tcPr>
          <w:p>
            <w:pPr>
              <w:spacing w:after="0" w:line="240" w:lineRule="auto"/>
            </w:pPr>
            <w:r/>
            <w:r>
              <w:rPr>
                <w:b w:val="0"/>
                <w:sz w:val="14"/>
              </w:rPr>
              <w:t>Operate controls long enough to prove them.</w:t>
            </w:r>
          </w:p>
        </w:tc>
        <w:tc>
          <w:tcPr>
            <w:tcW w:type="dxa" w:w="4896"/>
            <w:vAlign w:val="top"/>
          </w:tcPr>
          <w:p>
            <w:pPr>
              <w:spacing w:after="0" w:line="240" w:lineRule="auto"/>
            </w:pPr>
            <w:r/>
            <w:r>
              <w:rPr>
                <w:b w:val="0"/>
                <w:sz w:val="14"/>
              </w:rPr>
              <w:t>Run access reviews, change approvals, incident tests, vulnerability scans, backup tests, monitoring evidence, vendor reviews over the audit period.</w:t>
            </w:r>
          </w:p>
        </w:tc>
        <w:tc>
          <w:tcPr>
            <w:tcW w:type="dxa" w:w="2880"/>
            <w:vAlign w:val="top"/>
          </w:tcPr>
          <w:p>
            <w:pPr>
              <w:spacing w:after="0" w:line="240" w:lineRule="auto"/>
            </w:pPr>
            <w:r/>
            <w:r>
              <w:rPr>
                <w:b w:val="0"/>
                <w:sz w:val="14"/>
              </w:rPr>
              <w:t>SOC 2 Type II / ISO certification audit evidence complete.</w:t>
            </w:r>
          </w:p>
        </w:tc>
      </w:tr>
    </w:tbl>
    <w:p/>
    <w:p>
      <w:pPr>
        <w:pStyle w:val="Heading1"/>
      </w:pPr>
      <w:r>
        <w:t>Enterprise definition of done</w:t>
      </w:r>
    </w:p>
    <w:p>
      <w:pPr>
        <w:pStyle w:val="ListBullet"/>
      </w:pPr>
      <w:r>
        <w:t>No enterprise data-changing operation is enforced only in the browser.</w:t>
      </w:r>
    </w:p>
    <w:p>
      <w:pPr>
        <w:pStyle w:val="ListBullet"/>
      </w:pPr>
      <w:r>
        <w:t>Every API endpoint validates authentication, tenant membership, resource ownership, action permission, and audit logging.</w:t>
      </w:r>
    </w:p>
    <w:p>
      <w:pPr>
        <w:pStyle w:val="ListBullet"/>
      </w:pPr>
      <w:r>
        <w:t>SSO/OIDC exists before any enterprise pilot; SCIM exists before broad enterprise rollout.</w:t>
      </w:r>
    </w:p>
    <w:p>
      <w:pPr>
        <w:pStyle w:val="ListBullet"/>
      </w:pPr>
      <w:r>
        <w:t>Central audit cannot be modified or purged by ordinary users or tenant admins.</w:t>
      </w:r>
    </w:p>
    <w:p>
      <w:pPr>
        <w:pStyle w:val="ListBullet"/>
      </w:pPr>
      <w:r>
        <w:t>Admin/support access is time-bounded, justified, logged, and reviewable by customer/security admin.</w:t>
      </w:r>
    </w:p>
    <w:p>
      <w:pPr>
        <w:pStyle w:val="ListBullet"/>
      </w:pPr>
      <w:r>
        <w:t>Cloud AI cannot be enabled without tenant admin policy and a visible data disclosure/approval workflow.</w:t>
      </w:r>
    </w:p>
    <w:p>
      <w:pPr>
        <w:pStyle w:val="ListBullet"/>
      </w:pPr>
      <w:r>
        <w:t>A signed SBOM and release provenance are generated for every release artifact.</w:t>
      </w:r>
    </w:p>
    <w:p>
      <w:pPr>
        <w:pStyle w:val="ListBullet"/>
      </w:pPr>
      <w:r>
        <w:t>WCAG 2.2 AA keyboard and screen-reader journeys pass for primary workflows.</w:t>
      </w:r>
    </w:p>
    <w:p>
      <w:pPr>
        <w:pStyle w:val="ListBullet"/>
      </w:pPr>
      <w:r>
        <w:t>SOC 2/ISO evidence exists before customer security questionnaire claims are made.</w:t>
      </w:r>
    </w:p>
    <w:p>
      <w:pPr>
        <w:pStyle w:val="Heading1"/>
      </w:pPr>
      <w:r>
        <w:t>Immediate next actions</w:t>
      </w:r>
    </w:p>
    <w:p>
      <w:pPr>
        <w:pStyle w:val="ListNumber"/>
      </w:pPr>
      <w:r>
        <w:t>Create an ENTERPRISE_ARCHITECTURE.md that defines the system boundary, data flow diagrams, identity flows, tenant boundaries, AI data flows, and audit pipeline.</w:t>
      </w:r>
    </w:p>
    <w:p>
      <w:pPr>
        <w:pStyle w:val="ListNumber"/>
      </w:pPr>
      <w:r>
        <w:t>Create an ASVS-5.0-L2 control matrix with requirement IDs, current status, owner, test method, and evidence location.</w:t>
      </w:r>
    </w:p>
    <w:p>
      <w:pPr>
        <w:pStyle w:val="ListNumber"/>
      </w:pPr>
      <w:r>
        <w:t>Create the backend skeleton with OIDC authentication, tenant-aware database schema, and one fully secured CRUD resource before adding more features.</w:t>
      </w:r>
    </w:p>
    <w:p>
      <w:pPr>
        <w:pStyle w:val="ListNumber"/>
      </w:pPr>
      <w:r>
        <w:t>Replace or contain the global Trusted Types raw policy before enterprise pilots.</w:t>
      </w:r>
    </w:p>
    <w:p>
      <w:pPr>
        <w:pStyle w:val="ListNumber"/>
      </w:pPr>
      <w:r>
        <w:t>Create CI gates for typecheck, test, SAST, SCA, secret scanning, SBOM, license scan, and artifact signing.</w:t>
      </w:r>
    </w:p>
    <w:p>
      <w:pPr>
        <w:pStyle w:val="ListNumber"/>
      </w:pPr>
      <w:r>
        <w:t>Start SOC 2/ISO evidence repository now, even before formal audit, so engineering work produces evidence by design.</w:t>
      </w:r>
    </w:p>
    <w:p>
      <w:pPr>
        <w:pStyle w:val="Heading1"/>
      </w:pPr>
      <w:r>
        <w:t>Source materials used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160"/>
            <w:vAlign w:val="top"/>
            <w:shd w:fill="D9EAF7"/>
          </w:tcPr>
          <w:p>
            <w:pPr>
              <w:spacing w:after="0" w:line="240" w:lineRule="auto"/>
            </w:pPr>
            <w:r/>
            <w:r>
              <w:rPr>
                <w:b/>
                <w:sz w:val="17"/>
              </w:rPr>
              <w:t>Source</w:t>
            </w:r>
          </w:p>
        </w:tc>
        <w:tc>
          <w:tcPr>
            <w:tcW w:type="dxa" w:w="6048"/>
            <w:vAlign w:val="top"/>
            <w:shd w:fill="D9EAF7"/>
          </w:tcPr>
          <w:p>
            <w:pPr>
              <w:spacing w:after="0" w:line="240" w:lineRule="auto"/>
            </w:pPr>
            <w:r/>
            <w:r>
              <w:rPr>
                <w:b/>
                <w:sz w:val="17"/>
              </w:rPr>
              <w:t>How used</w:t>
            </w:r>
          </w:p>
        </w:tc>
        <w:tc>
          <w:tcPr>
            <w:tcW w:type="dxa" w:w="2880"/>
            <w:vAlign w:val="top"/>
            <w:shd w:fill="D9EAF7"/>
          </w:tcPr>
          <w:p>
            <w:pPr>
              <w:spacing w:after="0" w:line="240" w:lineRule="auto"/>
            </w:pPr>
            <w:r/>
            <w:r>
              <w:rPr>
                <w:b/>
                <w:sz w:val="17"/>
              </w:rPr>
              <w:t>URL / Code path</w:t>
            </w:r>
          </w:p>
        </w:tc>
      </w:tr>
      <w:tr>
        <w:tc>
          <w:tcPr>
            <w:tcW w:type="dxa" w:w="2160"/>
            <w:vAlign w:val="top"/>
          </w:tcPr>
          <w:p>
            <w:pPr>
              <w:spacing w:after="0" w:line="240" w:lineRule="auto"/>
            </w:pPr>
            <w:r/>
            <w:r>
              <w:rPr>
                <w:b w:val="0"/>
                <w:sz w:val="15"/>
              </w:rPr>
              <w:t>OWASP ASVS 5.0.0</w:t>
            </w:r>
          </w:p>
        </w:tc>
        <w:tc>
          <w:tcPr>
            <w:tcW w:type="dxa" w:w="6048"/>
            <w:vAlign w:val="top"/>
          </w:tcPr>
          <w:p>
            <w:pPr>
              <w:spacing w:after="0" w:line="240" w:lineRule="auto"/>
            </w:pPr>
            <w:r/>
            <w:r>
              <w:rPr>
                <w:b w:val="0"/>
                <w:sz w:val="15"/>
              </w:rPr>
              <w:t>Application-security verification baseline for web applications; useful for technical acceptance criteria and security testing.</w:t>
            </w:r>
          </w:p>
        </w:tc>
        <w:tc>
          <w:tcPr>
            <w:tcW w:type="dxa" w:w="2880"/>
            <w:vAlign w:val="top"/>
          </w:tcPr>
          <w:p>
            <w:pPr>
              <w:spacing w:after="0" w:line="240" w:lineRule="auto"/>
            </w:pPr>
            <w:r/>
            <w:r>
              <w:rPr>
                <w:b w:val="0"/>
                <w:sz w:val="15"/>
              </w:rPr>
              <w:t>https://owasp.org/www-project-application-security-verification-standard/</w:t>
            </w:r>
          </w:p>
        </w:tc>
      </w:tr>
      <w:tr>
        <w:tc>
          <w:tcPr>
            <w:tcW w:type="dxa" w:w="2160"/>
            <w:vAlign w:val="top"/>
          </w:tcPr>
          <w:p>
            <w:pPr>
              <w:spacing w:after="0" w:line="240" w:lineRule="auto"/>
            </w:pPr>
            <w:r/>
            <w:r>
              <w:rPr>
                <w:b w:val="0"/>
                <w:sz w:val="15"/>
              </w:rPr>
              <w:t>NIST SP 800-207</w:t>
            </w:r>
          </w:p>
        </w:tc>
        <w:tc>
          <w:tcPr>
            <w:tcW w:type="dxa" w:w="6048"/>
            <w:vAlign w:val="top"/>
          </w:tcPr>
          <w:p>
            <w:pPr>
              <w:spacing w:after="0" w:line="240" w:lineRule="auto"/>
            </w:pPr>
            <w:r/>
            <w:r>
              <w:rPr>
                <w:b w:val="0"/>
                <w:sz w:val="15"/>
              </w:rPr>
              <w:t>Zero Trust Architecture definition and enterprise ZTA model.</w:t>
            </w:r>
          </w:p>
        </w:tc>
        <w:tc>
          <w:tcPr>
            <w:tcW w:type="dxa" w:w="2880"/>
            <w:vAlign w:val="top"/>
          </w:tcPr>
          <w:p>
            <w:pPr>
              <w:spacing w:after="0" w:line="240" w:lineRule="auto"/>
            </w:pPr>
            <w:r/>
            <w:r>
              <w:rPr>
                <w:b w:val="0"/>
                <w:sz w:val="15"/>
              </w:rPr>
              <w:t>https://csrc.nist.gov/pubs/sp/800/207/final</w:t>
            </w:r>
          </w:p>
        </w:tc>
      </w:tr>
      <w:tr>
        <w:tc>
          <w:tcPr>
            <w:tcW w:type="dxa" w:w="2160"/>
            <w:vAlign w:val="top"/>
          </w:tcPr>
          <w:p>
            <w:pPr>
              <w:spacing w:after="0" w:line="240" w:lineRule="auto"/>
            </w:pPr>
            <w:r/>
            <w:r>
              <w:rPr>
                <w:b w:val="0"/>
                <w:sz w:val="15"/>
              </w:rPr>
              <w:t>NIST SP 800-63B-4</w:t>
            </w:r>
          </w:p>
        </w:tc>
        <w:tc>
          <w:tcPr>
            <w:tcW w:type="dxa" w:w="6048"/>
            <w:vAlign w:val="top"/>
          </w:tcPr>
          <w:p>
            <w:pPr>
              <w:spacing w:after="0" w:line="240" w:lineRule="auto"/>
            </w:pPr>
            <w:r/>
            <w:r>
              <w:rPr>
                <w:b w:val="0"/>
                <w:sz w:val="15"/>
              </w:rPr>
              <w:t>Authentication and authenticator management guidance, including MFA/password/passkey expectations.</w:t>
            </w:r>
          </w:p>
        </w:tc>
        <w:tc>
          <w:tcPr>
            <w:tcW w:type="dxa" w:w="2880"/>
            <w:vAlign w:val="top"/>
          </w:tcPr>
          <w:p>
            <w:pPr>
              <w:spacing w:after="0" w:line="240" w:lineRule="auto"/>
            </w:pPr>
            <w:r/>
            <w:r>
              <w:rPr>
                <w:b w:val="0"/>
                <w:sz w:val="15"/>
              </w:rPr>
              <w:t>https://csrc.nist.gov/pubs/sp/800/63/b/4/final</w:t>
            </w:r>
          </w:p>
        </w:tc>
      </w:tr>
      <w:tr>
        <w:tc>
          <w:tcPr>
            <w:tcW w:type="dxa" w:w="2160"/>
            <w:vAlign w:val="top"/>
          </w:tcPr>
          <w:p>
            <w:pPr>
              <w:spacing w:after="0" w:line="240" w:lineRule="auto"/>
            </w:pPr>
            <w:r/>
            <w:r>
              <w:rPr>
                <w:b w:val="0"/>
                <w:sz w:val="15"/>
              </w:rPr>
              <w:t>NIST SP 800-218 SSDF</w:t>
            </w:r>
          </w:p>
        </w:tc>
        <w:tc>
          <w:tcPr>
            <w:tcW w:type="dxa" w:w="6048"/>
            <w:vAlign w:val="top"/>
          </w:tcPr>
          <w:p>
            <w:pPr>
              <w:spacing w:after="0" w:line="240" w:lineRule="auto"/>
            </w:pPr>
            <w:r/>
            <w:r>
              <w:rPr>
                <w:b w:val="0"/>
                <w:sz w:val="15"/>
              </w:rPr>
              <w:t>Secure Software Development Framework for software supply-chain and vulnerability reduction practices.</w:t>
            </w:r>
          </w:p>
        </w:tc>
        <w:tc>
          <w:tcPr>
            <w:tcW w:type="dxa" w:w="2880"/>
            <w:vAlign w:val="top"/>
          </w:tcPr>
          <w:p>
            <w:pPr>
              <w:spacing w:after="0" w:line="240" w:lineRule="auto"/>
            </w:pPr>
            <w:r/>
            <w:r>
              <w:rPr>
                <w:b w:val="0"/>
                <w:sz w:val="15"/>
              </w:rPr>
              <w:t>https://csrc.nist.gov/pubs/sp/800/218/final</w:t>
            </w:r>
          </w:p>
        </w:tc>
      </w:tr>
      <w:tr>
        <w:tc>
          <w:tcPr>
            <w:tcW w:type="dxa" w:w="2160"/>
            <w:vAlign w:val="top"/>
          </w:tcPr>
          <w:p>
            <w:pPr>
              <w:spacing w:after="0" w:line="240" w:lineRule="auto"/>
            </w:pPr>
            <w:r/>
            <w:r>
              <w:rPr>
                <w:b w:val="0"/>
                <w:sz w:val="15"/>
              </w:rPr>
              <w:t>NIST SP 800-53 Rev. 5 / Release 5.2.0 notes</w:t>
            </w:r>
          </w:p>
        </w:tc>
        <w:tc>
          <w:tcPr>
            <w:tcW w:type="dxa" w:w="6048"/>
            <w:vAlign w:val="top"/>
          </w:tcPr>
          <w:p>
            <w:pPr>
              <w:spacing w:after="0" w:line="240" w:lineRule="auto"/>
            </w:pPr>
            <w:r/>
            <w:r>
              <w:rPr>
                <w:b w:val="0"/>
                <w:sz w:val="15"/>
              </w:rPr>
              <w:t>Security and privacy control catalog used by FedRAMP and federal control mapping.</w:t>
            </w:r>
          </w:p>
        </w:tc>
        <w:tc>
          <w:tcPr>
            <w:tcW w:type="dxa" w:w="2880"/>
            <w:vAlign w:val="top"/>
          </w:tcPr>
          <w:p>
            <w:pPr>
              <w:spacing w:after="0" w:line="240" w:lineRule="auto"/>
            </w:pPr>
            <w:r/>
            <w:r>
              <w:rPr>
                <w:b w:val="0"/>
                <w:sz w:val="15"/>
              </w:rPr>
              <w:t>https://csrc.nist.gov/pubs/sp/800/53/r5/upd1/final</w:t>
            </w:r>
          </w:p>
        </w:tc>
      </w:tr>
      <w:tr>
        <w:tc>
          <w:tcPr>
            <w:tcW w:type="dxa" w:w="2160"/>
            <w:vAlign w:val="top"/>
          </w:tcPr>
          <w:p>
            <w:pPr>
              <w:spacing w:after="0" w:line="240" w:lineRule="auto"/>
            </w:pPr>
            <w:r/>
            <w:r>
              <w:rPr>
                <w:b w:val="0"/>
                <w:sz w:val="15"/>
              </w:rPr>
              <w:t>FedRAMP 20x</w:t>
            </w:r>
          </w:p>
        </w:tc>
        <w:tc>
          <w:tcPr>
            <w:tcW w:type="dxa" w:w="6048"/>
            <w:vAlign w:val="top"/>
          </w:tcPr>
          <w:p>
            <w:pPr>
              <w:spacing w:after="0" w:line="240" w:lineRule="auto"/>
            </w:pPr>
            <w:r/>
            <w:r>
              <w:rPr>
                <w:b w:val="0"/>
                <w:sz w:val="15"/>
              </w:rPr>
              <w:t>Automation-first cloud authorization direction and Key Security Indicator model.</w:t>
            </w:r>
          </w:p>
        </w:tc>
        <w:tc>
          <w:tcPr>
            <w:tcW w:type="dxa" w:w="2880"/>
            <w:vAlign w:val="top"/>
          </w:tcPr>
          <w:p>
            <w:pPr>
              <w:spacing w:after="0" w:line="240" w:lineRule="auto"/>
            </w:pPr>
            <w:r/>
            <w:r>
              <w:rPr>
                <w:b w:val="0"/>
                <w:sz w:val="15"/>
              </w:rPr>
              <w:t>https://www.fedramp.gov/20x/</w:t>
            </w:r>
          </w:p>
        </w:tc>
      </w:tr>
      <w:tr>
        <w:tc>
          <w:tcPr>
            <w:tcW w:type="dxa" w:w="2160"/>
            <w:vAlign w:val="top"/>
          </w:tcPr>
          <w:p>
            <w:pPr>
              <w:spacing w:after="0" w:line="240" w:lineRule="auto"/>
            </w:pPr>
            <w:r/>
            <w:r>
              <w:rPr>
                <w:b w:val="0"/>
                <w:sz w:val="15"/>
              </w:rPr>
              <w:t>ISO/IEC 27001:2022</w:t>
            </w:r>
          </w:p>
        </w:tc>
        <w:tc>
          <w:tcPr>
            <w:tcW w:type="dxa" w:w="6048"/>
            <w:vAlign w:val="top"/>
          </w:tcPr>
          <w:p>
            <w:pPr>
              <w:spacing w:after="0" w:line="240" w:lineRule="auto"/>
            </w:pPr>
            <w:r/>
            <w:r>
              <w:rPr>
                <w:b w:val="0"/>
                <w:sz w:val="15"/>
              </w:rPr>
              <w:t>Information security management system certification standard.</w:t>
            </w:r>
          </w:p>
        </w:tc>
        <w:tc>
          <w:tcPr>
            <w:tcW w:type="dxa" w:w="2880"/>
            <w:vAlign w:val="top"/>
          </w:tcPr>
          <w:p>
            <w:pPr>
              <w:spacing w:after="0" w:line="240" w:lineRule="auto"/>
            </w:pPr>
            <w:r/>
            <w:r>
              <w:rPr>
                <w:b w:val="0"/>
                <w:sz w:val="15"/>
              </w:rPr>
              <w:t>https://www.iso.org/standard/27001</w:t>
            </w:r>
          </w:p>
        </w:tc>
      </w:tr>
      <w:tr>
        <w:tc>
          <w:tcPr>
            <w:tcW w:type="dxa" w:w="2160"/>
            <w:vAlign w:val="top"/>
          </w:tcPr>
          <w:p>
            <w:pPr>
              <w:spacing w:after="0" w:line="240" w:lineRule="auto"/>
            </w:pPr>
            <w:r/>
            <w:r>
              <w:rPr>
                <w:b w:val="0"/>
                <w:sz w:val="15"/>
              </w:rPr>
              <w:t>ISO/IEC 27701:2025</w:t>
            </w:r>
          </w:p>
        </w:tc>
        <w:tc>
          <w:tcPr>
            <w:tcW w:type="dxa" w:w="6048"/>
            <w:vAlign w:val="top"/>
          </w:tcPr>
          <w:p>
            <w:pPr>
              <w:spacing w:after="0" w:line="240" w:lineRule="auto"/>
            </w:pPr>
            <w:r/>
            <w:r>
              <w:rPr>
                <w:b w:val="0"/>
                <w:sz w:val="15"/>
              </w:rPr>
              <w:t>Privacy information management system standard.</w:t>
            </w:r>
          </w:p>
        </w:tc>
        <w:tc>
          <w:tcPr>
            <w:tcW w:type="dxa" w:w="2880"/>
            <w:vAlign w:val="top"/>
          </w:tcPr>
          <w:p>
            <w:pPr>
              <w:spacing w:after="0" w:line="240" w:lineRule="auto"/>
            </w:pPr>
            <w:r/>
            <w:r>
              <w:rPr>
                <w:b w:val="0"/>
                <w:sz w:val="15"/>
              </w:rPr>
              <w:t>https://www.iso.org/standard/27701</w:t>
            </w:r>
          </w:p>
        </w:tc>
      </w:tr>
      <w:tr>
        <w:tc>
          <w:tcPr>
            <w:tcW w:type="dxa" w:w="2160"/>
            <w:vAlign w:val="top"/>
          </w:tcPr>
          <w:p>
            <w:pPr>
              <w:spacing w:after="0" w:line="240" w:lineRule="auto"/>
            </w:pPr>
            <w:r/>
            <w:r>
              <w:rPr>
                <w:b w:val="0"/>
                <w:sz w:val="15"/>
              </w:rPr>
              <w:t>ISO/IEC 42001:2023</w:t>
            </w:r>
          </w:p>
        </w:tc>
        <w:tc>
          <w:tcPr>
            <w:tcW w:type="dxa" w:w="6048"/>
            <w:vAlign w:val="top"/>
          </w:tcPr>
          <w:p>
            <w:pPr>
              <w:spacing w:after="0" w:line="240" w:lineRule="auto"/>
            </w:pPr>
            <w:r/>
            <w:r>
              <w:rPr>
                <w:b w:val="0"/>
                <w:sz w:val="15"/>
              </w:rPr>
              <w:t>AI management system standard.</w:t>
            </w:r>
          </w:p>
        </w:tc>
        <w:tc>
          <w:tcPr>
            <w:tcW w:type="dxa" w:w="2880"/>
            <w:vAlign w:val="top"/>
          </w:tcPr>
          <w:p>
            <w:pPr>
              <w:spacing w:after="0" w:line="240" w:lineRule="auto"/>
            </w:pPr>
            <w:r/>
            <w:r>
              <w:rPr>
                <w:b w:val="0"/>
                <w:sz w:val="15"/>
              </w:rPr>
              <w:t>https://www.iso.org/standard/42001</w:t>
            </w:r>
          </w:p>
        </w:tc>
      </w:tr>
      <w:tr>
        <w:tc>
          <w:tcPr>
            <w:tcW w:type="dxa" w:w="2160"/>
            <w:vAlign w:val="top"/>
          </w:tcPr>
          <w:p>
            <w:pPr>
              <w:spacing w:after="0" w:line="240" w:lineRule="auto"/>
            </w:pPr>
            <w:r/>
            <w:r>
              <w:rPr>
                <w:b w:val="0"/>
                <w:sz w:val="15"/>
              </w:rPr>
              <w:t>SOC 2 / AICPA Trust Services</w:t>
            </w:r>
          </w:p>
        </w:tc>
        <w:tc>
          <w:tcPr>
            <w:tcW w:type="dxa" w:w="6048"/>
            <w:vAlign w:val="top"/>
          </w:tcPr>
          <w:p>
            <w:pPr>
              <w:spacing w:after="0" w:line="240" w:lineRule="auto"/>
            </w:pPr>
            <w:r/>
            <w:r>
              <w:rPr>
                <w:b w:val="0"/>
                <w:sz w:val="15"/>
              </w:rPr>
              <w:t>Assurance reporting over service-organization controls for security, availability, confidentiality, processing integrity, and privacy.</w:t>
            </w:r>
          </w:p>
        </w:tc>
        <w:tc>
          <w:tcPr>
            <w:tcW w:type="dxa" w:w="2880"/>
            <w:vAlign w:val="top"/>
          </w:tcPr>
          <w:p>
            <w:pPr>
              <w:spacing w:after="0" w:line="240" w:lineRule="auto"/>
            </w:pPr>
            <w:r/>
            <w:r>
              <w:rPr>
                <w:b w:val="0"/>
                <w:sz w:val="15"/>
              </w:rPr>
              <w:t>https://www.aicpa-cima.com/resources/landing/system-and-organization-controls-soc-suite-of-services</w:t>
            </w:r>
          </w:p>
        </w:tc>
      </w:tr>
      <w:tr>
        <w:tc>
          <w:tcPr>
            <w:tcW w:type="dxa" w:w="2160"/>
            <w:vAlign w:val="top"/>
          </w:tcPr>
          <w:p>
            <w:pPr>
              <w:spacing w:after="0" w:line="240" w:lineRule="auto"/>
            </w:pPr>
            <w:r/>
            <w:r>
              <w:rPr>
                <w:b w:val="0"/>
                <w:sz w:val="15"/>
              </w:rPr>
              <w:t>WCAG 2.2</w:t>
            </w:r>
          </w:p>
        </w:tc>
        <w:tc>
          <w:tcPr>
            <w:tcW w:type="dxa" w:w="6048"/>
            <w:vAlign w:val="top"/>
          </w:tcPr>
          <w:p>
            <w:pPr>
              <w:spacing w:after="0" w:line="240" w:lineRule="auto"/>
            </w:pPr>
            <w:r/>
            <w:r>
              <w:rPr>
                <w:b w:val="0"/>
                <w:sz w:val="15"/>
              </w:rPr>
              <w:t>Current W3C web accessibility recommendation for AA conformance and VPAT evidence.</w:t>
            </w:r>
          </w:p>
        </w:tc>
        <w:tc>
          <w:tcPr>
            <w:tcW w:type="dxa" w:w="2880"/>
            <w:vAlign w:val="top"/>
          </w:tcPr>
          <w:p>
            <w:pPr>
              <w:spacing w:after="0" w:line="240" w:lineRule="auto"/>
            </w:pPr>
            <w:r/>
            <w:r>
              <w:rPr>
                <w:b w:val="0"/>
                <w:sz w:val="15"/>
              </w:rPr>
              <w:t>https://www.w3.org/TR/WCAG22/</w:t>
            </w:r>
          </w:p>
        </w:tc>
      </w:tr>
      <w:tr>
        <w:tc>
          <w:tcPr>
            <w:tcW w:type="dxa" w:w="2160"/>
            <w:vAlign w:val="top"/>
          </w:tcPr>
          <w:p>
            <w:pPr>
              <w:spacing w:after="0" w:line="240" w:lineRule="auto"/>
            </w:pPr>
            <w:r/>
            <w:r>
              <w:rPr>
                <w:b w:val="0"/>
                <w:sz w:val="15"/>
              </w:rPr>
              <w:t>CSA Cloud Controls Matrix 4.1</w:t>
            </w:r>
          </w:p>
        </w:tc>
        <w:tc>
          <w:tcPr>
            <w:tcW w:type="dxa" w:w="6048"/>
            <w:vAlign w:val="top"/>
          </w:tcPr>
          <w:p>
            <w:pPr>
              <w:spacing w:after="0" w:line="240" w:lineRule="auto"/>
            </w:pPr>
            <w:r/>
            <w:r>
              <w:rPr>
                <w:b w:val="0"/>
                <w:sz w:val="15"/>
              </w:rPr>
              <w:t>Cloud security control framework and STAR assessment basis.</w:t>
            </w:r>
          </w:p>
        </w:tc>
        <w:tc>
          <w:tcPr>
            <w:tcW w:type="dxa" w:w="2880"/>
            <w:vAlign w:val="top"/>
          </w:tcPr>
          <w:p>
            <w:pPr>
              <w:spacing w:after="0" w:line="240" w:lineRule="auto"/>
            </w:pPr>
            <w:r/>
            <w:r>
              <w:rPr>
                <w:b w:val="0"/>
                <w:sz w:val="15"/>
              </w:rPr>
              <w:t>https://cloudsecurityalliance.org/research/cloud-controls-matrix</w:t>
            </w:r>
          </w:p>
        </w:tc>
      </w:tr>
    </w:tbl>
    <w:p/>
    <w:p>
      <w:pPr>
        <w:pStyle w:val="Heading2"/>
      </w:pPr>
      <w:r>
        <w:t>Repository evidence reviewed</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2088"/>
            <w:vAlign w:val="top"/>
            <w:shd w:fill="D9EAF7"/>
          </w:tcPr>
          <w:p>
            <w:pPr>
              <w:spacing w:after="0" w:line="240" w:lineRule="auto"/>
            </w:pPr>
            <w:r/>
            <w:r>
              <w:rPr>
                <w:b/>
                <w:sz w:val="17"/>
              </w:rPr>
              <w:t>Evidence area</w:t>
            </w:r>
          </w:p>
        </w:tc>
        <w:tc>
          <w:tcPr>
            <w:tcW w:type="dxa" w:w="3240"/>
            <w:vAlign w:val="top"/>
            <w:shd w:fill="D9EAF7"/>
          </w:tcPr>
          <w:p>
            <w:pPr>
              <w:spacing w:after="0" w:line="240" w:lineRule="auto"/>
            </w:pPr>
            <w:r/>
            <w:r>
              <w:rPr>
                <w:b/>
                <w:sz w:val="17"/>
              </w:rPr>
              <w:t>Path</w:t>
            </w:r>
          </w:p>
        </w:tc>
        <w:tc>
          <w:tcPr>
            <w:tcW w:type="dxa" w:w="6048"/>
            <w:vAlign w:val="top"/>
            <w:shd w:fill="D9EAF7"/>
          </w:tcPr>
          <w:p>
            <w:pPr>
              <w:spacing w:after="0" w:line="240" w:lineRule="auto"/>
            </w:pPr>
            <w:r/>
            <w:r>
              <w:rPr>
                <w:b/>
                <w:sz w:val="17"/>
              </w:rPr>
              <w:t>What it proves</w:t>
            </w:r>
          </w:p>
        </w:tc>
      </w:tr>
      <w:tr>
        <w:tc>
          <w:tcPr>
            <w:tcW w:type="dxa" w:w="2088"/>
            <w:vAlign w:val="top"/>
          </w:tcPr>
          <w:p>
            <w:pPr>
              <w:spacing w:after="0" w:line="240" w:lineRule="auto"/>
            </w:pPr>
            <w:r/>
            <w:r>
              <w:rPr>
                <w:b w:val="0"/>
                <w:sz w:val="14"/>
              </w:rPr>
              <w:t>Monorepo/build scripts</w:t>
            </w:r>
          </w:p>
        </w:tc>
        <w:tc>
          <w:tcPr>
            <w:tcW w:type="dxa" w:w="3240"/>
            <w:vAlign w:val="top"/>
          </w:tcPr>
          <w:p>
            <w:pPr>
              <w:spacing w:after="0" w:line="240" w:lineRule="auto"/>
            </w:pPr>
            <w:r/>
            <w:r>
              <w:rPr>
                <w:b w:val="0"/>
                <w:sz w:val="14"/>
              </w:rPr>
              <w:t>package.json</w:t>
            </w:r>
          </w:p>
        </w:tc>
        <w:tc>
          <w:tcPr>
            <w:tcW w:type="dxa" w:w="6048"/>
            <w:vAlign w:val="top"/>
          </w:tcPr>
          <w:p>
            <w:pPr>
              <w:spacing w:after="0" w:line="240" w:lineRule="auto"/>
            </w:pPr>
            <w:r/>
            <w:r>
              <w:rPr>
                <w:b w:val="0"/>
                <w:sz w:val="14"/>
              </w:rPr>
              <w:t>Branch defines build:offline, build:sync, build:dataverse, build:all, and typecheck. Offline build runs Vite then generate-csp.mjs.</w:t>
            </w:r>
          </w:p>
        </w:tc>
      </w:tr>
      <w:tr>
        <w:tc>
          <w:tcPr>
            <w:tcW w:type="dxa" w:w="2088"/>
            <w:vAlign w:val="top"/>
          </w:tcPr>
          <w:p>
            <w:pPr>
              <w:spacing w:after="0" w:line="240" w:lineRule="auto"/>
            </w:pPr>
            <w:r/>
            <w:r>
              <w:rPr>
                <w:b w:val="0"/>
                <w:sz w:val="14"/>
              </w:rPr>
              <w:t>Offline entry</w:t>
            </w:r>
          </w:p>
        </w:tc>
        <w:tc>
          <w:tcPr>
            <w:tcW w:type="dxa" w:w="3240"/>
            <w:vAlign w:val="top"/>
          </w:tcPr>
          <w:p>
            <w:pPr>
              <w:spacing w:after="0" w:line="240" w:lineRule="auto"/>
            </w:pPr>
            <w:r/>
            <w:r>
              <w:rPr>
                <w:b w:val="0"/>
                <w:sz w:val="14"/>
              </w:rPr>
              <w:t>apps/offline/src/entry.ts</w:t>
            </w:r>
          </w:p>
        </w:tc>
        <w:tc>
          <w:tcPr>
            <w:tcW w:type="dxa" w:w="6048"/>
            <w:vAlign w:val="top"/>
          </w:tcPr>
          <w:p>
            <w:pPr>
              <w:spacing w:after="0" w:line="240" w:lineRule="auto"/>
            </w:pPr>
            <w:r/>
            <w:r>
              <w:rPr>
                <w:b w:val="0"/>
                <w:sz w:val="14"/>
              </w:rPr>
              <w:t>Sets OT_ONLY_DEPLOYMENT_POLICY, adds allowed CSP connect sources from __OT_AI_CONNECT_SRC__, sets NullAdapter, and calls init().</w:t>
            </w:r>
          </w:p>
        </w:tc>
      </w:tr>
      <w:tr>
        <w:tc>
          <w:tcPr>
            <w:tcW w:type="dxa" w:w="2088"/>
            <w:vAlign w:val="top"/>
          </w:tcPr>
          <w:p>
            <w:pPr>
              <w:spacing w:after="0" w:line="240" w:lineRule="auto"/>
            </w:pPr>
            <w:r/>
            <w:r>
              <w:rPr>
                <w:b w:val="0"/>
                <w:sz w:val="14"/>
              </w:rPr>
              <w:t>Offline CSP template</w:t>
            </w:r>
          </w:p>
        </w:tc>
        <w:tc>
          <w:tcPr>
            <w:tcW w:type="dxa" w:w="3240"/>
            <w:vAlign w:val="top"/>
          </w:tcPr>
          <w:p>
            <w:pPr>
              <w:spacing w:after="0" w:line="240" w:lineRule="auto"/>
            </w:pPr>
            <w:r/>
            <w:r>
              <w:rPr>
                <w:b w:val="0"/>
                <w:sz w:val="14"/>
              </w:rPr>
              <w:t>apps/offline/index.html</w:t>
            </w:r>
          </w:p>
        </w:tc>
        <w:tc>
          <w:tcPr>
            <w:tcW w:type="dxa" w:w="6048"/>
            <w:vAlign w:val="top"/>
          </w:tcPr>
          <w:p>
            <w:pPr>
              <w:spacing w:after="0" w:line="240" w:lineRule="auto"/>
            </w:pPr>
            <w:r/>
            <w:r>
              <w:rPr>
                <w:b w:val="0"/>
                <w:sz w:val="14"/>
              </w:rPr>
              <w:t>CSP template uses default-src none, script hashes, style unsafe-inline, data/blob images, worker-src blob, Trusted Types, and restrictive referrer/permissions policies.</w:t>
            </w:r>
          </w:p>
        </w:tc>
      </w:tr>
      <w:tr>
        <w:tc>
          <w:tcPr>
            <w:tcW w:type="dxa" w:w="2088"/>
            <w:vAlign w:val="top"/>
          </w:tcPr>
          <w:p>
            <w:pPr>
              <w:spacing w:after="0" w:line="240" w:lineRule="auto"/>
            </w:pPr>
            <w:r/>
            <w:r>
              <w:rPr>
                <w:b w:val="0"/>
                <w:sz w:val="14"/>
              </w:rPr>
              <w:t>Deployment policy</w:t>
            </w:r>
          </w:p>
        </w:tc>
        <w:tc>
          <w:tcPr>
            <w:tcW w:type="dxa" w:w="3240"/>
            <w:vAlign w:val="top"/>
          </w:tcPr>
          <w:p>
            <w:pPr>
              <w:spacing w:after="0" w:line="240" w:lineRule="auto"/>
            </w:pPr>
            <w:r/>
            <w:r>
              <w:rPr>
                <w:b w:val="0"/>
                <w:sz w:val="14"/>
              </w:rPr>
              <w:t>packages/core/src/deployment-policy.ts</w:t>
            </w:r>
          </w:p>
        </w:tc>
        <w:tc>
          <w:tcPr>
            <w:tcW w:type="dxa" w:w="6048"/>
            <w:vAlign w:val="top"/>
          </w:tcPr>
          <w:p>
            <w:pPr>
              <w:spacing w:after="0" w:line="240" w:lineRule="auto"/>
            </w:pPr>
            <w:r/>
            <w:r>
              <w:rPr>
                <w:b w:val="0"/>
                <w:sz w:val="14"/>
              </w:rPr>
              <w:t>Defines AI tiers browser/ollama/cloud. OT-only policy allows browser tier only and blocks public endpoints.</w:t>
            </w:r>
          </w:p>
        </w:tc>
      </w:tr>
      <w:tr>
        <w:tc>
          <w:tcPr>
            <w:tcW w:type="dxa" w:w="2088"/>
            <w:vAlign w:val="top"/>
          </w:tcPr>
          <w:p>
            <w:pPr>
              <w:spacing w:after="0" w:line="240" w:lineRule="auto"/>
            </w:pPr>
            <w:r/>
            <w:r>
              <w:rPr>
                <w:b w:val="0"/>
                <w:sz w:val="14"/>
              </w:rPr>
              <w:t>Sync adapter interface</w:t>
            </w:r>
          </w:p>
        </w:tc>
        <w:tc>
          <w:tcPr>
            <w:tcW w:type="dxa" w:w="3240"/>
            <w:vAlign w:val="top"/>
          </w:tcPr>
          <w:p>
            <w:pPr>
              <w:spacing w:after="0" w:line="240" w:lineRule="auto"/>
            </w:pPr>
            <w:r/>
            <w:r>
              <w:rPr>
                <w:b w:val="0"/>
                <w:sz w:val="14"/>
              </w:rPr>
              <w:t>packages/core/src/adapter-interface.ts</w:t>
            </w:r>
          </w:p>
        </w:tc>
        <w:tc>
          <w:tcPr>
            <w:tcW w:type="dxa" w:w="6048"/>
            <w:vAlign w:val="top"/>
          </w:tcPr>
          <w:p>
            <w:pPr>
              <w:spacing w:after="0" w:line="240" w:lineRule="auto"/>
            </w:pPr>
            <w:r/>
            <w:r>
              <w:rPr>
                <w:b w:val="0"/>
                <w:sz w:val="14"/>
              </w:rPr>
              <w:t>Pull/push/stream/clear interface exists; default implementation returns empty results.</w:t>
            </w:r>
          </w:p>
        </w:tc>
      </w:tr>
      <w:tr>
        <w:tc>
          <w:tcPr>
            <w:tcW w:type="dxa" w:w="2088"/>
            <w:vAlign w:val="top"/>
          </w:tcPr>
          <w:p>
            <w:pPr>
              <w:spacing w:after="0" w:line="240" w:lineRule="auto"/>
            </w:pPr>
            <w:r/>
            <w:r>
              <w:rPr>
                <w:b w:val="0"/>
                <w:sz w:val="14"/>
              </w:rPr>
              <w:t>RxDB adapter</w:t>
            </w:r>
          </w:p>
        </w:tc>
        <w:tc>
          <w:tcPr>
            <w:tcW w:type="dxa" w:w="3240"/>
            <w:vAlign w:val="top"/>
          </w:tcPr>
          <w:p>
            <w:pPr>
              <w:spacing w:after="0" w:line="240" w:lineRule="auto"/>
            </w:pPr>
            <w:r/>
            <w:r>
              <w:rPr>
                <w:b w:val="0"/>
                <w:sz w:val="14"/>
              </w:rPr>
              <w:t>packages/adapter-rxdb/src/index.ts</w:t>
            </w:r>
          </w:p>
        </w:tc>
        <w:tc>
          <w:tcPr>
            <w:tcW w:type="dxa" w:w="6048"/>
            <w:vAlign w:val="top"/>
          </w:tcPr>
          <w:p>
            <w:pPr>
              <w:spacing w:after="0" w:line="240" w:lineRule="auto"/>
            </w:pPr>
            <w:r/>
            <w:r>
              <w:rPr>
                <w:b w:val="0"/>
                <w:sz w:val="14"/>
              </w:rPr>
              <w:t>Adapter class exists but is TODO stub.</w:t>
            </w:r>
          </w:p>
        </w:tc>
      </w:tr>
      <w:tr>
        <w:tc>
          <w:tcPr>
            <w:tcW w:type="dxa" w:w="2088"/>
            <w:vAlign w:val="top"/>
          </w:tcPr>
          <w:p>
            <w:pPr>
              <w:spacing w:after="0" w:line="240" w:lineRule="auto"/>
            </w:pPr>
            <w:r/>
            <w:r>
              <w:rPr>
                <w:b w:val="0"/>
                <w:sz w:val="14"/>
              </w:rPr>
              <w:t>Dataverse adapter</w:t>
            </w:r>
          </w:p>
        </w:tc>
        <w:tc>
          <w:tcPr>
            <w:tcW w:type="dxa" w:w="3240"/>
            <w:vAlign w:val="top"/>
          </w:tcPr>
          <w:p>
            <w:pPr>
              <w:spacing w:after="0" w:line="240" w:lineRule="auto"/>
            </w:pPr>
            <w:r/>
            <w:r>
              <w:rPr>
                <w:b w:val="0"/>
                <w:sz w:val="14"/>
              </w:rPr>
              <w:t>packages/adapter-dataverse/src/index.ts</w:t>
            </w:r>
          </w:p>
        </w:tc>
        <w:tc>
          <w:tcPr>
            <w:tcW w:type="dxa" w:w="6048"/>
            <w:vAlign w:val="top"/>
          </w:tcPr>
          <w:p>
            <w:pPr>
              <w:spacing w:after="0" w:line="240" w:lineRule="auto"/>
            </w:pPr>
            <w:r/>
            <w:r>
              <w:rPr>
                <w:b w:val="0"/>
                <w:sz w:val="14"/>
              </w:rPr>
              <w:t>Adapter class exists but is TODO stub.</w:t>
            </w:r>
          </w:p>
        </w:tc>
      </w:tr>
      <w:tr>
        <w:tc>
          <w:tcPr>
            <w:tcW w:type="dxa" w:w="2088"/>
            <w:vAlign w:val="top"/>
          </w:tcPr>
          <w:p>
            <w:pPr>
              <w:spacing w:after="0" w:line="240" w:lineRule="auto"/>
            </w:pPr>
            <w:r/>
            <w:r>
              <w:rPr>
                <w:b w:val="0"/>
                <w:sz w:val="14"/>
              </w:rPr>
              <w:t>Crypto</w:t>
            </w:r>
          </w:p>
        </w:tc>
        <w:tc>
          <w:tcPr>
            <w:tcW w:type="dxa" w:w="3240"/>
            <w:vAlign w:val="top"/>
          </w:tcPr>
          <w:p>
            <w:pPr>
              <w:spacing w:after="0" w:line="240" w:lineRule="auto"/>
            </w:pPr>
            <w:r/>
            <w:r>
              <w:rPr>
                <w:b w:val="0"/>
                <w:sz w:val="14"/>
              </w:rPr>
              <w:t>packages/core/src/crypto.ts and constants.ts</w:t>
            </w:r>
          </w:p>
        </w:tc>
        <w:tc>
          <w:tcPr>
            <w:tcW w:type="dxa" w:w="6048"/>
            <w:vAlign w:val="top"/>
          </w:tcPr>
          <w:p>
            <w:pPr>
              <w:spacing w:after="0" w:line="240" w:lineRule="auto"/>
            </w:pPr>
            <w:r/>
            <w:r>
              <w:rPr>
                <w:b w:val="0"/>
                <w:sz w:val="14"/>
              </w:rPr>
              <w:t>AES-GCM, PBKDF2-HMAC-SHA-256, 600,000 iterations, 32-byte salt, 12-byte IV, non-extractable CryptoKey.</w:t>
            </w:r>
          </w:p>
        </w:tc>
      </w:tr>
      <w:tr>
        <w:tc>
          <w:tcPr>
            <w:tcW w:type="dxa" w:w="2088"/>
            <w:vAlign w:val="top"/>
          </w:tcPr>
          <w:p>
            <w:pPr>
              <w:spacing w:after="0" w:line="240" w:lineRule="auto"/>
            </w:pPr>
            <w:r/>
            <w:r>
              <w:rPr>
                <w:b w:val="0"/>
                <w:sz w:val="14"/>
              </w:rPr>
              <w:t>Vault and backup</w:t>
            </w:r>
          </w:p>
        </w:tc>
        <w:tc>
          <w:tcPr>
            <w:tcW w:type="dxa" w:w="3240"/>
            <w:vAlign w:val="top"/>
          </w:tcPr>
          <w:p>
            <w:pPr>
              <w:spacing w:after="0" w:line="240" w:lineRule="auto"/>
            </w:pPr>
            <w:r/>
            <w:r>
              <w:rPr>
                <w:b w:val="0"/>
                <w:sz w:val="14"/>
              </w:rPr>
              <w:t>packages/core/src/vault.ts</w:t>
            </w:r>
          </w:p>
        </w:tc>
        <w:tc>
          <w:tcPr>
            <w:tcW w:type="dxa" w:w="6048"/>
            <w:vAlign w:val="top"/>
          </w:tcPr>
          <w:p>
            <w:pPr>
              <w:spacing w:after="0" w:line="240" w:lineRule="auto"/>
            </w:pPr>
            <w:r/>
            <w:r>
              <w:rPr>
                <w:b w:val="0"/>
                <w:sz w:val="14"/>
              </w:rPr>
              <w:t>Encrypted vault load/save, KDF migration, password change, encrypted backup import/export, JSON import validation.</w:t>
            </w:r>
          </w:p>
        </w:tc>
      </w:tr>
      <w:tr>
        <w:tc>
          <w:tcPr>
            <w:tcW w:type="dxa" w:w="2088"/>
            <w:vAlign w:val="top"/>
          </w:tcPr>
          <w:p>
            <w:pPr>
              <w:spacing w:after="0" w:line="240" w:lineRule="auto"/>
            </w:pPr>
            <w:r/>
            <w:r>
              <w:rPr>
                <w:b w:val="0"/>
                <w:sz w:val="14"/>
              </w:rPr>
              <w:t>Session key</w:t>
            </w:r>
          </w:p>
        </w:tc>
        <w:tc>
          <w:tcPr>
            <w:tcW w:type="dxa" w:w="3240"/>
            <w:vAlign w:val="top"/>
          </w:tcPr>
          <w:p>
            <w:pPr>
              <w:spacing w:after="0" w:line="240" w:lineRule="auto"/>
            </w:pPr>
            <w:r/>
            <w:r>
              <w:rPr>
                <w:b w:val="0"/>
                <w:sz w:val="14"/>
              </w:rPr>
              <w:t>packages/core/src/session.ts</w:t>
            </w:r>
          </w:p>
        </w:tc>
        <w:tc>
          <w:tcPr>
            <w:tcW w:type="dxa" w:w="6048"/>
            <w:vAlign w:val="top"/>
          </w:tcPr>
          <w:p>
            <w:pPr>
              <w:spacing w:after="0" w:line="240" w:lineRule="auto"/>
            </w:pPr>
            <w:r/>
            <w:r>
              <w:rPr>
                <w:b w:val="0"/>
                <w:sz w:val="14"/>
              </w:rPr>
              <w:t>Non-extractable CryptoKey stored in IndexedDB with sessionStorage sentinel; clears on explicit logout/tab-close boundary.</w:t>
            </w:r>
          </w:p>
        </w:tc>
      </w:tr>
      <w:tr>
        <w:tc>
          <w:tcPr>
            <w:tcW w:type="dxa" w:w="2088"/>
            <w:vAlign w:val="top"/>
          </w:tcPr>
          <w:p>
            <w:pPr>
              <w:spacing w:after="0" w:line="240" w:lineRule="auto"/>
            </w:pPr>
            <w:r/>
            <w:r>
              <w:rPr>
                <w:b w:val="0"/>
                <w:sz w:val="14"/>
              </w:rPr>
              <w:t>Authentication</w:t>
            </w:r>
          </w:p>
        </w:tc>
        <w:tc>
          <w:tcPr>
            <w:tcW w:type="dxa" w:w="3240"/>
            <w:vAlign w:val="top"/>
          </w:tcPr>
          <w:p>
            <w:pPr>
              <w:spacing w:after="0" w:line="240" w:lineRule="auto"/>
            </w:pPr>
            <w:r/>
            <w:r>
              <w:rPr>
                <w:b w:val="0"/>
                <w:sz w:val="14"/>
              </w:rPr>
              <w:t>packages/core/src/auth.ts</w:t>
            </w:r>
          </w:p>
        </w:tc>
        <w:tc>
          <w:tcPr>
            <w:tcW w:type="dxa" w:w="6048"/>
            <w:vAlign w:val="top"/>
          </w:tcPr>
          <w:p>
            <w:pPr>
              <w:spacing w:after="0" w:line="240" w:lineRule="auto"/>
            </w:pPr>
            <w:r/>
            <w:r>
              <w:rPr>
                <w:b w:val="0"/>
                <w:sz w:val="14"/>
              </w:rPr>
              <w:t>Master password unlock, file vault import, lockout state, TOTP step after password verification.</w:t>
            </w:r>
          </w:p>
        </w:tc>
      </w:tr>
      <w:tr>
        <w:tc>
          <w:tcPr>
            <w:tcW w:type="dxa" w:w="2088"/>
            <w:vAlign w:val="top"/>
          </w:tcPr>
          <w:p>
            <w:pPr>
              <w:spacing w:after="0" w:line="240" w:lineRule="auto"/>
            </w:pPr>
            <w:r/>
            <w:r>
              <w:rPr>
                <w:b w:val="0"/>
                <w:sz w:val="14"/>
              </w:rPr>
              <w:t>TOTP/passkeys</w:t>
            </w:r>
          </w:p>
        </w:tc>
        <w:tc>
          <w:tcPr>
            <w:tcW w:type="dxa" w:w="3240"/>
            <w:vAlign w:val="top"/>
          </w:tcPr>
          <w:p>
            <w:pPr>
              <w:spacing w:after="0" w:line="240" w:lineRule="auto"/>
            </w:pPr>
            <w:r/>
            <w:r>
              <w:rPr>
                <w:b w:val="0"/>
                <w:sz w:val="14"/>
              </w:rPr>
              <w:t>packages/core/src/totp.ts, mfa.ts, webauthn.ts</w:t>
            </w:r>
          </w:p>
        </w:tc>
        <w:tc>
          <w:tcPr>
            <w:tcW w:type="dxa" w:w="6048"/>
            <w:vAlign w:val="top"/>
          </w:tcPr>
          <w:p>
            <w:pPr>
              <w:spacing w:after="0" w:line="240" w:lineRule="auto"/>
            </w:pPr>
            <w:r/>
            <w:r>
              <w:rPr>
                <w:b w:val="0"/>
                <w:sz w:val="14"/>
              </w:rPr>
              <w:t>TOTP modules exist; WebAuthn PRF passkeys require secure context and not file://.</w:t>
            </w:r>
          </w:p>
        </w:tc>
      </w:tr>
      <w:tr>
        <w:tc>
          <w:tcPr>
            <w:tcW w:type="dxa" w:w="2088"/>
            <w:vAlign w:val="top"/>
          </w:tcPr>
          <w:p>
            <w:pPr>
              <w:spacing w:after="0" w:line="240" w:lineRule="auto"/>
            </w:pPr>
            <w:r/>
            <w:r>
              <w:rPr>
                <w:b w:val="0"/>
                <w:sz w:val="14"/>
              </w:rPr>
              <w:t>Audit log</w:t>
            </w:r>
          </w:p>
        </w:tc>
        <w:tc>
          <w:tcPr>
            <w:tcW w:type="dxa" w:w="3240"/>
            <w:vAlign w:val="top"/>
          </w:tcPr>
          <w:p>
            <w:pPr>
              <w:spacing w:after="0" w:line="240" w:lineRule="auto"/>
            </w:pPr>
            <w:r/>
            <w:r>
              <w:rPr>
                <w:b w:val="0"/>
                <w:sz w:val="14"/>
              </w:rPr>
              <w:t>packages/core/src/audit.ts</w:t>
            </w:r>
          </w:p>
        </w:tc>
        <w:tc>
          <w:tcPr>
            <w:tcW w:type="dxa" w:w="6048"/>
            <w:vAlign w:val="top"/>
          </w:tcPr>
          <w:p>
            <w:pPr>
              <w:spacing w:after="0" w:line="240" w:lineRule="auto"/>
            </w:pPr>
            <w:r/>
            <w:r>
              <w:rPr>
                <w:b w:val="0"/>
                <w:sz w:val="14"/>
              </w:rPr>
              <w:t>Encrypted local audit log records auth, MFA, passkeys, locks, vault, backup, import/export, app reset, AI key and AI query events.</w:t>
            </w:r>
          </w:p>
        </w:tc>
      </w:tr>
      <w:tr>
        <w:tc>
          <w:tcPr>
            <w:tcW w:type="dxa" w:w="2088"/>
            <w:vAlign w:val="top"/>
          </w:tcPr>
          <w:p>
            <w:pPr>
              <w:spacing w:after="0" w:line="240" w:lineRule="auto"/>
            </w:pPr>
            <w:r/>
            <w:r>
              <w:rPr>
                <w:b w:val="0"/>
                <w:sz w:val="14"/>
              </w:rPr>
              <w:t>Sanitization</w:t>
            </w:r>
          </w:p>
        </w:tc>
        <w:tc>
          <w:tcPr>
            <w:tcW w:type="dxa" w:w="3240"/>
            <w:vAlign w:val="top"/>
          </w:tcPr>
          <w:p>
            <w:pPr>
              <w:spacing w:after="0" w:line="240" w:lineRule="auto"/>
            </w:pPr>
            <w:r/>
            <w:r>
              <w:rPr>
                <w:b w:val="0"/>
                <w:sz w:val="14"/>
              </w:rPr>
              <w:t>packages/core/src/sanitize.ts</w:t>
            </w:r>
          </w:p>
        </w:tc>
        <w:tc>
          <w:tcPr>
            <w:tcW w:type="dxa" w:w="6048"/>
            <w:vAlign w:val="top"/>
          </w:tcPr>
          <w:p>
            <w:pPr>
              <w:spacing w:after="0" w:line="240" w:lineRule="auto"/>
            </w:pPr>
            <w:r/>
            <w:r>
              <w:rPr>
                <w:b w:val="0"/>
                <w:sz w:val="14"/>
              </w:rPr>
              <w:t>DOMPurify allowlist for stored/AI-generated rich text, links, and data URLs.</w:t>
            </w:r>
          </w:p>
        </w:tc>
      </w:tr>
      <w:tr>
        <w:tc>
          <w:tcPr>
            <w:tcW w:type="dxa" w:w="2088"/>
            <w:vAlign w:val="top"/>
          </w:tcPr>
          <w:p>
            <w:pPr>
              <w:spacing w:after="0" w:line="240" w:lineRule="auto"/>
            </w:pPr>
            <w:r/>
            <w:r>
              <w:rPr>
                <w:b w:val="0"/>
                <w:sz w:val="14"/>
              </w:rPr>
              <w:t>Trusted Types</w:t>
            </w:r>
          </w:p>
        </w:tc>
        <w:tc>
          <w:tcPr>
            <w:tcW w:type="dxa" w:w="3240"/>
            <w:vAlign w:val="top"/>
          </w:tcPr>
          <w:p>
            <w:pPr>
              <w:spacing w:after="0" w:line="240" w:lineRule="auto"/>
            </w:pPr>
            <w:r/>
            <w:r>
              <w:rPr>
                <w:b w:val="0"/>
                <w:sz w:val="14"/>
              </w:rPr>
              <w:t>packages/core/src/trusted-types.ts</w:t>
            </w:r>
          </w:p>
        </w:tc>
        <w:tc>
          <w:tcPr>
            <w:tcW w:type="dxa" w:w="6048"/>
            <w:vAlign w:val="top"/>
          </w:tcPr>
          <w:p>
            <w:pPr>
              <w:spacing w:after="0" w:line="240" w:lineRule="auto"/>
            </w:pPr>
            <w:r/>
            <w:r>
              <w:rPr>
                <w:b w:val="0"/>
                <w:sz w:val="14"/>
              </w:rPr>
              <w:t>Creates nexus-crm and nexus-crm-raw policies and monkey-patches innerHTML/outerHTML setters to pass strings through raw policy.</w:t>
            </w:r>
          </w:p>
        </w:tc>
      </w:tr>
      <w:tr>
        <w:tc>
          <w:tcPr>
            <w:tcW w:type="dxa" w:w="2088"/>
            <w:vAlign w:val="top"/>
          </w:tcPr>
          <w:p>
            <w:pPr>
              <w:spacing w:after="0" w:line="240" w:lineRule="auto"/>
            </w:pPr>
            <w:r/>
            <w:r>
              <w:rPr>
                <w:b w:val="0"/>
                <w:sz w:val="14"/>
              </w:rPr>
              <w:t>Mobile roadmap</w:t>
            </w:r>
          </w:p>
        </w:tc>
        <w:tc>
          <w:tcPr>
            <w:tcW w:type="dxa" w:w="3240"/>
            <w:vAlign w:val="top"/>
          </w:tcPr>
          <w:p>
            <w:pPr>
              <w:spacing w:after="0" w:line="240" w:lineRule="auto"/>
            </w:pPr>
            <w:r/>
            <w:r>
              <w:rPr>
                <w:b w:val="0"/>
                <w:sz w:val="14"/>
              </w:rPr>
              <w:t>MOBILE-ROADMAP.md</w:t>
            </w:r>
          </w:p>
        </w:tc>
        <w:tc>
          <w:tcPr>
            <w:tcW w:type="dxa" w:w="6048"/>
            <w:vAlign w:val="top"/>
          </w:tcPr>
          <w:p>
            <w:pPr>
              <w:spacing w:after="0" w:line="240" w:lineRule="auto"/>
            </w:pPr>
            <w:r/>
            <w:r>
              <w:rPr>
                <w:b w:val="0"/>
                <w:sz w:val="14"/>
              </w:rPr>
              <w:t>Describes Capacitor native wrapper and mobile AI plan; notes File System Access API is not available in Capacitor WebView and mobile disk backup would be absent without native replacement.</w:t>
            </w:r>
          </w:p>
        </w:tc>
      </w:tr>
    </w:tbl>
    <w:p/>
    <w:p>
      <w:r>
        <w:br w:type="page"/>
      </w:r>
    </w:p>
    <w:p>
      <w:pPr>
        <w:pStyle w:val="Heading1"/>
      </w:pPr>
      <w:r>
        <w:t>Appendix A - Enterprise implementation playbook</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016"/>
            <w:vAlign w:val="top"/>
            <w:shd w:fill="D9EAF7"/>
          </w:tcPr>
          <w:p>
            <w:pPr>
              <w:spacing w:after="0" w:line="240" w:lineRule="auto"/>
            </w:pPr>
            <w:r/>
            <w:r>
              <w:rPr>
                <w:b/>
                <w:sz w:val="16"/>
              </w:rPr>
              <w:t>Workstream</w:t>
            </w:r>
          </w:p>
        </w:tc>
        <w:tc>
          <w:tcPr>
            <w:tcW w:type="dxa" w:w="4608"/>
            <w:vAlign w:val="top"/>
            <w:shd w:fill="D9EAF7"/>
          </w:tcPr>
          <w:p>
            <w:pPr>
              <w:spacing w:after="0" w:line="240" w:lineRule="auto"/>
            </w:pPr>
            <w:r/>
            <w:r>
              <w:rPr>
                <w:b/>
                <w:sz w:val="16"/>
              </w:rPr>
              <w:t>Implementation detail</w:t>
            </w:r>
          </w:p>
        </w:tc>
        <w:tc>
          <w:tcPr>
            <w:tcW w:type="dxa" w:w="2880"/>
            <w:vAlign w:val="top"/>
            <w:shd w:fill="D9EAF7"/>
          </w:tcPr>
          <w:p>
            <w:pPr>
              <w:spacing w:after="0" w:line="240" w:lineRule="auto"/>
            </w:pPr>
            <w:r/>
            <w:r>
              <w:rPr>
                <w:b/>
                <w:sz w:val="16"/>
              </w:rPr>
              <w:t>Primary deliverables</w:t>
            </w:r>
          </w:p>
        </w:tc>
        <w:tc>
          <w:tcPr>
            <w:tcW w:type="dxa" w:w="2592"/>
            <w:vAlign w:val="top"/>
            <w:shd w:fill="D9EAF7"/>
          </w:tcPr>
          <w:p>
            <w:pPr>
              <w:spacing w:after="0" w:line="240" w:lineRule="auto"/>
            </w:pPr>
            <w:r/>
            <w:r>
              <w:rPr>
                <w:b/>
                <w:sz w:val="16"/>
              </w:rPr>
              <w:t>Evidence to collect</w:t>
            </w:r>
          </w:p>
        </w:tc>
      </w:tr>
      <w:tr>
        <w:tc>
          <w:tcPr>
            <w:tcW w:type="dxa" w:w="2016"/>
            <w:vAlign w:val="top"/>
          </w:tcPr>
          <w:p>
            <w:pPr>
              <w:spacing w:after="0" w:line="240" w:lineRule="auto"/>
            </w:pPr>
            <w:r/>
            <w:r>
              <w:rPr>
                <w:b w:val="0"/>
                <w:sz w:val="14"/>
              </w:rPr>
              <w:t>Identity federation</w:t>
            </w:r>
          </w:p>
        </w:tc>
        <w:tc>
          <w:tcPr>
            <w:tcW w:type="dxa" w:w="4608"/>
            <w:vAlign w:val="top"/>
          </w:tcPr>
          <w:p>
            <w:pPr>
              <w:spacing w:after="0" w:line="240" w:lineRule="auto"/>
            </w:pPr>
            <w:r/>
            <w:r>
              <w:rPr>
                <w:b w:val="0"/>
                <w:sz w:val="14"/>
              </w:rPr>
              <w:t>Implement OIDC first with issuer allowlist, JWKS validation, audience/issuer checks, token expiry, refresh/session policy, and IdP group claim mapping. Add SAML only if customer procurement requires it. Add SCIM for lifecycle automation.</w:t>
            </w:r>
          </w:p>
        </w:tc>
        <w:tc>
          <w:tcPr>
            <w:tcW w:type="dxa" w:w="2880"/>
            <w:vAlign w:val="top"/>
          </w:tcPr>
          <w:p>
            <w:pPr>
              <w:spacing w:after="0" w:line="240" w:lineRule="auto"/>
            </w:pPr>
            <w:r/>
            <w:r>
              <w:rPr>
                <w:b w:val="0"/>
                <w:sz w:val="14"/>
              </w:rPr>
              <w:t>OIDC/SAML design doc, SCIM endpoint, group-to-role mapping, login/session diagram.</w:t>
            </w:r>
          </w:p>
        </w:tc>
        <w:tc>
          <w:tcPr>
            <w:tcW w:type="dxa" w:w="2592"/>
            <w:vAlign w:val="top"/>
          </w:tcPr>
          <w:p>
            <w:pPr>
              <w:spacing w:after="0" w:line="240" w:lineRule="auto"/>
            </w:pPr>
            <w:r/>
            <w:r>
              <w:rPr>
                <w:b w:val="0"/>
                <w:sz w:val="14"/>
              </w:rPr>
              <w:t>Test login with Entra/Okta/Google; disabled user test; MFA policy screenshots; auth logs.</w:t>
            </w:r>
          </w:p>
        </w:tc>
      </w:tr>
      <w:tr>
        <w:tc>
          <w:tcPr>
            <w:tcW w:type="dxa" w:w="2016"/>
            <w:vAlign w:val="top"/>
          </w:tcPr>
          <w:p>
            <w:pPr>
              <w:spacing w:after="0" w:line="240" w:lineRule="auto"/>
            </w:pPr>
            <w:r/>
            <w:r>
              <w:rPr>
                <w:b w:val="0"/>
                <w:sz w:val="14"/>
              </w:rPr>
              <w:t>Authorization model</w:t>
            </w:r>
          </w:p>
        </w:tc>
        <w:tc>
          <w:tcPr>
            <w:tcW w:type="dxa" w:w="4608"/>
            <w:vAlign w:val="top"/>
          </w:tcPr>
          <w:p>
            <w:pPr>
              <w:spacing w:after="0" w:line="240" w:lineRule="auto"/>
            </w:pPr>
            <w:r/>
            <w:r>
              <w:rPr>
                <w:b w:val="0"/>
                <w:sz w:val="14"/>
              </w:rPr>
              <w:t>Define resources and actions before coding: org, workspace, client, project, task, document, file, audit log, AI config, export. Use deny-by-default checks in API middleware and object-level checks in services.</w:t>
            </w:r>
          </w:p>
        </w:tc>
        <w:tc>
          <w:tcPr>
            <w:tcW w:type="dxa" w:w="2880"/>
            <w:vAlign w:val="top"/>
          </w:tcPr>
          <w:p>
            <w:pPr>
              <w:spacing w:after="0" w:line="240" w:lineRule="auto"/>
            </w:pPr>
            <w:r/>
            <w:r>
              <w:rPr>
                <w:b w:val="0"/>
                <w:sz w:val="14"/>
              </w:rPr>
              <w:t>permissions.yaml or policy table; authorization middleware; test fixtures.</w:t>
            </w:r>
          </w:p>
        </w:tc>
        <w:tc>
          <w:tcPr>
            <w:tcW w:type="dxa" w:w="2592"/>
            <w:vAlign w:val="top"/>
          </w:tcPr>
          <w:p>
            <w:pPr>
              <w:spacing w:after="0" w:line="240" w:lineRule="auto"/>
            </w:pPr>
            <w:r/>
            <w:r>
              <w:rPr>
                <w:b w:val="0"/>
                <w:sz w:val="14"/>
              </w:rPr>
              <w:t>BOLA/IDOR regression tests; failed access attempts in audit logs; role review matrix.</w:t>
            </w:r>
          </w:p>
        </w:tc>
      </w:tr>
      <w:tr>
        <w:tc>
          <w:tcPr>
            <w:tcW w:type="dxa" w:w="2016"/>
            <w:vAlign w:val="top"/>
          </w:tcPr>
          <w:p>
            <w:pPr>
              <w:spacing w:after="0" w:line="240" w:lineRule="auto"/>
            </w:pPr>
            <w:r/>
            <w:r>
              <w:rPr>
                <w:b w:val="0"/>
                <w:sz w:val="14"/>
              </w:rPr>
              <w:t>Tenant isolation</w:t>
            </w:r>
          </w:p>
        </w:tc>
        <w:tc>
          <w:tcPr>
            <w:tcW w:type="dxa" w:w="4608"/>
            <w:vAlign w:val="top"/>
          </w:tcPr>
          <w:p>
            <w:pPr>
              <w:spacing w:after="0" w:line="240" w:lineRule="auto"/>
            </w:pPr>
            <w:r/>
            <w:r>
              <w:rPr>
                <w:b w:val="0"/>
                <w:sz w:val="14"/>
              </w:rPr>
              <w:t>Add tenant_id/org_id to every table and event. Do not accept tenant_id from browser as authoritative. Resolve active tenant from authenticated session and server membership. Use DB constraints/RLS if available.</w:t>
            </w:r>
          </w:p>
        </w:tc>
        <w:tc>
          <w:tcPr>
            <w:tcW w:type="dxa" w:w="2880"/>
            <w:vAlign w:val="top"/>
          </w:tcPr>
          <w:p>
            <w:pPr>
              <w:spacing w:after="0" w:line="240" w:lineRule="auto"/>
            </w:pPr>
            <w:r/>
            <w:r>
              <w:rPr>
                <w:b w:val="0"/>
                <w:sz w:val="14"/>
              </w:rPr>
              <w:t>tenant model ADR, schema migrations, tenant resolver service, cross-tenant tests.</w:t>
            </w:r>
          </w:p>
        </w:tc>
        <w:tc>
          <w:tcPr>
            <w:tcW w:type="dxa" w:w="2592"/>
            <w:vAlign w:val="top"/>
          </w:tcPr>
          <w:p>
            <w:pPr>
              <w:spacing w:after="0" w:line="240" w:lineRule="auto"/>
            </w:pPr>
            <w:r/>
            <w:r>
              <w:rPr>
                <w:b w:val="0"/>
                <w:sz w:val="14"/>
              </w:rPr>
              <w:t>Automated tests proving tenant A cannot read/search/export tenant B data.</w:t>
            </w:r>
          </w:p>
        </w:tc>
      </w:tr>
      <w:tr>
        <w:tc>
          <w:tcPr>
            <w:tcW w:type="dxa" w:w="2016"/>
            <w:vAlign w:val="top"/>
          </w:tcPr>
          <w:p>
            <w:pPr>
              <w:spacing w:after="0" w:line="240" w:lineRule="auto"/>
            </w:pPr>
            <w:r/>
            <w:r>
              <w:rPr>
                <w:b w:val="0"/>
                <w:sz w:val="14"/>
              </w:rPr>
              <w:t>API security</w:t>
            </w:r>
          </w:p>
        </w:tc>
        <w:tc>
          <w:tcPr>
            <w:tcW w:type="dxa" w:w="4608"/>
            <w:vAlign w:val="top"/>
          </w:tcPr>
          <w:p>
            <w:pPr>
              <w:spacing w:after="0" w:line="240" w:lineRule="auto"/>
            </w:pPr>
            <w:r/>
            <w:r>
              <w:rPr>
                <w:b w:val="0"/>
                <w:sz w:val="14"/>
              </w:rPr>
              <w:t>Use schema validation on every request/response. Rate-limit login, exports, search, AI calls, file upload/download. Implement CSRF strategy if cookie auth is used; strict CORS allowlist if token auth is used.</w:t>
            </w:r>
          </w:p>
        </w:tc>
        <w:tc>
          <w:tcPr>
            <w:tcW w:type="dxa" w:w="2880"/>
            <w:vAlign w:val="top"/>
          </w:tcPr>
          <w:p>
            <w:pPr>
              <w:spacing w:after="0" w:line="240" w:lineRule="auto"/>
            </w:pPr>
            <w:r/>
            <w:r>
              <w:rPr>
                <w:b w:val="0"/>
                <w:sz w:val="14"/>
              </w:rPr>
              <w:t>OpenAPI spec, validators, API gateway config, rate-limit rules.</w:t>
            </w:r>
          </w:p>
        </w:tc>
        <w:tc>
          <w:tcPr>
            <w:tcW w:type="dxa" w:w="2592"/>
            <w:vAlign w:val="top"/>
          </w:tcPr>
          <w:p>
            <w:pPr>
              <w:spacing w:after="0" w:line="240" w:lineRule="auto"/>
            </w:pPr>
            <w:r/>
            <w:r>
              <w:rPr>
                <w:b w:val="0"/>
                <w:sz w:val="14"/>
              </w:rPr>
              <w:t>DAST report, API negative tests, rate-limit logs, CORS/CSRF test results.</w:t>
            </w:r>
          </w:p>
        </w:tc>
      </w:tr>
      <w:tr>
        <w:tc>
          <w:tcPr>
            <w:tcW w:type="dxa" w:w="2016"/>
            <w:vAlign w:val="top"/>
          </w:tcPr>
          <w:p>
            <w:pPr>
              <w:spacing w:after="0" w:line="240" w:lineRule="auto"/>
            </w:pPr>
            <w:r/>
            <w:r>
              <w:rPr>
                <w:b w:val="0"/>
                <w:sz w:val="14"/>
              </w:rPr>
              <w:t>Data protection</w:t>
            </w:r>
          </w:p>
        </w:tc>
        <w:tc>
          <w:tcPr>
            <w:tcW w:type="dxa" w:w="4608"/>
            <w:vAlign w:val="top"/>
          </w:tcPr>
          <w:p>
            <w:pPr>
              <w:spacing w:after="0" w:line="240" w:lineRule="auto"/>
            </w:pPr>
            <w:r/>
            <w:r>
              <w:rPr>
                <w:b w:val="0"/>
                <w:sz w:val="14"/>
              </w:rPr>
              <w:t>Classify data fields; encrypt database/storage with KMS; decide if field-level encryption is needed. Add retention, legal hold, purge, and export policies by tenant.</w:t>
            </w:r>
          </w:p>
        </w:tc>
        <w:tc>
          <w:tcPr>
            <w:tcW w:type="dxa" w:w="2880"/>
            <w:vAlign w:val="top"/>
          </w:tcPr>
          <w:p>
            <w:pPr>
              <w:spacing w:after="0" w:line="240" w:lineRule="auto"/>
            </w:pPr>
            <w:r/>
            <w:r>
              <w:rPr>
                <w:b w:val="0"/>
                <w:sz w:val="14"/>
              </w:rPr>
              <w:t>data classification matrix, KMS key plan, retention policy, purge workflow.</w:t>
            </w:r>
          </w:p>
        </w:tc>
        <w:tc>
          <w:tcPr>
            <w:tcW w:type="dxa" w:w="2592"/>
            <w:vAlign w:val="top"/>
          </w:tcPr>
          <w:p>
            <w:pPr>
              <w:spacing w:after="0" w:line="240" w:lineRule="auto"/>
            </w:pPr>
            <w:r/>
            <w:r>
              <w:rPr>
                <w:b w:val="0"/>
                <w:sz w:val="14"/>
              </w:rPr>
              <w:t>KMS access logs, retention tests, deletion verification, export approvals.</w:t>
            </w:r>
          </w:p>
        </w:tc>
      </w:tr>
      <w:tr>
        <w:tc>
          <w:tcPr>
            <w:tcW w:type="dxa" w:w="2016"/>
            <w:vAlign w:val="top"/>
          </w:tcPr>
          <w:p>
            <w:pPr>
              <w:spacing w:after="0" w:line="240" w:lineRule="auto"/>
            </w:pPr>
            <w:r/>
            <w:r>
              <w:rPr>
                <w:b w:val="0"/>
                <w:sz w:val="14"/>
              </w:rPr>
              <w:t>File handling</w:t>
            </w:r>
          </w:p>
        </w:tc>
        <w:tc>
          <w:tcPr>
            <w:tcW w:type="dxa" w:w="4608"/>
            <w:vAlign w:val="top"/>
          </w:tcPr>
          <w:p>
            <w:pPr>
              <w:spacing w:after="0" w:line="240" w:lineRule="auto"/>
            </w:pPr>
            <w:r/>
            <w:r>
              <w:rPr>
                <w:b w:val="0"/>
                <w:sz w:val="14"/>
              </w:rPr>
              <w:t>Add object storage with tenant-scoped paths, signed URLs, malware scanning, type/size allowlist, safe content-disposition, preview isolation, DLP hooks if needed.</w:t>
            </w:r>
          </w:p>
        </w:tc>
        <w:tc>
          <w:tcPr>
            <w:tcW w:type="dxa" w:w="2880"/>
            <w:vAlign w:val="top"/>
          </w:tcPr>
          <w:p>
            <w:pPr>
              <w:spacing w:after="0" w:line="240" w:lineRule="auto"/>
            </w:pPr>
            <w:r/>
            <w:r>
              <w:rPr>
                <w:b w:val="0"/>
                <w:sz w:val="14"/>
              </w:rPr>
              <w:t>file service, scanner integration, upload policy, download audit.</w:t>
            </w:r>
          </w:p>
        </w:tc>
        <w:tc>
          <w:tcPr>
            <w:tcW w:type="dxa" w:w="2592"/>
            <w:vAlign w:val="top"/>
          </w:tcPr>
          <w:p>
            <w:pPr>
              <w:spacing w:after="0" w:line="240" w:lineRule="auto"/>
            </w:pPr>
            <w:r/>
            <w:r>
              <w:rPr>
                <w:b w:val="0"/>
                <w:sz w:val="14"/>
              </w:rPr>
              <w:t>Malware test block result, file access audit, storage encryption evidence.</w:t>
            </w:r>
          </w:p>
        </w:tc>
      </w:tr>
      <w:tr>
        <w:tc>
          <w:tcPr>
            <w:tcW w:type="dxa" w:w="2016"/>
            <w:vAlign w:val="top"/>
          </w:tcPr>
          <w:p>
            <w:pPr>
              <w:spacing w:after="0" w:line="240" w:lineRule="auto"/>
            </w:pPr>
            <w:r/>
            <w:r>
              <w:rPr>
                <w:b w:val="0"/>
                <w:sz w:val="14"/>
              </w:rPr>
              <w:t>Central audit</w:t>
            </w:r>
          </w:p>
        </w:tc>
        <w:tc>
          <w:tcPr>
            <w:tcW w:type="dxa" w:w="4608"/>
            <w:vAlign w:val="top"/>
          </w:tcPr>
          <w:p>
            <w:pPr>
              <w:spacing w:after="0" w:line="240" w:lineRule="auto"/>
            </w:pPr>
            <w:r/>
            <w:r>
              <w:rPr>
                <w:b w:val="0"/>
                <w:sz w:val="14"/>
              </w:rPr>
              <w:t>Convert local audit taxonomy to server audit schema. Audit every auth, admin, export, file, AI, permission, integration, and support-access action. Store append-only.</w:t>
            </w:r>
          </w:p>
        </w:tc>
        <w:tc>
          <w:tcPr>
            <w:tcW w:type="dxa" w:w="2880"/>
            <w:vAlign w:val="top"/>
          </w:tcPr>
          <w:p>
            <w:pPr>
              <w:spacing w:after="0" w:line="240" w:lineRule="auto"/>
            </w:pPr>
            <w:r/>
            <w:r>
              <w:rPr>
                <w:b w:val="0"/>
                <w:sz w:val="14"/>
              </w:rPr>
              <w:t>audit event schema, ingestion service, admin audit UI, SIEM export.</w:t>
            </w:r>
          </w:p>
        </w:tc>
        <w:tc>
          <w:tcPr>
            <w:tcW w:type="dxa" w:w="2592"/>
            <w:vAlign w:val="top"/>
          </w:tcPr>
          <w:p>
            <w:pPr>
              <w:spacing w:after="0" w:line="240" w:lineRule="auto"/>
            </w:pPr>
            <w:r/>
            <w:r>
              <w:rPr>
                <w:b w:val="0"/>
                <w:sz w:val="14"/>
              </w:rPr>
              <w:t>Immutable log configuration, SIEM dashboard, sample audit trails.</w:t>
            </w:r>
          </w:p>
        </w:tc>
      </w:tr>
      <w:tr>
        <w:tc>
          <w:tcPr>
            <w:tcW w:type="dxa" w:w="2016"/>
            <w:vAlign w:val="top"/>
          </w:tcPr>
          <w:p>
            <w:pPr>
              <w:spacing w:after="0" w:line="240" w:lineRule="auto"/>
            </w:pPr>
            <w:r/>
            <w:r>
              <w:rPr>
                <w:b w:val="0"/>
                <w:sz w:val="14"/>
              </w:rPr>
              <w:t>Admin console</w:t>
            </w:r>
          </w:p>
        </w:tc>
        <w:tc>
          <w:tcPr>
            <w:tcW w:type="dxa" w:w="4608"/>
            <w:vAlign w:val="top"/>
          </w:tcPr>
          <w:p>
            <w:pPr>
              <w:spacing w:after="0" w:line="240" w:lineRule="auto"/>
            </w:pPr>
            <w:r/>
            <w:r>
              <w:rPr>
                <w:b w:val="0"/>
                <w:sz w:val="14"/>
              </w:rPr>
              <w:t>Implement org settings, SSO/SCIM, role management, user invites, session revocation, audit search, AI policy, retention/export policy, support-access controls.</w:t>
            </w:r>
          </w:p>
        </w:tc>
        <w:tc>
          <w:tcPr>
            <w:tcW w:type="dxa" w:w="2880"/>
            <w:vAlign w:val="top"/>
          </w:tcPr>
          <w:p>
            <w:pPr>
              <w:spacing w:after="0" w:line="240" w:lineRule="auto"/>
            </w:pPr>
            <w:r/>
            <w:r>
              <w:rPr>
                <w:b w:val="0"/>
                <w:sz w:val="14"/>
              </w:rPr>
              <w:t>admin UI, API endpoints, admin role model.</w:t>
            </w:r>
          </w:p>
        </w:tc>
        <w:tc>
          <w:tcPr>
            <w:tcW w:type="dxa" w:w="2592"/>
            <w:vAlign w:val="top"/>
          </w:tcPr>
          <w:p>
            <w:pPr>
              <w:spacing w:after="0" w:line="240" w:lineRule="auto"/>
            </w:pPr>
            <w:r/>
            <w:r>
              <w:rPr>
                <w:b w:val="0"/>
                <w:sz w:val="14"/>
              </w:rPr>
              <w:t>Admin action audit logs, access review exports, test tenant admin restrictions.</w:t>
            </w:r>
          </w:p>
        </w:tc>
      </w:tr>
      <w:tr>
        <w:tc>
          <w:tcPr>
            <w:tcW w:type="dxa" w:w="2016"/>
            <w:vAlign w:val="top"/>
          </w:tcPr>
          <w:p>
            <w:pPr>
              <w:spacing w:after="0" w:line="240" w:lineRule="auto"/>
            </w:pPr>
            <w:r/>
            <w:r>
              <w:rPr>
                <w:b w:val="0"/>
                <w:sz w:val="14"/>
              </w:rPr>
              <w:t>AI governance</w:t>
            </w:r>
          </w:p>
        </w:tc>
        <w:tc>
          <w:tcPr>
            <w:tcW w:type="dxa" w:w="4608"/>
            <w:vAlign w:val="top"/>
          </w:tcPr>
          <w:p>
            <w:pPr>
              <w:spacing w:after="0" w:line="240" w:lineRule="auto"/>
            </w:pPr>
            <w:r/>
            <w:r>
              <w:rPr>
                <w:b w:val="0"/>
                <w:sz w:val="14"/>
              </w:rPr>
              <w:t>AI gateway must enforce tenant policy, provider/model allowlists, data minimization, prompt/response retention settings, write-action confirmation, prompt-injection testing, and DPA/subprocessor review.</w:t>
            </w:r>
          </w:p>
        </w:tc>
        <w:tc>
          <w:tcPr>
            <w:tcW w:type="dxa" w:w="2880"/>
            <w:vAlign w:val="top"/>
          </w:tcPr>
          <w:p>
            <w:pPr>
              <w:spacing w:after="0" w:line="240" w:lineRule="auto"/>
            </w:pPr>
            <w:r/>
            <w:r>
              <w:rPr>
                <w:b w:val="0"/>
                <w:sz w:val="14"/>
              </w:rPr>
              <w:t>AI policy engine, AI audit schema, prompt test set, model inventory.</w:t>
            </w:r>
          </w:p>
        </w:tc>
        <w:tc>
          <w:tcPr>
            <w:tcW w:type="dxa" w:w="2592"/>
            <w:vAlign w:val="top"/>
          </w:tcPr>
          <w:p>
            <w:pPr>
              <w:spacing w:after="0" w:line="240" w:lineRule="auto"/>
            </w:pPr>
            <w:r/>
            <w:r>
              <w:rPr>
                <w:b w:val="0"/>
                <w:sz w:val="14"/>
              </w:rPr>
              <w:t>AI disabled-by-policy proof, AI logs, redaction tests, vendor DPA evidence.</w:t>
            </w:r>
          </w:p>
        </w:tc>
      </w:tr>
      <w:tr>
        <w:tc>
          <w:tcPr>
            <w:tcW w:type="dxa" w:w="2016"/>
            <w:vAlign w:val="top"/>
          </w:tcPr>
          <w:p>
            <w:pPr>
              <w:spacing w:after="0" w:line="240" w:lineRule="auto"/>
            </w:pPr>
            <w:r/>
            <w:r>
              <w:rPr>
                <w:b w:val="0"/>
                <w:sz w:val="14"/>
              </w:rPr>
              <w:t>SDLC pipeline</w:t>
            </w:r>
          </w:p>
        </w:tc>
        <w:tc>
          <w:tcPr>
            <w:tcW w:type="dxa" w:w="4608"/>
            <w:vAlign w:val="top"/>
          </w:tcPr>
          <w:p>
            <w:pPr>
              <w:spacing w:after="0" w:line="240" w:lineRule="auto"/>
            </w:pPr>
            <w:r/>
            <w:r>
              <w:rPr>
                <w:b w:val="0"/>
                <w:sz w:val="14"/>
              </w:rPr>
              <w:t>CI must run typecheck, lint, unit tests, SAST, SCA, secret scan, license scan, SBOM, build provenance, artifact signing, and deployment approval gates.</w:t>
            </w:r>
          </w:p>
        </w:tc>
        <w:tc>
          <w:tcPr>
            <w:tcW w:type="dxa" w:w="2880"/>
            <w:vAlign w:val="top"/>
          </w:tcPr>
          <w:p>
            <w:pPr>
              <w:spacing w:after="0" w:line="240" w:lineRule="auto"/>
            </w:pPr>
            <w:r/>
            <w:r>
              <w:rPr>
                <w:b w:val="0"/>
                <w:sz w:val="14"/>
              </w:rPr>
              <w:t>CI workflow, SBOM, signed release, vulnerability SLA policy.</w:t>
            </w:r>
          </w:p>
        </w:tc>
        <w:tc>
          <w:tcPr>
            <w:tcW w:type="dxa" w:w="2592"/>
            <w:vAlign w:val="top"/>
          </w:tcPr>
          <w:p>
            <w:pPr>
              <w:spacing w:after="0" w:line="240" w:lineRule="auto"/>
            </w:pPr>
            <w:r/>
            <w:r>
              <w:rPr>
                <w:b w:val="0"/>
                <w:sz w:val="14"/>
              </w:rPr>
              <w:t>Build logs, scan outputs, exception approvals, signed release artifacts.</w:t>
            </w:r>
          </w:p>
        </w:tc>
      </w:tr>
      <w:tr>
        <w:tc>
          <w:tcPr>
            <w:tcW w:type="dxa" w:w="2016"/>
            <w:vAlign w:val="top"/>
          </w:tcPr>
          <w:p>
            <w:pPr>
              <w:spacing w:after="0" w:line="240" w:lineRule="auto"/>
            </w:pPr>
            <w:r/>
            <w:r>
              <w:rPr>
                <w:b w:val="0"/>
                <w:sz w:val="14"/>
              </w:rPr>
              <w:t>Operations</w:t>
            </w:r>
          </w:p>
        </w:tc>
        <w:tc>
          <w:tcPr>
            <w:tcW w:type="dxa" w:w="4608"/>
            <w:vAlign w:val="top"/>
          </w:tcPr>
          <w:p>
            <w:pPr>
              <w:spacing w:after="0" w:line="240" w:lineRule="auto"/>
            </w:pPr>
            <w:r/>
            <w:r>
              <w:rPr>
                <w:b w:val="0"/>
                <w:sz w:val="14"/>
              </w:rPr>
              <w:t>Implement monitoring, alerting, incident management, backup/restore, RTO/RPO, status page, vulnerability intake, and customer communications.</w:t>
            </w:r>
          </w:p>
        </w:tc>
        <w:tc>
          <w:tcPr>
            <w:tcW w:type="dxa" w:w="2880"/>
            <w:vAlign w:val="top"/>
          </w:tcPr>
          <w:p>
            <w:pPr>
              <w:spacing w:after="0" w:line="240" w:lineRule="auto"/>
            </w:pPr>
            <w:r/>
            <w:r>
              <w:rPr>
                <w:b w:val="0"/>
                <w:sz w:val="14"/>
              </w:rPr>
              <w:t>runbooks, incident policy, alert catalog, backup plan.</w:t>
            </w:r>
          </w:p>
        </w:tc>
        <w:tc>
          <w:tcPr>
            <w:tcW w:type="dxa" w:w="2592"/>
            <w:vAlign w:val="top"/>
          </w:tcPr>
          <w:p>
            <w:pPr>
              <w:spacing w:after="0" w:line="240" w:lineRule="auto"/>
            </w:pPr>
            <w:r/>
            <w:r>
              <w:rPr>
                <w:b w:val="0"/>
                <w:sz w:val="14"/>
              </w:rPr>
              <w:t>Restore test results, alert evidence, incident tabletop records.</w:t>
            </w:r>
          </w:p>
        </w:tc>
      </w:tr>
      <w:tr>
        <w:tc>
          <w:tcPr>
            <w:tcW w:type="dxa" w:w="2016"/>
            <w:vAlign w:val="top"/>
          </w:tcPr>
          <w:p>
            <w:pPr>
              <w:spacing w:after="0" w:line="240" w:lineRule="auto"/>
            </w:pPr>
            <w:r/>
            <w:r>
              <w:rPr>
                <w:b w:val="0"/>
                <w:sz w:val="14"/>
              </w:rPr>
              <w:t>Accessibility</w:t>
            </w:r>
          </w:p>
        </w:tc>
        <w:tc>
          <w:tcPr>
            <w:tcW w:type="dxa" w:w="4608"/>
            <w:vAlign w:val="top"/>
          </w:tcPr>
          <w:p>
            <w:pPr>
              <w:spacing w:after="0" w:line="240" w:lineRule="auto"/>
            </w:pPr>
            <w:r/>
            <w:r>
              <w:rPr>
                <w:b w:val="0"/>
                <w:sz w:val="14"/>
              </w:rPr>
              <w:t>Build keyboard/screen-reader tests into release acceptance. Test modals, forms, tables, editor, AI panel, notifications, dashboard, and admin console.</w:t>
            </w:r>
          </w:p>
        </w:tc>
        <w:tc>
          <w:tcPr>
            <w:tcW w:type="dxa" w:w="2880"/>
            <w:vAlign w:val="top"/>
          </w:tcPr>
          <w:p>
            <w:pPr>
              <w:spacing w:after="0" w:line="240" w:lineRule="auto"/>
            </w:pPr>
            <w:r/>
            <w:r>
              <w:rPr>
                <w:b w:val="0"/>
                <w:sz w:val="14"/>
              </w:rPr>
              <w:t>WCAG 2.2 test plan, VPAT, accessibility bug backlog.</w:t>
            </w:r>
          </w:p>
        </w:tc>
        <w:tc>
          <w:tcPr>
            <w:tcW w:type="dxa" w:w="2592"/>
            <w:vAlign w:val="top"/>
          </w:tcPr>
          <w:p>
            <w:pPr>
              <w:spacing w:after="0" w:line="240" w:lineRule="auto"/>
            </w:pPr>
            <w:r/>
            <w:r>
              <w:rPr>
                <w:b w:val="0"/>
                <w:sz w:val="14"/>
              </w:rPr>
              <w:t>NVDA/JAWS/VoiceOver results, contrast report, keyboard workflow video/screenshots.</w:t>
            </w:r>
          </w:p>
        </w:tc>
      </w:tr>
    </w:tbl>
    <w:p/>
    <w:p>
      <w:pPr>
        <w:pStyle w:val="Heading1"/>
      </w:pPr>
      <w:r>
        <w:t>Appendix B - Certification evidence package by target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top"/>
            <w:shd w:fill="D9EAF7"/>
          </w:tcPr>
          <w:p>
            <w:pPr>
              <w:spacing w:after="0" w:line="240" w:lineRule="auto"/>
            </w:pPr>
            <w:r/>
            <w:r>
              <w:rPr>
                <w:b/>
                <w:sz w:val="16"/>
              </w:rPr>
              <w:t>Target</w:t>
            </w:r>
          </w:p>
        </w:tc>
        <w:tc>
          <w:tcPr>
            <w:tcW w:type="dxa" w:w="3024"/>
            <w:vAlign w:val="top"/>
            <w:shd w:fill="D9EAF7"/>
          </w:tcPr>
          <w:p>
            <w:pPr>
              <w:spacing w:after="0" w:line="240" w:lineRule="auto"/>
            </w:pPr>
            <w:r/>
            <w:r>
              <w:rPr>
                <w:b/>
                <w:sz w:val="16"/>
              </w:rPr>
              <w:t>Do not claim until</w:t>
            </w:r>
          </w:p>
        </w:tc>
        <w:tc>
          <w:tcPr>
            <w:tcW w:type="dxa" w:w="4320"/>
            <w:vAlign w:val="top"/>
            <w:shd w:fill="D9EAF7"/>
          </w:tcPr>
          <w:p>
            <w:pPr>
              <w:spacing w:after="0" w:line="240" w:lineRule="auto"/>
            </w:pPr>
            <w:r/>
            <w:r>
              <w:rPr>
                <w:b/>
                <w:sz w:val="16"/>
              </w:rPr>
              <w:t>Evidence package to build</w:t>
            </w:r>
          </w:p>
        </w:tc>
        <w:tc>
          <w:tcPr>
            <w:tcW w:type="dxa" w:w="2448"/>
            <w:vAlign w:val="top"/>
            <w:shd w:fill="D9EAF7"/>
          </w:tcPr>
          <w:p>
            <w:pPr>
              <w:spacing w:after="0" w:line="240" w:lineRule="auto"/>
            </w:pPr>
            <w:r/>
            <w:r>
              <w:rPr>
                <w:b/>
                <w:sz w:val="16"/>
              </w:rPr>
              <w:t>Practical next step</w:t>
            </w:r>
          </w:p>
        </w:tc>
      </w:tr>
      <w:tr>
        <w:tc>
          <w:tcPr>
            <w:tcW w:type="dxa" w:w="2160"/>
            <w:vAlign w:val="top"/>
          </w:tcPr>
          <w:p>
            <w:pPr>
              <w:spacing w:after="0" w:line="240" w:lineRule="auto"/>
            </w:pPr>
            <w:r/>
            <w:r>
              <w:rPr>
                <w:b w:val="0"/>
                <w:sz w:val="14"/>
              </w:rPr>
              <w:t>SOC 2 Type I</w:t>
            </w:r>
          </w:p>
        </w:tc>
        <w:tc>
          <w:tcPr>
            <w:tcW w:type="dxa" w:w="3024"/>
            <w:vAlign w:val="top"/>
          </w:tcPr>
          <w:p>
            <w:pPr>
              <w:spacing w:after="0" w:line="240" w:lineRule="auto"/>
            </w:pPr>
            <w:r/>
            <w:r>
              <w:rPr>
                <w:b w:val="0"/>
                <w:sz w:val="14"/>
              </w:rPr>
              <w:t>A defined hosted/managed service boundary and designed controls exist.</w:t>
            </w:r>
          </w:p>
        </w:tc>
        <w:tc>
          <w:tcPr>
            <w:tcW w:type="dxa" w:w="4320"/>
            <w:vAlign w:val="top"/>
          </w:tcPr>
          <w:p>
            <w:pPr>
              <w:spacing w:after="0" w:line="240" w:lineRule="auto"/>
            </w:pPr>
            <w:r/>
            <w:r>
              <w:rPr>
                <w:b w:val="0"/>
                <w:sz w:val="14"/>
              </w:rPr>
              <w:t>System description, trust services criteria mapping, risk assessment, policies, access controls, monitoring, vulnerability management, change management, vendor list, incident response.</w:t>
            </w:r>
          </w:p>
        </w:tc>
        <w:tc>
          <w:tcPr>
            <w:tcW w:type="dxa" w:w="2448"/>
            <w:vAlign w:val="top"/>
          </w:tcPr>
          <w:p>
            <w:pPr>
              <w:spacing w:after="0" w:line="240" w:lineRule="auto"/>
            </w:pPr>
            <w:r/>
            <w:r>
              <w:rPr>
                <w:b w:val="0"/>
                <w:sz w:val="14"/>
              </w:rPr>
              <w:t>Start with readiness assessment after backend MVP and core controls exist.</w:t>
            </w:r>
          </w:p>
        </w:tc>
      </w:tr>
      <w:tr>
        <w:tc>
          <w:tcPr>
            <w:tcW w:type="dxa" w:w="2160"/>
            <w:vAlign w:val="top"/>
          </w:tcPr>
          <w:p>
            <w:pPr>
              <w:spacing w:after="0" w:line="240" w:lineRule="auto"/>
            </w:pPr>
            <w:r/>
            <w:r>
              <w:rPr>
                <w:b w:val="0"/>
                <w:sz w:val="14"/>
              </w:rPr>
              <w:t>SOC 2 Type II</w:t>
            </w:r>
          </w:p>
        </w:tc>
        <w:tc>
          <w:tcPr>
            <w:tcW w:type="dxa" w:w="3024"/>
            <w:vAlign w:val="top"/>
          </w:tcPr>
          <w:p>
            <w:pPr>
              <w:spacing w:after="0" w:line="240" w:lineRule="auto"/>
            </w:pPr>
            <w:r/>
            <w:r>
              <w:rPr>
                <w:b w:val="0"/>
                <w:sz w:val="14"/>
              </w:rPr>
              <w:t>Controls have operated consistently over audit period.</w:t>
            </w:r>
          </w:p>
        </w:tc>
        <w:tc>
          <w:tcPr>
            <w:tcW w:type="dxa" w:w="4320"/>
            <w:vAlign w:val="top"/>
          </w:tcPr>
          <w:p>
            <w:pPr>
              <w:spacing w:after="0" w:line="240" w:lineRule="auto"/>
            </w:pPr>
            <w:r/>
            <w:r>
              <w:rPr>
                <w:b w:val="0"/>
                <w:sz w:val="14"/>
              </w:rPr>
              <w:t>All Type I evidence plus operating evidence: access reviews, change approvals, vulnerability remediation, incident tests, backups, monitoring alerts, vendor reviews.</w:t>
            </w:r>
          </w:p>
        </w:tc>
        <w:tc>
          <w:tcPr>
            <w:tcW w:type="dxa" w:w="2448"/>
            <w:vAlign w:val="top"/>
          </w:tcPr>
          <w:p>
            <w:pPr>
              <w:spacing w:after="0" w:line="240" w:lineRule="auto"/>
            </w:pPr>
            <w:r/>
            <w:r>
              <w:rPr>
                <w:b w:val="0"/>
                <w:sz w:val="14"/>
              </w:rPr>
              <w:t>Do not begin Type II period until evidence automation is in place.</w:t>
            </w:r>
          </w:p>
        </w:tc>
      </w:tr>
      <w:tr>
        <w:tc>
          <w:tcPr>
            <w:tcW w:type="dxa" w:w="2160"/>
            <w:vAlign w:val="top"/>
          </w:tcPr>
          <w:p>
            <w:pPr>
              <w:spacing w:after="0" w:line="240" w:lineRule="auto"/>
            </w:pPr>
            <w:r/>
            <w:r>
              <w:rPr>
                <w:b w:val="0"/>
                <w:sz w:val="14"/>
              </w:rPr>
              <w:t>ISO/IEC 27001</w:t>
            </w:r>
          </w:p>
        </w:tc>
        <w:tc>
          <w:tcPr>
            <w:tcW w:type="dxa" w:w="3024"/>
            <w:vAlign w:val="top"/>
          </w:tcPr>
          <w:p>
            <w:pPr>
              <w:spacing w:after="0" w:line="240" w:lineRule="auto"/>
            </w:pPr>
            <w:r/>
            <w:r>
              <w:rPr>
                <w:b w:val="0"/>
                <w:sz w:val="14"/>
              </w:rPr>
              <w:t>Organization has an ISMS scope and management commitment.</w:t>
            </w:r>
          </w:p>
        </w:tc>
        <w:tc>
          <w:tcPr>
            <w:tcW w:type="dxa" w:w="4320"/>
            <w:vAlign w:val="top"/>
          </w:tcPr>
          <w:p>
            <w:pPr>
              <w:spacing w:after="0" w:line="240" w:lineRule="auto"/>
            </w:pPr>
            <w:r/>
            <w:r>
              <w:rPr>
                <w:b w:val="0"/>
                <w:sz w:val="14"/>
              </w:rPr>
              <w:t>ISMS scope, risk methodology, risk register, Statement of Applicability, policies, internal audit, management review, corrective actions.</w:t>
            </w:r>
          </w:p>
        </w:tc>
        <w:tc>
          <w:tcPr>
            <w:tcW w:type="dxa" w:w="2448"/>
            <w:vAlign w:val="top"/>
          </w:tcPr>
          <w:p>
            <w:pPr>
              <w:spacing w:after="0" w:line="240" w:lineRule="auto"/>
            </w:pPr>
            <w:r/>
            <w:r>
              <w:rPr>
                <w:b w:val="0"/>
                <w:sz w:val="14"/>
              </w:rPr>
              <w:t>Create ISO scope around product engineering/operations first.</w:t>
            </w:r>
          </w:p>
        </w:tc>
      </w:tr>
      <w:tr>
        <w:tc>
          <w:tcPr>
            <w:tcW w:type="dxa" w:w="2160"/>
            <w:vAlign w:val="top"/>
          </w:tcPr>
          <w:p>
            <w:pPr>
              <w:spacing w:after="0" w:line="240" w:lineRule="auto"/>
            </w:pPr>
            <w:r/>
            <w:r>
              <w:rPr>
                <w:b w:val="0"/>
                <w:sz w:val="14"/>
              </w:rPr>
              <w:t>OWASP ASVS 5 L2</w:t>
            </w:r>
          </w:p>
        </w:tc>
        <w:tc>
          <w:tcPr>
            <w:tcW w:type="dxa" w:w="3024"/>
            <w:vAlign w:val="top"/>
          </w:tcPr>
          <w:p>
            <w:pPr>
              <w:spacing w:after="0" w:line="240" w:lineRule="auto"/>
            </w:pPr>
            <w:r/>
            <w:r>
              <w:rPr>
                <w:b w:val="0"/>
                <w:sz w:val="14"/>
              </w:rPr>
              <w:t>Every applicable requirement has pass/fail evidence or risk acceptance.</w:t>
            </w:r>
          </w:p>
        </w:tc>
        <w:tc>
          <w:tcPr>
            <w:tcW w:type="dxa" w:w="4320"/>
            <w:vAlign w:val="top"/>
          </w:tcPr>
          <w:p>
            <w:pPr>
              <w:spacing w:after="0" w:line="240" w:lineRule="auto"/>
            </w:pPr>
            <w:r/>
            <w:r>
              <w:rPr>
                <w:b w:val="0"/>
                <w:sz w:val="14"/>
              </w:rPr>
              <w:t>ASVS spreadsheet, manual test evidence, automated tests, code references, remediation tickets, third-party test results.</w:t>
            </w:r>
          </w:p>
        </w:tc>
        <w:tc>
          <w:tcPr>
            <w:tcW w:type="dxa" w:w="2448"/>
            <w:vAlign w:val="top"/>
          </w:tcPr>
          <w:p>
            <w:pPr>
              <w:spacing w:after="0" w:line="240" w:lineRule="auto"/>
            </w:pPr>
            <w:r/>
            <w:r>
              <w:rPr>
                <w:b w:val="0"/>
                <w:sz w:val="14"/>
              </w:rPr>
              <w:t>Use ASVS as engineering backlog before certification marketing.</w:t>
            </w:r>
          </w:p>
        </w:tc>
      </w:tr>
      <w:tr>
        <w:tc>
          <w:tcPr>
            <w:tcW w:type="dxa" w:w="2160"/>
            <w:vAlign w:val="top"/>
          </w:tcPr>
          <w:p>
            <w:pPr>
              <w:spacing w:after="0" w:line="240" w:lineRule="auto"/>
            </w:pPr>
            <w:r/>
            <w:r>
              <w:rPr>
                <w:b w:val="0"/>
                <w:sz w:val="14"/>
              </w:rPr>
              <w:t>WCAG 2.2 AA / VPAT</w:t>
            </w:r>
          </w:p>
        </w:tc>
        <w:tc>
          <w:tcPr>
            <w:tcW w:type="dxa" w:w="3024"/>
            <w:vAlign w:val="top"/>
          </w:tcPr>
          <w:p>
            <w:pPr>
              <w:spacing w:after="0" w:line="240" w:lineRule="auto"/>
            </w:pPr>
            <w:r/>
            <w:r>
              <w:rPr>
                <w:b w:val="0"/>
                <w:sz w:val="14"/>
              </w:rPr>
              <w:t>Primary user/admin workflows pass manual assistive technology testing.</w:t>
            </w:r>
          </w:p>
        </w:tc>
        <w:tc>
          <w:tcPr>
            <w:tcW w:type="dxa" w:w="4320"/>
            <w:vAlign w:val="top"/>
          </w:tcPr>
          <w:p>
            <w:pPr>
              <w:spacing w:after="0" w:line="240" w:lineRule="auto"/>
            </w:pPr>
            <w:r/>
            <w:r>
              <w:rPr>
                <w:b w:val="0"/>
                <w:sz w:val="14"/>
              </w:rPr>
              <w:t>VPAT, keyboard tests, screen-reader notes, contrast results, accessibility remediation log.</w:t>
            </w:r>
          </w:p>
        </w:tc>
        <w:tc>
          <w:tcPr>
            <w:tcW w:type="dxa" w:w="2448"/>
            <w:vAlign w:val="top"/>
          </w:tcPr>
          <w:p>
            <w:pPr>
              <w:spacing w:after="0" w:line="240" w:lineRule="auto"/>
            </w:pPr>
            <w:r/>
            <w:r>
              <w:rPr>
                <w:b w:val="0"/>
                <w:sz w:val="14"/>
              </w:rPr>
              <w:t>Run audit after UI stabilizes; fix focus/modal/icon-label issues early.</w:t>
            </w:r>
          </w:p>
        </w:tc>
      </w:tr>
      <w:tr>
        <w:tc>
          <w:tcPr>
            <w:tcW w:type="dxa" w:w="2160"/>
            <w:vAlign w:val="top"/>
          </w:tcPr>
          <w:p>
            <w:pPr>
              <w:spacing w:after="0" w:line="240" w:lineRule="auto"/>
            </w:pPr>
            <w:r/>
            <w:r>
              <w:rPr>
                <w:b w:val="0"/>
                <w:sz w:val="14"/>
              </w:rPr>
              <w:t>FedRAMP / 20x</w:t>
            </w:r>
          </w:p>
        </w:tc>
        <w:tc>
          <w:tcPr>
            <w:tcW w:type="dxa" w:w="3024"/>
            <w:vAlign w:val="top"/>
          </w:tcPr>
          <w:p>
            <w:pPr>
              <w:spacing w:after="0" w:line="240" w:lineRule="auto"/>
            </w:pPr>
            <w:r/>
            <w:r>
              <w:rPr>
                <w:b w:val="0"/>
                <w:sz w:val="14"/>
              </w:rPr>
              <w:t>A cloud-native service boundary, federal hosting strategy, and continuous evidence exist.</w:t>
            </w:r>
          </w:p>
        </w:tc>
        <w:tc>
          <w:tcPr>
            <w:tcW w:type="dxa" w:w="4320"/>
            <w:vAlign w:val="top"/>
          </w:tcPr>
          <w:p>
            <w:pPr>
              <w:spacing w:after="0" w:line="240" w:lineRule="auto"/>
            </w:pPr>
            <w:r/>
            <w:r>
              <w:rPr>
                <w:b w:val="0"/>
                <w:sz w:val="14"/>
              </w:rPr>
              <w:t>SSP/OSCAL, POA&amp;M, vulnerability evidence, access controls, KSI evidence if using 20x, incident/IR, logging, encryption, inventory.</w:t>
            </w:r>
          </w:p>
        </w:tc>
        <w:tc>
          <w:tcPr>
            <w:tcW w:type="dxa" w:w="2448"/>
            <w:vAlign w:val="top"/>
          </w:tcPr>
          <w:p>
            <w:pPr>
              <w:spacing w:after="0" w:line="240" w:lineRule="auto"/>
            </w:pPr>
            <w:r/>
            <w:r>
              <w:rPr>
                <w:b w:val="0"/>
                <w:sz w:val="14"/>
              </w:rPr>
              <w:t>Only pursue if federal buyers justify cost. Design evidence automation from day one.</w:t>
            </w:r>
          </w:p>
        </w:tc>
      </w:tr>
      <w:tr>
        <w:tc>
          <w:tcPr>
            <w:tcW w:type="dxa" w:w="2160"/>
            <w:vAlign w:val="top"/>
          </w:tcPr>
          <w:p>
            <w:pPr>
              <w:spacing w:after="0" w:line="240" w:lineRule="auto"/>
            </w:pPr>
            <w:r/>
            <w:r>
              <w:rPr>
                <w:b w:val="0"/>
                <w:sz w:val="14"/>
              </w:rPr>
              <w:t>CSA STAR</w:t>
            </w:r>
          </w:p>
        </w:tc>
        <w:tc>
          <w:tcPr>
            <w:tcW w:type="dxa" w:w="3024"/>
            <w:vAlign w:val="top"/>
          </w:tcPr>
          <w:p>
            <w:pPr>
              <w:spacing w:after="0" w:line="240" w:lineRule="auto"/>
            </w:pPr>
            <w:r/>
            <w:r>
              <w:rPr>
                <w:b w:val="0"/>
                <w:sz w:val="14"/>
              </w:rPr>
              <w:t>Cloud implementation and shared responsibility model exist.</w:t>
            </w:r>
          </w:p>
        </w:tc>
        <w:tc>
          <w:tcPr>
            <w:tcW w:type="dxa" w:w="4320"/>
            <w:vAlign w:val="top"/>
          </w:tcPr>
          <w:p>
            <w:pPr>
              <w:spacing w:after="0" w:line="240" w:lineRule="auto"/>
            </w:pPr>
            <w:r/>
            <w:r>
              <w:rPr>
                <w:b w:val="0"/>
                <w:sz w:val="14"/>
              </w:rPr>
              <w:t>CCM/CAIQ responses, cloud architecture, evidence mapped to CCM domains, third-party assessment for Level 2.</w:t>
            </w:r>
          </w:p>
        </w:tc>
        <w:tc>
          <w:tcPr>
            <w:tcW w:type="dxa" w:w="2448"/>
            <w:vAlign w:val="top"/>
          </w:tcPr>
          <w:p>
            <w:pPr>
              <w:spacing w:after="0" w:line="240" w:lineRule="auto"/>
            </w:pPr>
            <w:r/>
            <w:r>
              <w:rPr>
                <w:b w:val="0"/>
                <w:sz w:val="14"/>
              </w:rPr>
              <w:t>Use CAIQ as enterprise cloud questionnaire prework.</w:t>
            </w:r>
          </w:p>
        </w:tc>
      </w:tr>
      <w:tr>
        <w:tc>
          <w:tcPr>
            <w:tcW w:type="dxa" w:w="2160"/>
            <w:vAlign w:val="top"/>
          </w:tcPr>
          <w:p>
            <w:pPr>
              <w:spacing w:after="0" w:line="240" w:lineRule="auto"/>
            </w:pPr>
            <w:r/>
            <w:r>
              <w:rPr>
                <w:b w:val="0"/>
                <w:sz w:val="14"/>
              </w:rPr>
              <w:t>ISO/IEC 42001</w:t>
            </w:r>
          </w:p>
        </w:tc>
        <w:tc>
          <w:tcPr>
            <w:tcW w:type="dxa" w:w="3024"/>
            <w:vAlign w:val="top"/>
          </w:tcPr>
          <w:p>
            <w:pPr>
              <w:spacing w:after="0" w:line="240" w:lineRule="auto"/>
            </w:pPr>
            <w:r/>
            <w:r>
              <w:rPr>
                <w:b w:val="0"/>
                <w:sz w:val="14"/>
              </w:rPr>
              <w:t>AI is material and governance exists.</w:t>
            </w:r>
          </w:p>
        </w:tc>
        <w:tc>
          <w:tcPr>
            <w:tcW w:type="dxa" w:w="4320"/>
            <w:vAlign w:val="top"/>
          </w:tcPr>
          <w:p>
            <w:pPr>
              <w:spacing w:after="0" w:line="240" w:lineRule="auto"/>
            </w:pPr>
            <w:r/>
            <w:r>
              <w:rPr>
                <w:b w:val="0"/>
                <w:sz w:val="14"/>
              </w:rPr>
              <w:t>AI policy, model inventory, risk assessments, human oversight, monitoring, supplier controls, incident handling for AI outputs.</w:t>
            </w:r>
          </w:p>
        </w:tc>
        <w:tc>
          <w:tcPr>
            <w:tcW w:type="dxa" w:w="2448"/>
            <w:vAlign w:val="top"/>
          </w:tcPr>
          <w:p>
            <w:pPr>
              <w:spacing w:after="0" w:line="240" w:lineRule="auto"/>
            </w:pPr>
            <w:r/>
            <w:r>
              <w:rPr>
                <w:b w:val="0"/>
                <w:sz w:val="14"/>
              </w:rPr>
              <w:t>Start lightweight AI governance before adding cloud AI to enterprise.</w:t>
            </w:r>
          </w:p>
        </w:tc>
      </w:tr>
    </w:tbl>
    <w:p/>
    <w:p>
      <w:pPr>
        <w:pStyle w:val="Heading1"/>
      </w:pPr>
      <w:r>
        <w:t>Appendix C - Enterprise test plan before pilot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160"/>
            <w:vAlign w:val="top"/>
            <w:shd w:fill="D9EAF7"/>
          </w:tcPr>
          <w:p>
            <w:pPr>
              <w:spacing w:after="0" w:line="240" w:lineRule="auto"/>
            </w:pPr>
            <w:r/>
            <w:r>
              <w:rPr>
                <w:b/>
                <w:sz w:val="16"/>
              </w:rPr>
              <w:t>Test category</w:t>
            </w:r>
          </w:p>
        </w:tc>
        <w:tc>
          <w:tcPr>
            <w:tcW w:type="dxa" w:w="4464"/>
            <w:vAlign w:val="top"/>
            <w:shd w:fill="D9EAF7"/>
          </w:tcPr>
          <w:p>
            <w:pPr>
              <w:spacing w:after="0" w:line="240" w:lineRule="auto"/>
            </w:pPr>
            <w:r/>
            <w:r>
              <w:rPr>
                <w:b/>
                <w:sz w:val="16"/>
              </w:rPr>
              <w:t>Required tests</w:t>
            </w:r>
          </w:p>
        </w:tc>
        <w:tc>
          <w:tcPr>
            <w:tcW w:type="dxa" w:w="3168"/>
            <w:vAlign w:val="top"/>
            <w:shd w:fill="D9EAF7"/>
          </w:tcPr>
          <w:p>
            <w:pPr>
              <w:spacing w:after="0" w:line="240" w:lineRule="auto"/>
            </w:pPr>
            <w:r/>
            <w:r>
              <w:rPr>
                <w:b/>
                <w:sz w:val="16"/>
              </w:rPr>
              <w:t>Failure condition</w:t>
            </w:r>
          </w:p>
        </w:tc>
        <w:tc>
          <w:tcPr>
            <w:tcW w:type="dxa" w:w="2304"/>
            <w:vAlign w:val="top"/>
            <w:shd w:fill="D9EAF7"/>
          </w:tcPr>
          <w:p>
            <w:pPr>
              <w:spacing w:after="0" w:line="240" w:lineRule="auto"/>
            </w:pPr>
            <w:r/>
            <w:r>
              <w:rPr>
                <w:b/>
                <w:sz w:val="16"/>
              </w:rPr>
              <w:t>Evidence</w:t>
            </w:r>
          </w:p>
        </w:tc>
      </w:tr>
      <w:tr>
        <w:tc>
          <w:tcPr>
            <w:tcW w:type="dxa" w:w="2160"/>
            <w:vAlign w:val="top"/>
          </w:tcPr>
          <w:p>
            <w:pPr>
              <w:spacing w:after="0" w:line="240" w:lineRule="auto"/>
            </w:pPr>
            <w:r/>
            <w:r>
              <w:rPr>
                <w:b w:val="0"/>
                <w:sz w:val="14"/>
              </w:rPr>
              <w:t>Auth</w:t>
            </w:r>
          </w:p>
        </w:tc>
        <w:tc>
          <w:tcPr>
            <w:tcW w:type="dxa" w:w="4464"/>
            <w:vAlign w:val="top"/>
          </w:tcPr>
          <w:p>
            <w:pPr>
              <w:spacing w:after="0" w:line="240" w:lineRule="auto"/>
            </w:pPr>
            <w:r/>
            <w:r>
              <w:rPr>
                <w:b w:val="0"/>
                <w:sz w:val="14"/>
              </w:rPr>
              <w:t>OIDC login/logout, token expiry, session revoke, MFA enforcement, disabled user, passwordless/passkey if enabled.</w:t>
            </w:r>
          </w:p>
        </w:tc>
        <w:tc>
          <w:tcPr>
            <w:tcW w:type="dxa" w:w="3168"/>
            <w:vAlign w:val="top"/>
          </w:tcPr>
          <w:p>
            <w:pPr>
              <w:spacing w:after="0" w:line="240" w:lineRule="auto"/>
            </w:pPr>
            <w:r/>
            <w:r>
              <w:rPr>
                <w:b w:val="0"/>
                <w:sz w:val="14"/>
              </w:rPr>
              <w:t>Disabled user can still access; expired token accepted; logout not invalidating session.</w:t>
            </w:r>
          </w:p>
        </w:tc>
        <w:tc>
          <w:tcPr>
            <w:tcW w:type="dxa" w:w="2304"/>
            <w:vAlign w:val="top"/>
          </w:tcPr>
          <w:p>
            <w:pPr>
              <w:spacing w:after="0" w:line="240" w:lineRule="auto"/>
            </w:pPr>
            <w:r/>
            <w:r>
              <w:rPr>
                <w:b w:val="0"/>
                <w:sz w:val="14"/>
              </w:rPr>
              <w:t>Automated auth tests and audit log screenshots.</w:t>
            </w:r>
          </w:p>
        </w:tc>
      </w:tr>
      <w:tr>
        <w:tc>
          <w:tcPr>
            <w:tcW w:type="dxa" w:w="2160"/>
            <w:vAlign w:val="top"/>
          </w:tcPr>
          <w:p>
            <w:pPr>
              <w:spacing w:after="0" w:line="240" w:lineRule="auto"/>
            </w:pPr>
            <w:r/>
            <w:r>
              <w:rPr>
                <w:b w:val="0"/>
                <w:sz w:val="14"/>
              </w:rPr>
              <w:t>Authorization</w:t>
            </w:r>
          </w:p>
        </w:tc>
        <w:tc>
          <w:tcPr>
            <w:tcW w:type="dxa" w:w="4464"/>
            <w:vAlign w:val="top"/>
          </w:tcPr>
          <w:p>
            <w:pPr>
              <w:spacing w:after="0" w:line="240" w:lineRule="auto"/>
            </w:pPr>
            <w:r/>
            <w:r>
              <w:rPr>
                <w:b w:val="0"/>
                <w:sz w:val="14"/>
              </w:rPr>
              <w:t>Every endpoint tested for same-role/different-object, cross-role, cross-tenant, direct object ID access, export access.</w:t>
            </w:r>
          </w:p>
        </w:tc>
        <w:tc>
          <w:tcPr>
            <w:tcW w:type="dxa" w:w="3168"/>
            <w:vAlign w:val="top"/>
          </w:tcPr>
          <w:p>
            <w:pPr>
              <w:spacing w:after="0" w:line="240" w:lineRule="auto"/>
            </w:pPr>
            <w:r/>
            <w:r>
              <w:rPr>
                <w:b w:val="0"/>
                <w:sz w:val="14"/>
              </w:rPr>
              <w:t>Any BOLA/IDOR success or UI-only enforcement.</w:t>
            </w:r>
          </w:p>
        </w:tc>
        <w:tc>
          <w:tcPr>
            <w:tcW w:type="dxa" w:w="2304"/>
            <w:vAlign w:val="top"/>
          </w:tcPr>
          <w:p>
            <w:pPr>
              <w:spacing w:after="0" w:line="240" w:lineRule="auto"/>
            </w:pPr>
            <w:r/>
            <w:r>
              <w:rPr>
                <w:b w:val="0"/>
                <w:sz w:val="14"/>
              </w:rPr>
              <w:t>Endpoint test matrix and failed access logs.</w:t>
            </w:r>
          </w:p>
        </w:tc>
      </w:tr>
      <w:tr>
        <w:tc>
          <w:tcPr>
            <w:tcW w:type="dxa" w:w="2160"/>
            <w:vAlign w:val="top"/>
          </w:tcPr>
          <w:p>
            <w:pPr>
              <w:spacing w:after="0" w:line="240" w:lineRule="auto"/>
            </w:pPr>
            <w:r/>
            <w:r>
              <w:rPr>
                <w:b w:val="0"/>
                <w:sz w:val="14"/>
              </w:rPr>
              <w:t>Tenant isolation</w:t>
            </w:r>
          </w:p>
        </w:tc>
        <w:tc>
          <w:tcPr>
            <w:tcW w:type="dxa" w:w="4464"/>
            <w:vAlign w:val="top"/>
          </w:tcPr>
          <w:p>
            <w:pPr>
              <w:spacing w:after="0" w:line="240" w:lineRule="auto"/>
            </w:pPr>
            <w:r/>
            <w:r>
              <w:rPr>
                <w:b w:val="0"/>
                <w:sz w:val="14"/>
              </w:rPr>
              <w:t>Cross-tenant database, search, file, audit, AI, notification, export tests.</w:t>
            </w:r>
          </w:p>
        </w:tc>
        <w:tc>
          <w:tcPr>
            <w:tcW w:type="dxa" w:w="3168"/>
            <w:vAlign w:val="top"/>
          </w:tcPr>
          <w:p>
            <w:pPr>
              <w:spacing w:after="0" w:line="240" w:lineRule="auto"/>
            </w:pPr>
            <w:r/>
            <w:r>
              <w:rPr>
                <w:b w:val="0"/>
                <w:sz w:val="14"/>
              </w:rPr>
              <w:t>Data from tenant B visible to tenant A.</w:t>
            </w:r>
          </w:p>
        </w:tc>
        <w:tc>
          <w:tcPr>
            <w:tcW w:type="dxa" w:w="2304"/>
            <w:vAlign w:val="top"/>
          </w:tcPr>
          <w:p>
            <w:pPr>
              <w:spacing w:after="0" w:line="240" w:lineRule="auto"/>
            </w:pPr>
            <w:r/>
            <w:r>
              <w:rPr>
                <w:b w:val="0"/>
                <w:sz w:val="14"/>
              </w:rPr>
              <w:t>Automated isolation suite.</w:t>
            </w:r>
          </w:p>
        </w:tc>
      </w:tr>
      <w:tr>
        <w:tc>
          <w:tcPr>
            <w:tcW w:type="dxa" w:w="2160"/>
            <w:vAlign w:val="top"/>
          </w:tcPr>
          <w:p>
            <w:pPr>
              <w:spacing w:after="0" w:line="240" w:lineRule="auto"/>
            </w:pPr>
            <w:r/>
            <w:r>
              <w:rPr>
                <w:b w:val="0"/>
                <w:sz w:val="14"/>
              </w:rPr>
              <w:t>Input/XSS</w:t>
            </w:r>
          </w:p>
        </w:tc>
        <w:tc>
          <w:tcPr>
            <w:tcW w:type="dxa" w:w="4464"/>
            <w:vAlign w:val="top"/>
          </w:tcPr>
          <w:p>
            <w:pPr>
              <w:spacing w:after="0" w:line="240" w:lineRule="auto"/>
            </w:pPr>
            <w:r/>
            <w:r>
              <w:rPr>
                <w:b w:val="0"/>
                <w:sz w:val="14"/>
              </w:rPr>
              <w:t>Stored XSS in every rich text/plain field, import payloads, file names, AI output, URLs.</w:t>
            </w:r>
          </w:p>
        </w:tc>
        <w:tc>
          <w:tcPr>
            <w:tcW w:type="dxa" w:w="3168"/>
            <w:vAlign w:val="top"/>
          </w:tcPr>
          <w:p>
            <w:pPr>
              <w:spacing w:after="0" w:line="240" w:lineRule="auto"/>
            </w:pPr>
            <w:r/>
            <w:r>
              <w:rPr>
                <w:b w:val="0"/>
                <w:sz w:val="14"/>
              </w:rPr>
              <w:t>Script execution or unsafe link scheme survives.</w:t>
            </w:r>
          </w:p>
        </w:tc>
        <w:tc>
          <w:tcPr>
            <w:tcW w:type="dxa" w:w="2304"/>
            <w:vAlign w:val="top"/>
          </w:tcPr>
          <w:p>
            <w:pPr>
              <w:spacing w:after="0" w:line="240" w:lineRule="auto"/>
            </w:pPr>
            <w:r/>
            <w:r>
              <w:rPr>
                <w:b w:val="0"/>
                <w:sz w:val="14"/>
              </w:rPr>
              <w:t>ASVS injection test results.</w:t>
            </w:r>
          </w:p>
        </w:tc>
      </w:tr>
      <w:tr>
        <w:tc>
          <w:tcPr>
            <w:tcW w:type="dxa" w:w="2160"/>
            <w:vAlign w:val="top"/>
          </w:tcPr>
          <w:p>
            <w:pPr>
              <w:spacing w:after="0" w:line="240" w:lineRule="auto"/>
            </w:pPr>
            <w:r/>
            <w:r>
              <w:rPr>
                <w:b w:val="0"/>
                <w:sz w:val="14"/>
              </w:rPr>
              <w:t>Files</w:t>
            </w:r>
          </w:p>
        </w:tc>
        <w:tc>
          <w:tcPr>
            <w:tcW w:type="dxa" w:w="4464"/>
            <w:vAlign w:val="top"/>
          </w:tcPr>
          <w:p>
            <w:pPr>
              <w:spacing w:after="0" w:line="240" w:lineRule="auto"/>
            </w:pPr>
            <w:r/>
            <w:r>
              <w:rPr>
                <w:b w:val="0"/>
                <w:sz w:val="14"/>
              </w:rPr>
              <w:t>Malware sample, oversized file, wrong extension/content-type, SVG/HTML download, path traversal names.</w:t>
            </w:r>
          </w:p>
        </w:tc>
        <w:tc>
          <w:tcPr>
            <w:tcW w:type="dxa" w:w="3168"/>
            <w:vAlign w:val="top"/>
          </w:tcPr>
          <w:p>
            <w:pPr>
              <w:spacing w:after="0" w:line="240" w:lineRule="auto"/>
            </w:pPr>
            <w:r/>
            <w:r>
              <w:rPr>
                <w:b w:val="0"/>
                <w:sz w:val="14"/>
              </w:rPr>
              <w:t>Unsafe file accepted or rendered executable.</w:t>
            </w:r>
          </w:p>
        </w:tc>
        <w:tc>
          <w:tcPr>
            <w:tcW w:type="dxa" w:w="2304"/>
            <w:vAlign w:val="top"/>
          </w:tcPr>
          <w:p>
            <w:pPr>
              <w:spacing w:after="0" w:line="240" w:lineRule="auto"/>
            </w:pPr>
            <w:r/>
            <w:r>
              <w:rPr>
                <w:b w:val="0"/>
                <w:sz w:val="14"/>
              </w:rPr>
              <w:t>File security test report.</w:t>
            </w:r>
          </w:p>
        </w:tc>
      </w:tr>
      <w:tr>
        <w:tc>
          <w:tcPr>
            <w:tcW w:type="dxa" w:w="2160"/>
            <w:vAlign w:val="top"/>
          </w:tcPr>
          <w:p>
            <w:pPr>
              <w:spacing w:after="0" w:line="240" w:lineRule="auto"/>
            </w:pPr>
            <w:r/>
            <w:r>
              <w:rPr>
                <w:b w:val="0"/>
                <w:sz w:val="14"/>
              </w:rPr>
              <w:t>AI</w:t>
            </w:r>
          </w:p>
        </w:tc>
        <w:tc>
          <w:tcPr>
            <w:tcW w:type="dxa" w:w="4464"/>
            <w:vAlign w:val="top"/>
          </w:tcPr>
          <w:p>
            <w:pPr>
              <w:spacing w:after="0" w:line="240" w:lineRule="auto"/>
            </w:pPr>
            <w:r/>
            <w:r>
              <w:rPr>
                <w:b w:val="0"/>
                <w:sz w:val="14"/>
              </w:rPr>
              <w:t>Prompt injection, data boundary, tenant policy disabled, cloud provider key missing, write-action approval bypass.</w:t>
            </w:r>
          </w:p>
        </w:tc>
        <w:tc>
          <w:tcPr>
            <w:tcW w:type="dxa" w:w="3168"/>
            <w:vAlign w:val="top"/>
          </w:tcPr>
          <w:p>
            <w:pPr>
              <w:spacing w:after="0" w:line="240" w:lineRule="auto"/>
            </w:pPr>
            <w:r/>
            <w:r>
              <w:rPr>
                <w:b w:val="0"/>
                <w:sz w:val="14"/>
              </w:rPr>
              <w:t>AI sends forbidden data or modifies records without approval.</w:t>
            </w:r>
          </w:p>
        </w:tc>
        <w:tc>
          <w:tcPr>
            <w:tcW w:type="dxa" w:w="2304"/>
            <w:vAlign w:val="top"/>
          </w:tcPr>
          <w:p>
            <w:pPr>
              <w:spacing w:after="0" w:line="240" w:lineRule="auto"/>
            </w:pPr>
            <w:r/>
            <w:r>
              <w:rPr>
                <w:b w:val="0"/>
                <w:sz w:val="14"/>
              </w:rPr>
              <w:t>AI policy test output and audit logs.</w:t>
            </w:r>
          </w:p>
        </w:tc>
      </w:tr>
      <w:tr>
        <w:tc>
          <w:tcPr>
            <w:tcW w:type="dxa" w:w="2160"/>
            <w:vAlign w:val="top"/>
          </w:tcPr>
          <w:p>
            <w:pPr>
              <w:spacing w:after="0" w:line="240" w:lineRule="auto"/>
            </w:pPr>
            <w:r/>
            <w:r>
              <w:rPr>
                <w:b w:val="0"/>
                <w:sz w:val="14"/>
              </w:rPr>
              <w:t>Audit</w:t>
            </w:r>
          </w:p>
        </w:tc>
        <w:tc>
          <w:tcPr>
            <w:tcW w:type="dxa" w:w="4464"/>
            <w:vAlign w:val="top"/>
          </w:tcPr>
          <w:p>
            <w:pPr>
              <w:spacing w:after="0" w:line="240" w:lineRule="auto"/>
            </w:pPr>
            <w:r/>
            <w:r>
              <w:rPr>
                <w:b w:val="0"/>
                <w:sz w:val="14"/>
              </w:rPr>
              <w:t>Create/update/delete/export/admin/support actions produce complete audit event with request correlation.</w:t>
            </w:r>
          </w:p>
        </w:tc>
        <w:tc>
          <w:tcPr>
            <w:tcW w:type="dxa" w:w="3168"/>
            <w:vAlign w:val="top"/>
          </w:tcPr>
          <w:p>
            <w:pPr>
              <w:spacing w:after="0" w:line="240" w:lineRule="auto"/>
            </w:pPr>
            <w:r/>
            <w:r>
              <w:rPr>
                <w:b w:val="0"/>
                <w:sz w:val="14"/>
              </w:rPr>
              <w:t>Sensitive action missing audit event or user can modify logs.</w:t>
            </w:r>
          </w:p>
        </w:tc>
        <w:tc>
          <w:tcPr>
            <w:tcW w:type="dxa" w:w="2304"/>
            <w:vAlign w:val="top"/>
          </w:tcPr>
          <w:p>
            <w:pPr>
              <w:spacing w:after="0" w:line="240" w:lineRule="auto"/>
            </w:pPr>
            <w:r/>
            <w:r>
              <w:rPr>
                <w:b w:val="0"/>
                <w:sz w:val="14"/>
              </w:rPr>
              <w:t>Audit event samples and immutability evidence.</w:t>
            </w:r>
          </w:p>
        </w:tc>
      </w:tr>
      <w:tr>
        <w:tc>
          <w:tcPr>
            <w:tcW w:type="dxa" w:w="2160"/>
            <w:vAlign w:val="top"/>
          </w:tcPr>
          <w:p>
            <w:pPr>
              <w:spacing w:after="0" w:line="240" w:lineRule="auto"/>
            </w:pPr>
            <w:r/>
            <w:r>
              <w:rPr>
                <w:b w:val="0"/>
                <w:sz w:val="14"/>
              </w:rPr>
              <w:t>Availability</w:t>
            </w:r>
          </w:p>
        </w:tc>
        <w:tc>
          <w:tcPr>
            <w:tcW w:type="dxa" w:w="4464"/>
            <w:vAlign w:val="top"/>
          </w:tcPr>
          <w:p>
            <w:pPr>
              <w:spacing w:after="0" w:line="240" w:lineRule="auto"/>
            </w:pPr>
            <w:r/>
            <w:r>
              <w:rPr>
                <w:b w:val="0"/>
                <w:sz w:val="14"/>
              </w:rPr>
              <w:t>Backup/restore, dependency outage, API rate limits, graceful degradation, incident alert.</w:t>
            </w:r>
          </w:p>
        </w:tc>
        <w:tc>
          <w:tcPr>
            <w:tcW w:type="dxa" w:w="3168"/>
            <w:vAlign w:val="top"/>
          </w:tcPr>
          <w:p>
            <w:pPr>
              <w:spacing w:after="0" w:line="240" w:lineRule="auto"/>
            </w:pPr>
            <w:r/>
            <w:r>
              <w:rPr>
                <w:b w:val="0"/>
                <w:sz w:val="14"/>
              </w:rPr>
              <w:t>Unrecoverable data loss or no alert for outage.</w:t>
            </w:r>
          </w:p>
        </w:tc>
        <w:tc>
          <w:tcPr>
            <w:tcW w:type="dxa" w:w="2304"/>
            <w:vAlign w:val="top"/>
          </w:tcPr>
          <w:p>
            <w:pPr>
              <w:spacing w:after="0" w:line="240" w:lineRule="auto"/>
            </w:pPr>
            <w:r/>
            <w:r>
              <w:rPr>
                <w:b w:val="0"/>
                <w:sz w:val="14"/>
              </w:rPr>
              <w:t>Restore test and monitoring evidence.</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Task App CRM deep assessment v3 | Generated 2026-05-19 | Static review, not certification attestation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