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Visit the link arcgis.com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Click on sign-in, create public account, and then enter your information to create an account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When asked to fill out organization names/titles, fill in something simple that you will be easily able to remember.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Click on Map on the top bar once you are into your account. This will launch you into a live session of ArcGIS online! When you have time, download ArcGIS for desktop for additional capabilities. For this tutorial, we will be using ArcGIS online.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Tutorials are available at: http://learn.arcgis.com/en/projects/get-started-with-arcgis-online/lessons/explore-a-map.htm. Please check them out on your own! We will be going over some basic functionalities today.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Make sure that the CSV files that we are using today are in a easily accessible file location!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Once you have an interactive map loaded, click on Add → Add Layer From File → the CSV you wish to use (Phillip II data for this example). Keep in mind that ArcGIS works best when you have your latitude and longitude coordinates in different columns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you mouse over different points, you can see which location and ID they are!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Click the “Details” Tab, then click the leftmost little icon to pull up the legend. Click the icon that looks like a little table to pull up your data in a table on the map.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Click on basemap to select the map on which you want your points plotted! We are going to use a topographical map for this example, so we can see how paths could have been affected by geography. Click ‘Terrain with Labels’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Click on Details, then click on the little Icon with the shapes that when moused over says “Change Style”. Play around with different visualizations! The heat map is particularly interesting! It shows regions that Philip visited the most!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 We can also perform some interesting analysis on our data if we play around. Click on the “Analysis” Tab!</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 Click on Analyze Patterns → Calculate Density. Scroll down and click Run Analysis. You’ll get a density map showing ranges in which Philip traveled.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you go back to the Details tab, you’ll see that you can check and uncheck layers that you want to see at once/at different times.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 Now it’s your turn to play! Play around with the different analysis and see what kinds of layers they create! Ask questions if you have them!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