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:rsidR="006E0E27" w:rsidRPr="004A7C1C" w:rsidRDefault="006E0E27" w:rsidP="006E0E27">
            <w:pPr>
              <w:pStyle w:val="Brd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:rsidR="006E0E27" w:rsidRPr="004A7C1C" w:rsidRDefault="006E0E27" w:rsidP="006E0E27"/>
        </w:tc>
      </w:tr>
      <w:tr w:rsidR="000927B9" w:rsidRPr="004A7C1C" w:rsidTr="00CF10DE">
        <w:trPr>
          <w:cantSplit/>
        </w:trPr>
        <w:tc>
          <w:tcPr>
            <w:tcW w:w="284" w:type="dxa"/>
            <w:shd w:val="clear" w:color="auto" w:fill="auto"/>
          </w:tcPr>
          <w:p w:rsidR="000927B9" w:rsidRPr="004A7C1C" w:rsidRDefault="000927B9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:rsidR="00AC5707" w:rsidRPr="00AC5707" w:rsidRDefault="0063058B" w:rsidP="00AC5707">
            <w:pPr>
              <w:pStyle w:val="Rubrik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clinicalprocess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activityprescription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actoutcome</w:t>
            </w:r>
            <w:proofErr w:type="spellEnd"/>
          </w:p>
          <w:p w:rsidR="000927B9" w:rsidRDefault="00CF10DE" w:rsidP="00DE0233">
            <w:pPr>
              <w:pStyle w:val="FrsttsbladUnderrubrik"/>
            </w:pPr>
            <w:proofErr w:type="spellStart"/>
            <w:r>
              <w:t>Arkitekturella</w:t>
            </w:r>
            <w:proofErr w:type="spellEnd"/>
            <w:r>
              <w:t xml:space="preserve"> beslut </w:t>
            </w:r>
            <w:r w:rsidRPr="00CF10DE">
              <w:rPr>
                <w:i/>
              </w:rPr>
              <w:t>(beslut som påverkar arkitekturens utformning)</w:t>
            </w:r>
            <w:bookmarkStart w:id="0" w:name="_GoBack"/>
            <w:bookmarkEnd w:id="0"/>
          </w:p>
          <w:p w:rsidR="00D31AA7" w:rsidRPr="00D31AA7" w:rsidRDefault="00F856C4" w:rsidP="00AC5707">
            <w:pPr>
              <w:pStyle w:val="Brd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D31AA7">
              <w:rPr>
                <w:color w:val="008000"/>
                <w:sz w:val="32"/>
              </w:rPr>
              <w:fldChar w:fldCharType="begin"/>
            </w:r>
            <w:r w:rsidR="00D31AA7">
              <w:rPr>
                <w:color w:val="008000"/>
                <w:sz w:val="32"/>
              </w:rPr>
              <w:instrText xml:space="preserve"> DOCPROPERTY "version_1" \* MERGEFORMAT </w:instrText>
            </w:r>
            <w:r w:rsidR="00D31AA7">
              <w:rPr>
                <w:color w:val="008000"/>
                <w:sz w:val="32"/>
              </w:rPr>
              <w:fldChar w:fldCharType="separate"/>
            </w:r>
            <w:r w:rsidR="003A7B9F">
              <w:rPr>
                <w:color w:val="008000"/>
                <w:sz w:val="32"/>
              </w:rPr>
              <w:t>2</w:t>
            </w:r>
            <w:r w:rsidR="00D31AA7">
              <w:rPr>
                <w:color w:val="008000"/>
                <w:sz w:val="32"/>
              </w:rPr>
              <w:fldChar w:fldCharType="end"/>
            </w:r>
            <w:r w:rsidR="00D31AA7" w:rsidRPr="00D31AA7">
              <w:rPr>
                <w:sz w:val="32"/>
              </w:rPr>
              <w:t>.</w:t>
            </w:r>
            <w:r w:rsidR="00D31AA7" w:rsidRPr="00D31AA7">
              <w:rPr>
                <w:color w:val="008000"/>
                <w:sz w:val="32"/>
              </w:rPr>
              <w:fldChar w:fldCharType="begin"/>
            </w:r>
            <w:r w:rsidR="00D31AA7" w:rsidRPr="00D31AA7">
              <w:rPr>
                <w:color w:val="008000"/>
                <w:sz w:val="32"/>
              </w:rPr>
              <w:instrText xml:space="preserve"> DOCPROPERTY "version_2" \* MERGEFORMAT </w:instrText>
            </w:r>
            <w:r w:rsidR="00D31AA7" w:rsidRPr="00D31AA7">
              <w:rPr>
                <w:color w:val="008000"/>
                <w:sz w:val="32"/>
              </w:rPr>
              <w:fldChar w:fldCharType="separate"/>
            </w:r>
            <w:r w:rsidR="003A7B9F">
              <w:rPr>
                <w:color w:val="008000"/>
                <w:sz w:val="32"/>
              </w:rPr>
              <w:t>0</w:t>
            </w:r>
            <w:r w:rsidR="00D31AA7" w:rsidRPr="00D31AA7">
              <w:rPr>
                <w:color w:val="008000"/>
                <w:sz w:val="32"/>
              </w:rPr>
              <w:fldChar w:fldCharType="end"/>
            </w:r>
            <w:r w:rsidR="00D31AA7">
              <w:rPr>
                <w:sz w:val="32"/>
              </w:rPr>
              <w:t>.</w:t>
            </w:r>
            <w:r w:rsidR="00D31AA7" w:rsidRPr="00D31AA7">
              <w:rPr>
                <w:color w:val="008000"/>
                <w:sz w:val="32"/>
              </w:rPr>
              <w:fldChar w:fldCharType="begin"/>
            </w:r>
            <w:r w:rsidR="00D31AA7" w:rsidRPr="00D31AA7">
              <w:rPr>
                <w:color w:val="008000"/>
                <w:sz w:val="32"/>
              </w:rPr>
              <w:instrText xml:space="preserve"> DOCPROPERTY "version_3" \* MERGEFORMAT </w:instrText>
            </w:r>
            <w:r w:rsidR="00D31AA7" w:rsidRPr="00D31AA7">
              <w:rPr>
                <w:color w:val="008000"/>
                <w:sz w:val="32"/>
              </w:rPr>
              <w:fldChar w:fldCharType="separate"/>
            </w:r>
            <w:r w:rsidR="003A7B9F">
              <w:rPr>
                <w:color w:val="008000"/>
                <w:sz w:val="32"/>
              </w:rPr>
              <w:t>0</w:t>
            </w:r>
            <w:r w:rsidR="00D31AA7" w:rsidRPr="00D31AA7">
              <w:rPr>
                <w:color w:val="008000"/>
                <w:sz w:val="32"/>
              </w:rPr>
              <w:fldChar w:fldCharType="end"/>
            </w:r>
          </w:p>
          <w:p w:rsidR="00AC5707" w:rsidRDefault="00AC5707" w:rsidP="00AC5707">
            <w:pPr>
              <w:pStyle w:val="Brd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3A7B9F" w:rsidRPr="003A7B9F">
              <w:rPr>
                <w:color w:val="008000"/>
                <w:sz w:val="28"/>
              </w:rPr>
              <w:t>ARK_0023</w:t>
            </w:r>
            <w:r w:rsidRPr="00AC5707">
              <w:rPr>
                <w:color w:val="008000"/>
                <w:sz w:val="28"/>
              </w:rPr>
              <w:fldChar w:fldCharType="end"/>
            </w:r>
          </w:p>
          <w:p w:rsidR="00AC5707" w:rsidRDefault="00F856C4" w:rsidP="00AC5707">
            <w:pPr>
              <w:pStyle w:val="Brd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3A7B9F">
              <w:rPr>
                <w:color w:val="008000"/>
                <w:sz w:val="28"/>
              </w:rPr>
              <w:t>2015-04-08</w:t>
            </w:r>
            <w:r>
              <w:rPr>
                <w:color w:val="008000"/>
                <w:sz w:val="28"/>
              </w:rPr>
              <w:fldChar w:fldCharType="end"/>
            </w:r>
          </w:p>
          <w:p w:rsidR="00F856C4" w:rsidRPr="00AC5707" w:rsidRDefault="00F856C4" w:rsidP="00AC5707">
            <w:pPr>
              <w:pStyle w:val="Brdtext"/>
              <w:rPr>
                <w:color w:val="008000"/>
                <w:sz w:val="28"/>
              </w:rPr>
            </w:pPr>
          </w:p>
          <w:p w:rsidR="00AC5707" w:rsidRPr="00AC5707" w:rsidRDefault="00AC5707" w:rsidP="00AC5707">
            <w:pPr>
              <w:pStyle w:val="Brdtext"/>
            </w:pPr>
          </w:p>
        </w:tc>
      </w:tr>
      <w:tr w:rsidR="003E78D2" w:rsidRPr="004A7C1C" w:rsidTr="00CF10DE">
        <w:trPr>
          <w:cantSplit/>
        </w:trPr>
        <w:tc>
          <w:tcPr>
            <w:tcW w:w="284" w:type="dxa"/>
            <w:shd w:val="clear" w:color="auto" w:fill="auto"/>
          </w:tcPr>
          <w:p w:rsidR="003E78D2" w:rsidRPr="004A7C1C" w:rsidRDefault="003E78D2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:rsidR="003E78D2" w:rsidRPr="00AC5707" w:rsidRDefault="003E78D2" w:rsidP="00AC5707">
            <w:pPr>
              <w:pStyle w:val="Rubrik"/>
              <w:rPr>
                <w:color w:val="008000"/>
              </w:rPr>
            </w:pPr>
          </w:p>
        </w:tc>
      </w:tr>
    </w:tbl>
    <w:p w:rsidR="000927B9" w:rsidRPr="004A7C1C" w:rsidRDefault="000927B9" w:rsidP="00A47B77"/>
    <w:p w:rsidR="00495E86" w:rsidRDefault="000927B9" w:rsidP="00495E86">
      <w:pPr>
        <w:pStyle w:val="Indexrubrik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1" w:name="_Toc321289647"/>
      <w:bookmarkStart w:id="2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:rsidR="00B26C77" w:rsidRPr="00B26C77" w:rsidRDefault="00B26C77" w:rsidP="00B26C77">
          <w:pPr>
            <w:pStyle w:val="Innehllsfrteckningsrubrik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:rsidR="003A7B9F" w:rsidRDefault="00D31AA7">
          <w:pPr>
            <w:pStyle w:val="Innehll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3A7B9F">
            <w:rPr>
              <w:noProof/>
            </w:rPr>
            <w:t>1.</w:t>
          </w:r>
          <w:r w:rsidR="003A7B9F"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 w:rsidR="003A7B9F">
            <w:rPr>
              <w:noProof/>
            </w:rPr>
            <w:t>Inledning</w:t>
          </w:r>
          <w:r w:rsidR="003A7B9F">
            <w:rPr>
              <w:noProof/>
            </w:rPr>
            <w:tab/>
          </w:r>
          <w:r w:rsidR="003A7B9F">
            <w:rPr>
              <w:noProof/>
            </w:rPr>
            <w:fldChar w:fldCharType="begin"/>
          </w:r>
          <w:r w:rsidR="003A7B9F">
            <w:rPr>
              <w:noProof/>
            </w:rPr>
            <w:instrText xml:space="preserve"> PAGEREF _Toc416280843 \h </w:instrText>
          </w:r>
          <w:r w:rsidR="003A7B9F">
            <w:rPr>
              <w:noProof/>
            </w:rPr>
          </w:r>
          <w:r w:rsidR="003A7B9F">
            <w:rPr>
              <w:noProof/>
            </w:rPr>
            <w:fldChar w:fldCharType="separate"/>
          </w:r>
          <w:r w:rsidR="003A7B9F">
            <w:rPr>
              <w:noProof/>
            </w:rPr>
            <w:t>3</w:t>
          </w:r>
          <w:r w:rsidR="003A7B9F">
            <w:rPr>
              <w:noProof/>
            </w:rPr>
            <w:fldChar w:fldCharType="end"/>
          </w:r>
        </w:p>
        <w:p w:rsidR="003A7B9F" w:rsidRDefault="003A7B9F">
          <w:pPr>
            <w:pStyle w:val="Innehll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_Toc416280844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3A7B9F" w:rsidRDefault="003A7B9F">
          <w:pPr>
            <w:pStyle w:val="Innehll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_Toc416280845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3A7B9F" w:rsidRDefault="003A7B9F">
          <w:pPr>
            <w:pStyle w:val="Innehll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_Toc416280846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3A7B9F" w:rsidRDefault="003A7B9F">
          <w:pPr>
            <w:pStyle w:val="Innehll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AB: Beslut om sökparametrar i GetMedicationHistory – id:n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_Toc416280847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3" w:name="_Toc333492260"/>
      <w:r>
        <w:br w:type="page"/>
      </w: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000"/>
      </w:tblGrid>
      <w:tr w:rsidR="0030019C" w:rsidTr="00CF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3"/>
          </w:tcPr>
          <w:p w:rsidR="0030019C" w:rsidRDefault="0030019C" w:rsidP="00CF10DE">
            <w:pPr>
              <w:pStyle w:val="Brdtext"/>
            </w:pPr>
            <w:r>
              <w:lastRenderedPageBreak/>
              <w:t>Revisionshistorik</w:t>
            </w:r>
            <w:r w:rsidR="00D31AA7">
              <w:t xml:space="preserve"> mall</w:t>
            </w:r>
          </w:p>
        </w:tc>
      </w:tr>
      <w:tr w:rsidR="0030019C" w:rsidTr="00CF10DE">
        <w:tc>
          <w:tcPr>
            <w:tcW w:w="1101" w:type="dxa"/>
          </w:tcPr>
          <w:p w:rsidR="0030019C" w:rsidRDefault="0030019C" w:rsidP="00CF10DE">
            <w:pPr>
              <w:pStyle w:val="Brdtext"/>
            </w:pPr>
            <w:r>
              <w:t>Version</w:t>
            </w:r>
          </w:p>
        </w:tc>
        <w:tc>
          <w:tcPr>
            <w:tcW w:w="3543" w:type="dxa"/>
          </w:tcPr>
          <w:p w:rsidR="0030019C" w:rsidRDefault="0030019C" w:rsidP="00CF10DE">
            <w:pPr>
              <w:pStyle w:val="Brdtext"/>
            </w:pPr>
            <w:r>
              <w:t>Författare</w:t>
            </w:r>
          </w:p>
        </w:tc>
        <w:tc>
          <w:tcPr>
            <w:tcW w:w="4000" w:type="dxa"/>
          </w:tcPr>
          <w:p w:rsidR="0030019C" w:rsidRDefault="0030019C" w:rsidP="00CF10DE">
            <w:pPr>
              <w:pStyle w:val="Brdtext"/>
            </w:pPr>
            <w:r>
              <w:t>Kommentar</w:t>
            </w:r>
          </w:p>
        </w:tc>
      </w:tr>
      <w:tr w:rsidR="0030019C" w:rsidTr="00CF10DE">
        <w:tc>
          <w:tcPr>
            <w:tcW w:w="1101" w:type="dxa"/>
          </w:tcPr>
          <w:p w:rsidR="0030019C" w:rsidRDefault="00D31AA7" w:rsidP="00CF10DE">
            <w:pPr>
              <w:pStyle w:val="Brdtext"/>
            </w:pPr>
            <w:r>
              <w:t>1.0</w:t>
            </w:r>
          </w:p>
        </w:tc>
        <w:tc>
          <w:tcPr>
            <w:tcW w:w="3543" w:type="dxa"/>
          </w:tcPr>
          <w:p w:rsidR="0030019C" w:rsidRDefault="00D31AA7" w:rsidP="00CF10DE">
            <w:pPr>
              <w:pStyle w:val="Brdtext"/>
            </w:pPr>
            <w:r>
              <w:t>Lennart Eriksson</w:t>
            </w:r>
          </w:p>
        </w:tc>
        <w:tc>
          <w:tcPr>
            <w:tcW w:w="4000" w:type="dxa"/>
          </w:tcPr>
          <w:p w:rsidR="0030019C" w:rsidRDefault="00D31AA7" w:rsidP="00CF10DE">
            <w:pPr>
              <w:pStyle w:val="Brdtext"/>
            </w:pPr>
            <w:r>
              <w:t>Första med nya mallen</w:t>
            </w:r>
          </w:p>
        </w:tc>
      </w:tr>
      <w:tr w:rsidR="0030019C" w:rsidTr="00CF10DE">
        <w:tc>
          <w:tcPr>
            <w:tcW w:w="1101" w:type="dxa"/>
          </w:tcPr>
          <w:p w:rsidR="0030019C" w:rsidRDefault="00D31AA7" w:rsidP="00CF10DE">
            <w:pPr>
              <w:pStyle w:val="Brdtext"/>
            </w:pPr>
            <w:r>
              <w:t>1.3</w:t>
            </w:r>
          </w:p>
        </w:tc>
        <w:tc>
          <w:tcPr>
            <w:tcW w:w="3543" w:type="dxa"/>
          </w:tcPr>
          <w:p w:rsidR="0030019C" w:rsidRDefault="00D31AA7" w:rsidP="00CF10DE">
            <w:pPr>
              <w:pStyle w:val="Brdtext"/>
            </w:pPr>
            <w:r>
              <w:t>Lennart Eriksson</w:t>
            </w:r>
          </w:p>
        </w:tc>
        <w:tc>
          <w:tcPr>
            <w:tcW w:w="4000" w:type="dxa"/>
          </w:tcPr>
          <w:p w:rsidR="0030019C" w:rsidRDefault="00D31AA7" w:rsidP="00CF10DE">
            <w:pPr>
              <w:pStyle w:val="Brdtext"/>
            </w:pPr>
            <w:r>
              <w:t>Bytt till Inera mall</w:t>
            </w:r>
          </w:p>
        </w:tc>
      </w:tr>
    </w:tbl>
    <w:p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268"/>
        <w:gridCol w:w="1820"/>
        <w:gridCol w:w="3226"/>
        <w:gridCol w:w="2406"/>
      </w:tblGrid>
      <w:tr w:rsidR="00D31AA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:rsidR="00D31AA7" w:rsidRDefault="00D31AA7" w:rsidP="00D31AA7">
            <w:pPr>
              <w:pStyle w:val="Brdtext"/>
            </w:pPr>
            <w:r>
              <w:t>Revisionshistorik inom projekt</w:t>
            </w:r>
          </w:p>
        </w:tc>
      </w:tr>
      <w:tr w:rsidR="00D31AA7" w:rsidTr="00D31AA7">
        <w:tc>
          <w:tcPr>
            <w:tcW w:w="1101" w:type="dxa"/>
          </w:tcPr>
          <w:p w:rsidR="00D31AA7" w:rsidRDefault="00D31AA7" w:rsidP="00D31AA7">
            <w:pPr>
              <w:pStyle w:val="Brdtext"/>
            </w:pPr>
            <w:r>
              <w:t>Revison nr</w:t>
            </w:r>
          </w:p>
        </w:tc>
        <w:tc>
          <w:tcPr>
            <w:tcW w:w="1842" w:type="dxa"/>
          </w:tcPr>
          <w:p w:rsidR="00D31AA7" w:rsidRDefault="00D31AA7" w:rsidP="00D31AA7">
            <w:pPr>
              <w:pStyle w:val="Brdtext"/>
            </w:pPr>
            <w:r>
              <w:t>Revison Datum</w:t>
            </w:r>
          </w:p>
        </w:tc>
        <w:tc>
          <w:tcPr>
            <w:tcW w:w="3261" w:type="dxa"/>
          </w:tcPr>
          <w:p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:rsidR="00D31AA7" w:rsidRDefault="00D31AA7" w:rsidP="00D31AA7">
            <w:pPr>
              <w:pStyle w:val="Brdtext"/>
            </w:pPr>
            <w:r>
              <w:t>Ändrat av</w:t>
            </w:r>
          </w:p>
        </w:tc>
      </w:tr>
      <w:tr w:rsidR="00DD1F9C" w:rsidTr="00D31AA7">
        <w:tc>
          <w:tcPr>
            <w:tcW w:w="1101" w:type="dxa"/>
          </w:tcPr>
          <w:p w:rsidR="00DD1F9C" w:rsidRDefault="00DD1F9C" w:rsidP="00D31AA7">
            <w:pPr>
              <w:pStyle w:val="Brdtext"/>
            </w:pPr>
            <w:r w:rsidRPr="00DD1F9C">
              <w:t>PA1</w:t>
            </w:r>
          </w:p>
        </w:tc>
        <w:tc>
          <w:tcPr>
            <w:tcW w:w="1842" w:type="dxa"/>
          </w:tcPr>
          <w:p w:rsidR="00DD1F9C" w:rsidRPr="00031B12" w:rsidRDefault="00DD1F9C" w:rsidP="00E2447C">
            <w:pPr>
              <w:pStyle w:val="TableText"/>
              <w:ind w:right="0"/>
              <w:jc w:val="center"/>
            </w:pPr>
            <w:r w:rsidRPr="00031B12">
              <w:t>2013-11-21</w:t>
            </w:r>
          </w:p>
        </w:tc>
        <w:tc>
          <w:tcPr>
            <w:tcW w:w="3261" w:type="dxa"/>
          </w:tcPr>
          <w:p w:rsidR="00DD1F9C" w:rsidRPr="008F2E5D" w:rsidRDefault="00DD1F9C" w:rsidP="00E2447C">
            <w:pPr>
              <w:pStyle w:val="TableText"/>
              <w:ind w:right="0"/>
              <w:rPr>
                <w:lang w:val="sv-SE"/>
              </w:rPr>
            </w:pPr>
            <w:r w:rsidRPr="008F2E5D">
              <w:rPr>
                <w:lang w:val="sv-SE"/>
              </w:rPr>
              <w:t>Första version. Inget att rapportera.</w:t>
            </w:r>
          </w:p>
        </w:tc>
        <w:tc>
          <w:tcPr>
            <w:tcW w:w="2440" w:type="dxa"/>
          </w:tcPr>
          <w:p w:rsidR="00DD1F9C" w:rsidRPr="00031B12" w:rsidRDefault="00DD1F9C" w:rsidP="00E2447C">
            <w:pPr>
              <w:pStyle w:val="TableText"/>
              <w:ind w:right="0"/>
            </w:pPr>
            <w:r w:rsidRPr="00031B12">
              <w:t xml:space="preserve">Johan Eltes, </w:t>
            </w:r>
            <w:proofErr w:type="spellStart"/>
            <w:r w:rsidRPr="00031B12">
              <w:t>Cynergia</w:t>
            </w:r>
            <w:proofErr w:type="spellEnd"/>
            <w:r w:rsidRPr="00031B12">
              <w:t xml:space="preserve"> AB</w:t>
            </w:r>
          </w:p>
        </w:tc>
      </w:tr>
      <w:tr w:rsidR="00D31AA7" w:rsidTr="00D31AA7">
        <w:tc>
          <w:tcPr>
            <w:tcW w:w="1101" w:type="dxa"/>
          </w:tcPr>
          <w:p w:rsidR="00D31AA7" w:rsidRDefault="0063058B" w:rsidP="00D31AA7">
            <w:pPr>
              <w:pStyle w:val="Brdtext"/>
            </w:pPr>
            <w:r>
              <w:t>2.0.0RC_1</w:t>
            </w:r>
          </w:p>
        </w:tc>
        <w:tc>
          <w:tcPr>
            <w:tcW w:w="1842" w:type="dxa"/>
          </w:tcPr>
          <w:p w:rsidR="00D31AA7" w:rsidRDefault="009E2D2C" w:rsidP="00D31AA7">
            <w:pPr>
              <w:pStyle w:val="Brdtext"/>
            </w:pPr>
            <w:r>
              <w:t>2013-05-27</w:t>
            </w:r>
          </w:p>
        </w:tc>
        <w:tc>
          <w:tcPr>
            <w:tcW w:w="3261" w:type="dxa"/>
          </w:tcPr>
          <w:p w:rsidR="00D31AA7" w:rsidRDefault="005E278D" w:rsidP="00D31AA7">
            <w:pPr>
              <w:pStyle w:val="Brdtext"/>
            </w:pPr>
            <w:r>
              <w:t>Inga nya beslut</w:t>
            </w:r>
          </w:p>
        </w:tc>
        <w:tc>
          <w:tcPr>
            <w:tcW w:w="2440" w:type="dxa"/>
          </w:tcPr>
          <w:p w:rsidR="00D31AA7" w:rsidRDefault="005E278D" w:rsidP="00D31AA7">
            <w:pPr>
              <w:pStyle w:val="Brdtext"/>
            </w:pPr>
            <w:r>
              <w:t>Björn Genfors, Mawell</w:t>
            </w:r>
          </w:p>
        </w:tc>
      </w:tr>
      <w:tr w:rsidR="00271C01" w:rsidTr="00D31AA7">
        <w:tc>
          <w:tcPr>
            <w:tcW w:w="1101" w:type="dxa"/>
          </w:tcPr>
          <w:p w:rsidR="00271C01" w:rsidRDefault="00271C01" w:rsidP="00D31AA7">
            <w:pPr>
              <w:pStyle w:val="Brdtext"/>
            </w:pPr>
          </w:p>
        </w:tc>
        <w:tc>
          <w:tcPr>
            <w:tcW w:w="1842" w:type="dxa"/>
          </w:tcPr>
          <w:p w:rsidR="00271C01" w:rsidRDefault="00271C01" w:rsidP="00D31AA7">
            <w:pPr>
              <w:pStyle w:val="Brdtext"/>
            </w:pPr>
            <w:r>
              <w:t>2015-04-08</w:t>
            </w:r>
          </w:p>
        </w:tc>
        <w:tc>
          <w:tcPr>
            <w:tcW w:w="3261" w:type="dxa"/>
          </w:tcPr>
          <w:p w:rsidR="00271C01" w:rsidRDefault="00271C01" w:rsidP="00D31AA7">
            <w:pPr>
              <w:pStyle w:val="Brdtext"/>
            </w:pPr>
            <w:r>
              <w:t xml:space="preserve">Dokumentation av beslut att tillåta sökning på </w:t>
            </w:r>
            <w:proofErr w:type="spellStart"/>
            <w:r>
              <w:t>ordinationskedje</w:t>
            </w:r>
            <w:proofErr w:type="spellEnd"/>
            <w:r>
              <w:t>-id.</w:t>
            </w:r>
          </w:p>
        </w:tc>
        <w:tc>
          <w:tcPr>
            <w:tcW w:w="2440" w:type="dxa"/>
          </w:tcPr>
          <w:p w:rsidR="00271C01" w:rsidRDefault="00271C01" w:rsidP="00D31AA7">
            <w:pPr>
              <w:pStyle w:val="Brdtext"/>
            </w:pPr>
            <w:r>
              <w:t>Björn Genfors, Mawell</w:t>
            </w:r>
          </w:p>
        </w:tc>
      </w:tr>
    </w:tbl>
    <w:p w:rsidR="00D31AA7" w:rsidRDefault="00D31AA7" w:rsidP="0030019C">
      <w:pPr>
        <w:pStyle w:val="Brdtext"/>
        <w:rPr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394"/>
        <w:gridCol w:w="2552"/>
        <w:gridCol w:w="957"/>
      </w:tblGrid>
      <w:tr w:rsidR="00D31AA7" w:rsidTr="005E2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0" w:type="dxa"/>
            <w:gridSpan w:val="4"/>
          </w:tcPr>
          <w:p w:rsidR="00D31AA7" w:rsidRDefault="00D31AA7" w:rsidP="00D31AA7">
            <w:pPr>
              <w:pStyle w:val="Brdtext"/>
            </w:pPr>
            <w:r>
              <w:t>Referenser</w:t>
            </w:r>
          </w:p>
        </w:tc>
      </w:tr>
      <w:tr w:rsidR="00D31AA7" w:rsidTr="005E278D">
        <w:tc>
          <w:tcPr>
            <w:tcW w:w="817" w:type="dxa"/>
          </w:tcPr>
          <w:p w:rsidR="00D31AA7" w:rsidRDefault="00D31AA7" w:rsidP="00D31AA7">
            <w:pPr>
              <w:pStyle w:val="Brdtext"/>
            </w:pPr>
            <w:r>
              <w:t>Namn</w:t>
            </w:r>
          </w:p>
        </w:tc>
        <w:tc>
          <w:tcPr>
            <w:tcW w:w="4394" w:type="dxa"/>
          </w:tcPr>
          <w:p w:rsidR="00D31AA7" w:rsidRDefault="00D31AA7" w:rsidP="00D31AA7">
            <w:pPr>
              <w:pStyle w:val="Brdtext"/>
            </w:pPr>
            <w:r>
              <w:t>Dokument</w:t>
            </w:r>
          </w:p>
        </w:tc>
        <w:tc>
          <w:tcPr>
            <w:tcW w:w="2552" w:type="dxa"/>
          </w:tcPr>
          <w:p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957" w:type="dxa"/>
          </w:tcPr>
          <w:p w:rsidR="00D31AA7" w:rsidRDefault="00D31AA7" w:rsidP="00D31AA7">
            <w:pPr>
              <w:pStyle w:val="Brdtext"/>
            </w:pPr>
            <w:r>
              <w:t>Länk</w:t>
            </w:r>
          </w:p>
        </w:tc>
      </w:tr>
      <w:tr w:rsidR="00D31AA7" w:rsidTr="005E278D">
        <w:tc>
          <w:tcPr>
            <w:tcW w:w="817" w:type="dxa"/>
          </w:tcPr>
          <w:p w:rsidR="00D31AA7" w:rsidRDefault="00CA5524" w:rsidP="00D31AA7">
            <w:pPr>
              <w:pStyle w:val="Brdtext"/>
            </w:pPr>
            <w:r>
              <w:t>R1</w:t>
            </w:r>
          </w:p>
        </w:tc>
        <w:tc>
          <w:tcPr>
            <w:tcW w:w="4394" w:type="dxa"/>
          </w:tcPr>
          <w:p w:rsidR="00D31AA7" w:rsidRPr="005E278D" w:rsidRDefault="005E278D" w:rsidP="00D31AA7">
            <w:pPr>
              <w:pStyle w:val="Brdtext"/>
              <w:rPr>
                <w:lang w:val="en-US"/>
              </w:rPr>
            </w:pPr>
            <w:r w:rsidRPr="005E278D">
              <w:rPr>
                <w:lang w:val="en-US"/>
              </w:rPr>
              <w:t>TKB_clinicalprocess_activityprescrip</w:t>
            </w:r>
            <w:r w:rsidR="00AA33D2">
              <w:rPr>
                <w:lang w:val="en-US"/>
              </w:rPr>
              <w:t>tion_actoutcome</w:t>
            </w:r>
            <w:r w:rsidRPr="005E278D">
              <w:rPr>
                <w:lang w:val="en-US"/>
              </w:rPr>
              <w:t>.docx</w:t>
            </w:r>
          </w:p>
        </w:tc>
        <w:tc>
          <w:tcPr>
            <w:tcW w:w="2552" w:type="dxa"/>
          </w:tcPr>
          <w:p w:rsidR="00D31AA7" w:rsidRDefault="005E278D" w:rsidP="00D31AA7">
            <w:pPr>
              <w:pStyle w:val="Brdtext"/>
            </w:pPr>
            <w:r>
              <w:t xml:space="preserve">Tjänstekontraktsbeskrivning </w:t>
            </w:r>
            <w:r w:rsidR="00CA5524">
              <w:t>för aktuell domän</w:t>
            </w:r>
          </w:p>
        </w:tc>
        <w:tc>
          <w:tcPr>
            <w:tcW w:w="957" w:type="dxa"/>
          </w:tcPr>
          <w:p w:rsidR="00D31AA7" w:rsidRDefault="005E278D" w:rsidP="00D31AA7">
            <w:pPr>
              <w:pStyle w:val="Brdtext"/>
            </w:pPr>
            <w:r>
              <w:rPr>
                <w:color w:val="00A9A7" w:themeColor="accent1"/>
              </w:rPr>
              <w:t>Bilaga</w:t>
            </w:r>
          </w:p>
        </w:tc>
      </w:tr>
    </w:tbl>
    <w:p w:rsidR="0030019C" w:rsidRDefault="0030019C" w:rsidP="0030019C">
      <w:pPr>
        <w:pStyle w:val="Brdtext"/>
        <w:rPr>
          <w:lang w:eastAsia="sv-SE"/>
        </w:rPr>
      </w:pPr>
      <w:r>
        <w:rPr>
          <w:lang w:eastAsia="sv-SE"/>
        </w:rPr>
        <w:br w:type="page"/>
      </w:r>
    </w:p>
    <w:p w:rsidR="00CA5524" w:rsidRPr="00C62266" w:rsidRDefault="00CA5524" w:rsidP="00CA5524">
      <w:pPr>
        <w:pStyle w:val="Rubrik1Nr"/>
      </w:pPr>
      <w:bookmarkStart w:id="4" w:name="_Toc230936749"/>
      <w:bookmarkStart w:id="5" w:name="_Toc416280843"/>
      <w:bookmarkEnd w:id="1"/>
      <w:bookmarkEnd w:id="2"/>
      <w:bookmarkEnd w:id="3"/>
      <w:r w:rsidRPr="00C62266">
        <w:lastRenderedPageBreak/>
        <w:t>Inledning</w:t>
      </w:r>
      <w:bookmarkEnd w:id="4"/>
      <w:bookmarkEnd w:id="5"/>
    </w:p>
    <w:p w:rsidR="00CA5524" w:rsidRDefault="00CA5524" w:rsidP="00CA5524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</w:p>
    <w:p w:rsidR="00CA5524" w:rsidRDefault="00CA5524" w:rsidP="00CA5524">
      <w:pPr>
        <w:pStyle w:val="Brd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  <w:r w:rsidR="005E278D">
        <w:t xml:space="preserve"> </w:t>
      </w:r>
    </w:p>
    <w:p w:rsidR="00CA5524" w:rsidRDefault="00CA5524" w:rsidP="00CA5524">
      <w:pPr>
        <w:rPr>
          <w:b/>
        </w:rPr>
      </w:pPr>
    </w:p>
    <w:p w:rsidR="00CA5524" w:rsidRPr="00CA5524" w:rsidRDefault="00CA5524" w:rsidP="00CA5524">
      <w:pPr>
        <w:pStyle w:val="Rubrik2Nr"/>
      </w:pPr>
      <w:bookmarkStart w:id="6" w:name="_Toc264866304"/>
      <w:bookmarkStart w:id="7" w:name="_Toc185913452"/>
      <w:bookmarkStart w:id="8" w:name="_Toc230936750"/>
      <w:bookmarkStart w:id="9" w:name="_Toc416280844"/>
      <w:r w:rsidRPr="00CA5524">
        <w:t>Syfte</w:t>
      </w:r>
      <w:bookmarkEnd w:id="6"/>
      <w:bookmarkEnd w:id="7"/>
      <w:bookmarkEnd w:id="8"/>
      <w:bookmarkEnd w:id="9"/>
    </w:p>
    <w:p w:rsidR="00CA5524" w:rsidRDefault="00CA5524" w:rsidP="00CA5524">
      <w:pPr>
        <w:pStyle w:val="Brdtext"/>
      </w:pPr>
      <w:r>
        <w:t>Syftet med detta dokument:</w:t>
      </w:r>
    </w:p>
    <w:p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 xml:space="preserve">Etablera en enda plats där alla viktiga </w:t>
      </w:r>
      <w:proofErr w:type="spellStart"/>
      <w:r>
        <w:t>arkitekturella</w:t>
      </w:r>
      <w:proofErr w:type="spellEnd"/>
      <w:r>
        <w:t xml:space="preserve"> beslut samlas</w:t>
      </w:r>
    </w:p>
    <w:p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:rsidR="00CA5524" w:rsidRPr="00CC0C21" w:rsidRDefault="00CA5524" w:rsidP="00CA5524">
      <w:pPr>
        <w:pStyle w:val="Rubrik2Nr"/>
      </w:pPr>
      <w:bookmarkStart w:id="10" w:name="_Toc230936751"/>
      <w:bookmarkStart w:id="11" w:name="_Toc416280845"/>
      <w:r w:rsidRPr="00C929AE">
        <w:t>Begrepp</w:t>
      </w:r>
      <w:bookmarkEnd w:id="10"/>
      <w:bookmarkEnd w:id="11"/>
    </w:p>
    <w:p w:rsidR="00CA5524" w:rsidRDefault="00CA5524" w:rsidP="00CA5524">
      <w:pPr>
        <w:pStyle w:val="Brdtext"/>
      </w:pPr>
      <w:r>
        <w:t xml:space="preserve">I texten relateras till följande begrepp, vilka man läsa mer om enligt hänvisningarna. </w:t>
      </w:r>
    </w:p>
    <w:p w:rsidR="00CA5524" w:rsidRDefault="00CA5524" w:rsidP="00CA5524">
      <w:pPr>
        <w:pStyle w:val="Brd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:rsidTr="000F3EA6">
        <w:trPr>
          <w:trHeight w:val="338"/>
        </w:trPr>
        <w:tc>
          <w:tcPr>
            <w:tcW w:w="1572" w:type="dxa"/>
          </w:tcPr>
          <w:p w:rsidR="00CA5524" w:rsidRPr="00CC0C21" w:rsidRDefault="00CA5524" w:rsidP="000F3EA6">
            <w:pPr>
              <w:pStyle w:val="Brd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:rsidR="00CA5524" w:rsidRPr="00CC0C21" w:rsidRDefault="00CA5524" w:rsidP="000F3EA6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:rsidR="00CA5524" w:rsidRPr="00CC0C21" w:rsidRDefault="00CA5524" w:rsidP="000F3EA6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:rsidTr="000F3EA6">
        <w:trPr>
          <w:trHeight w:val="351"/>
        </w:trPr>
        <w:tc>
          <w:tcPr>
            <w:tcW w:w="1572" w:type="dxa"/>
          </w:tcPr>
          <w:p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Pr="006478D5" w:rsidRDefault="00CA5524" w:rsidP="000F3EA6">
            <w:pPr>
              <w:pStyle w:val="Brdtext"/>
              <w:snapToGrid w:val="0"/>
            </w:pPr>
          </w:p>
        </w:tc>
      </w:tr>
      <w:tr w:rsidR="00CA5524" w:rsidTr="000F3EA6">
        <w:trPr>
          <w:trHeight w:val="338"/>
        </w:trPr>
        <w:tc>
          <w:tcPr>
            <w:tcW w:w="1572" w:type="dxa"/>
          </w:tcPr>
          <w:p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</w:tbl>
    <w:p w:rsidR="00CA5524" w:rsidRDefault="00CA5524" w:rsidP="00CA5524">
      <w:pPr>
        <w:pStyle w:val="Brdtext"/>
      </w:pPr>
    </w:p>
    <w:p w:rsidR="00CA5524" w:rsidRDefault="00CA5524" w:rsidP="00CA5524">
      <w:r>
        <w:br w:type="page"/>
      </w:r>
    </w:p>
    <w:p w:rsidR="00CA5524" w:rsidRPr="008007C3" w:rsidRDefault="00CA5524" w:rsidP="00CA5524">
      <w:pPr>
        <w:pStyle w:val="Rubrik1Nr"/>
      </w:pPr>
      <w:bookmarkStart w:id="12" w:name="_Toc264866307"/>
      <w:bookmarkStart w:id="13" w:name="_Toc185913455"/>
      <w:bookmarkStart w:id="14" w:name="_Toc230936752"/>
      <w:bookmarkStart w:id="15" w:name="_Toc416280846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12"/>
      <w:bookmarkEnd w:id="13"/>
      <w:bookmarkEnd w:id="14"/>
      <w:bookmarkEnd w:id="15"/>
    </w:p>
    <w:p w:rsidR="00CA5524" w:rsidRPr="00DE35C6" w:rsidRDefault="00CA5524" w:rsidP="00CA5524">
      <w:pPr>
        <w:pStyle w:val="Rubrik2Nr"/>
      </w:pPr>
      <w:bookmarkStart w:id="16" w:name="_Toc230936753"/>
      <w:bookmarkStart w:id="17" w:name="_Toc185913456"/>
      <w:bookmarkStart w:id="18" w:name="_Toc416280847"/>
      <w:r>
        <w:t>AB</w:t>
      </w:r>
      <w:r w:rsidRPr="00DE35C6">
        <w:t xml:space="preserve">: </w:t>
      </w:r>
      <w:bookmarkEnd w:id="16"/>
      <w:bookmarkEnd w:id="17"/>
      <w:r w:rsidR="00DD1F9C" w:rsidRPr="00967068">
        <w:t xml:space="preserve">Beslut om </w:t>
      </w:r>
      <w:r w:rsidR="006A2407">
        <w:t xml:space="preserve">sökparametrar </w:t>
      </w:r>
      <w:r w:rsidR="00FE515C">
        <w:t xml:space="preserve">i </w:t>
      </w:r>
      <w:proofErr w:type="spellStart"/>
      <w:r w:rsidR="00FE515C">
        <w:t>GetMedicationHistory</w:t>
      </w:r>
      <w:proofErr w:type="spellEnd"/>
      <w:r w:rsidR="00FE515C">
        <w:t xml:space="preserve"> </w:t>
      </w:r>
      <w:r w:rsidR="006A2407">
        <w:t xml:space="preserve">– </w:t>
      </w:r>
      <w:proofErr w:type="spellStart"/>
      <w:r w:rsidR="006A2407">
        <w:t>id:n</w:t>
      </w:r>
      <w:bookmarkEnd w:id="18"/>
      <w:proofErr w:type="spellEnd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A5524" w:rsidTr="000F3EA6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Default="00CA5524" w:rsidP="000F3EA6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CA5524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Default="00FE515C" w:rsidP="0009648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</w:rPr>
              <w:t xml:space="preserve">I tjänstekontrakten inom </w:t>
            </w:r>
            <w:r>
              <w:rPr>
                <w:color w:val="00A9A7" w:themeColor="accent1"/>
              </w:rPr>
              <w:t>Journal och läkemedel (</w:t>
            </w:r>
            <w:proofErr w:type="spellStart"/>
            <w:r>
              <w:rPr>
                <w:color w:val="00A9A7" w:themeColor="accent1"/>
              </w:rPr>
              <w:t>JoL</w:t>
            </w:r>
            <w:proofErr w:type="spellEnd"/>
            <w:r>
              <w:rPr>
                <w:color w:val="00A9A7" w:themeColor="accent1"/>
              </w:rPr>
              <w:t>)</w:t>
            </w:r>
            <w:r>
              <w:rPr>
                <w:color w:val="00A9A7" w:themeColor="accent1"/>
              </w:rPr>
              <w:t xml:space="preserve"> finns som regel inte möjlighet att söka efter enskilda dokument med dokumentets id. Inom Nationell ordinationsdatabas (NOD) som handskas med läkemedelsinformation, och som är en tänkt framtida producent av kontraktet </w:t>
            </w:r>
            <w:proofErr w:type="spellStart"/>
            <w:r>
              <w:rPr>
                <w:color w:val="00A9A7" w:themeColor="accent1"/>
              </w:rPr>
              <w:t>GetMedicationHistory</w:t>
            </w:r>
            <w:proofErr w:type="spellEnd"/>
            <w:r>
              <w:rPr>
                <w:color w:val="00A9A7" w:themeColor="accent1"/>
              </w:rPr>
              <w:t xml:space="preserve"> har man dock identifierat </w:t>
            </w:r>
            <w:r w:rsidR="00096486">
              <w:rPr>
                <w:color w:val="00A9A7" w:themeColor="accent1"/>
              </w:rPr>
              <w:t>fäljande huvudsakligaanvändningsfall:</w:t>
            </w:r>
          </w:p>
          <w:p w:rsidR="00096486" w:rsidRDefault="00096486" w:rsidP="00096486">
            <w:pPr>
              <w:pStyle w:val="PontusSvar"/>
              <w:numPr>
                <w:ilvl w:val="0"/>
                <w:numId w:val="33"/>
              </w:numPr>
              <w:snapToGrid w:val="0"/>
              <w:rPr>
                <w:color w:val="00A9A7" w:themeColor="accent1"/>
              </w:rPr>
            </w:pPr>
            <w:r>
              <w:rPr>
                <w:color w:val="00A9A7" w:themeColor="accent1"/>
              </w:rPr>
              <w:t>Att läsa den ”aktuella läkemedelslistan”, och därtill hörande nyligt avslutade behandlingar. I detta fall är filtrering på status och tidsintervall mest intressant.</w:t>
            </w:r>
          </w:p>
          <w:p w:rsidR="00096486" w:rsidRPr="001E472A" w:rsidRDefault="00096486" w:rsidP="00096486">
            <w:pPr>
              <w:pStyle w:val="PontusSvar"/>
              <w:numPr>
                <w:ilvl w:val="0"/>
                <w:numId w:val="33"/>
              </w:numPr>
              <w:snapToGrid w:val="0"/>
              <w:rPr>
                <w:color w:val="00A9A7" w:themeColor="accent1"/>
              </w:rPr>
            </w:pPr>
            <w:r>
              <w:rPr>
                <w:color w:val="00A9A7" w:themeColor="accent1"/>
              </w:rPr>
              <w:t xml:space="preserve">Att kunna se historiken för en viss läkemedelsbehandling (”att se ordinationskedjan”). I detta fall är filtrering på </w:t>
            </w:r>
            <w:proofErr w:type="spellStart"/>
            <w:r>
              <w:rPr>
                <w:color w:val="00A9A7" w:themeColor="accent1"/>
              </w:rPr>
              <w:t>ordinationskedje</w:t>
            </w:r>
            <w:proofErr w:type="spellEnd"/>
            <w:r>
              <w:rPr>
                <w:color w:val="00A9A7" w:themeColor="accent1"/>
              </w:rPr>
              <w:t>-id mest relevant.</w:t>
            </w:r>
          </w:p>
        </w:tc>
      </w:tr>
      <w:tr w:rsidR="00CA5524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FE515C" w:rsidP="0009648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 xml:space="preserve">Det är viktigt att </w:t>
            </w:r>
            <w:r w:rsidR="00096486">
              <w:rPr>
                <w:color w:val="00A9A7" w:themeColor="accent1"/>
                <w:sz w:val="22"/>
              </w:rPr>
              <w:t>vara</w:t>
            </w:r>
            <w:r>
              <w:rPr>
                <w:color w:val="00A9A7" w:themeColor="accent1"/>
                <w:sz w:val="22"/>
              </w:rPr>
              <w:t xml:space="preserve"> pragmatisk.</w:t>
            </w:r>
          </w:p>
        </w:tc>
      </w:tr>
      <w:tr w:rsidR="00CA5524" w:rsidRPr="00736758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:rsidR="00CA5524" w:rsidRDefault="00CA5524" w:rsidP="000F3EA6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6A2407" w:rsidP="0009648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</w:rPr>
              <w:t xml:space="preserve">Sökparametrarna </w:t>
            </w:r>
            <w:r w:rsidR="00FE515C">
              <w:rPr>
                <w:color w:val="00A9A7" w:themeColor="accent1"/>
              </w:rPr>
              <w:t>bestämmer det urval m</w:t>
            </w:r>
            <w:r w:rsidR="00096486">
              <w:rPr>
                <w:color w:val="00A9A7" w:themeColor="accent1"/>
              </w:rPr>
              <w:t>an kan få fram vid en förfrågan, och underlättar implementation av viktiga användningsfall för en informationskonsument.</w:t>
            </w:r>
          </w:p>
        </w:tc>
      </w:tr>
      <w:tr w:rsidR="006A2407" w:rsidTr="00864C1B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6A2407" w:rsidRDefault="006A2407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2407" w:rsidRPr="00472837" w:rsidRDefault="006A2407" w:rsidP="000F3EA6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407" w:rsidRPr="00DD1F9C" w:rsidRDefault="006A2407" w:rsidP="00DD1F9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Inte tillåta sökning på id</w:t>
            </w:r>
          </w:p>
        </w:tc>
      </w:tr>
      <w:tr w:rsidR="006A2407" w:rsidTr="00864C1B">
        <w:trPr>
          <w:cantSplit/>
          <w:trHeight w:val="761"/>
        </w:trPr>
        <w:tc>
          <w:tcPr>
            <w:tcW w:w="2388" w:type="dxa"/>
            <w:vMerge/>
            <w:tcBorders>
              <w:left w:val="single" w:sz="4" w:space="0" w:color="000000"/>
            </w:tcBorders>
          </w:tcPr>
          <w:p w:rsidR="006A2407" w:rsidRDefault="006A2407" w:rsidP="000F3EA6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2407" w:rsidRPr="00472837" w:rsidRDefault="006A2407" w:rsidP="000F3EA6">
            <w:pPr>
              <w:pStyle w:val="TableText"/>
              <w:snapToGrid w:val="0"/>
              <w:rPr>
                <w:lang w:val="sv-SE"/>
              </w:rPr>
            </w:pP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407" w:rsidRPr="001E472A" w:rsidRDefault="006A2407" w:rsidP="00FE515C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sz w:val="20"/>
                <w:lang w:val="sv-SE"/>
              </w:rPr>
              <w:t xml:space="preserve">I enlighet med andra tjänstekontrakt inom </w:t>
            </w:r>
            <w:proofErr w:type="spellStart"/>
            <w:r>
              <w:rPr>
                <w:color w:val="00A9A7" w:themeColor="accent1"/>
                <w:sz w:val="20"/>
                <w:lang w:val="sv-SE"/>
              </w:rPr>
              <w:t>JoL</w:t>
            </w:r>
            <w:proofErr w:type="spellEnd"/>
            <w:r>
              <w:rPr>
                <w:color w:val="00A9A7" w:themeColor="accent1"/>
                <w:sz w:val="20"/>
                <w:lang w:val="sv-SE"/>
              </w:rPr>
              <w:t xml:space="preserve"> inte tillåta sökning på enskilda ordinationer (”dokument”).</w:t>
            </w:r>
          </w:p>
        </w:tc>
      </w:tr>
      <w:tr w:rsidR="006A2407" w:rsidTr="00864C1B">
        <w:trPr>
          <w:cantSplit/>
          <w:trHeight w:val="286"/>
        </w:trPr>
        <w:tc>
          <w:tcPr>
            <w:tcW w:w="2388" w:type="dxa"/>
            <w:vMerge/>
            <w:tcBorders>
              <w:left w:val="single" w:sz="4" w:space="0" w:color="000000"/>
            </w:tcBorders>
          </w:tcPr>
          <w:p w:rsidR="006A2407" w:rsidRDefault="006A2407" w:rsidP="000F3EA6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2407" w:rsidRPr="00472837" w:rsidRDefault="006A2407" w:rsidP="000F3EA6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407" w:rsidRPr="001E472A" w:rsidRDefault="006A2407" w:rsidP="006A2407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 xml:space="preserve">Tillåta sökning på </w:t>
            </w:r>
            <w:proofErr w:type="spellStart"/>
            <w:r>
              <w:rPr>
                <w:b/>
                <w:bCs/>
                <w:smallCaps/>
                <w:lang w:val="sv-SE"/>
              </w:rPr>
              <w:t>ordinationskedje</w:t>
            </w:r>
            <w:proofErr w:type="spellEnd"/>
            <w:r>
              <w:rPr>
                <w:b/>
                <w:bCs/>
                <w:smallCaps/>
                <w:lang w:val="sv-SE"/>
              </w:rPr>
              <w:t>-id – och få tillbaka alla ordinationer i kedjan</w:t>
            </w:r>
          </w:p>
        </w:tc>
      </w:tr>
      <w:tr w:rsidR="006A2407" w:rsidTr="00064051">
        <w:trPr>
          <w:cantSplit/>
          <w:trHeight w:val="761"/>
        </w:trPr>
        <w:tc>
          <w:tcPr>
            <w:tcW w:w="2388" w:type="dxa"/>
            <w:vMerge/>
            <w:tcBorders>
              <w:left w:val="single" w:sz="4" w:space="0" w:color="000000"/>
            </w:tcBorders>
          </w:tcPr>
          <w:p w:rsidR="006A2407" w:rsidRDefault="006A2407" w:rsidP="000F3EA6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2407" w:rsidRPr="00472837" w:rsidRDefault="006A2407" w:rsidP="000F3EA6">
            <w:pPr>
              <w:pStyle w:val="TableText"/>
              <w:snapToGrid w:val="0"/>
              <w:rPr>
                <w:lang w:val="sv-SE"/>
              </w:rPr>
            </w:pP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407" w:rsidRPr="001E472A" w:rsidRDefault="00FE515C" w:rsidP="000F3EA6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sz w:val="20"/>
                <w:lang w:val="sv-SE"/>
              </w:rPr>
              <w:t>Att tillåta sökning på hela ordinationskedjor i taget, och därmed få tillbaka alla ordinationer i kedjan, aktiva såväl som inaktiva (inte längre gällande).</w:t>
            </w:r>
          </w:p>
        </w:tc>
      </w:tr>
      <w:tr w:rsidR="00CA5524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096486" w:rsidP="000F3EA6">
            <w:pPr>
              <w:pStyle w:val="Brdtext"/>
              <w:rPr>
                <w:rFonts w:ascii="Arial" w:hAnsi="Arial" w:cs="Arial"/>
                <w:color w:val="00A9A7" w:themeColor="accent1"/>
              </w:rPr>
            </w:pPr>
            <w:r>
              <w:rPr>
                <w:b/>
                <w:bCs/>
                <w:smallCaps/>
              </w:rPr>
              <w:t>Alternativ 2</w:t>
            </w:r>
          </w:p>
        </w:tc>
      </w:tr>
      <w:tr w:rsidR="00CA5524" w:rsidRPr="00736758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6A2407" w:rsidP="006A2407">
            <w:pPr>
              <w:pStyle w:val="Brdtext"/>
              <w:rPr>
                <w:color w:val="00A9A7" w:themeColor="accent1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För att uppnå en konsekvent hantering av sökning på id-begrepp synkas lösningen med NOD</w:t>
            </w:r>
            <w:r w:rsidR="00096486">
              <w:rPr>
                <w:rFonts w:ascii="Arial" w:hAnsi="Arial"/>
                <w:color w:val="00A9A7" w:themeColor="accent1"/>
                <w:szCs w:val="20"/>
                <w:lang w:eastAsia="ar-SA"/>
              </w:rPr>
              <w:t>. Denna lösning stöder då de viktigaste identifierade användningsfallen.</w:t>
            </w:r>
          </w:p>
        </w:tc>
      </w:tr>
      <w:tr w:rsidR="00CA5524" w:rsidRPr="00736758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DE209B" w:rsidP="00DE209B">
            <w:pPr>
              <w:pStyle w:val="Brdtext"/>
              <w:rPr>
                <w:color w:val="00A9A7" w:themeColor="accent1"/>
                <w:sz w:val="20"/>
                <w:szCs w:val="20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 xml:space="preserve">Följden av beslutet blir en viss diskrepans från andra </w:t>
            </w:r>
            <w:proofErr w:type="spellStart"/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JoL</w:t>
            </w:r>
            <w:proofErr w:type="spellEnd"/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-tjänstekontrakt vad avser sökparametrar.</w:t>
            </w:r>
          </w:p>
        </w:tc>
      </w:tr>
      <w:tr w:rsidR="00CA5524" w:rsidRPr="00FC118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DD1F9C" w:rsidP="000F3EA6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sz w:val="20"/>
                <w:lang w:val="sv-SE"/>
              </w:rPr>
              <w:t>-</w:t>
            </w:r>
          </w:p>
        </w:tc>
      </w:tr>
    </w:tbl>
    <w:p w:rsidR="00BE01E5" w:rsidRDefault="00BE01E5" w:rsidP="00CA5524">
      <w:pPr>
        <w:pStyle w:val="Brdtext"/>
      </w:pPr>
    </w:p>
    <w:p w:rsidR="00DD1F9C" w:rsidRDefault="00DD1F9C" w:rsidP="00DD1F9C">
      <w:pPr>
        <w:rPr>
          <w:bCs/>
          <w:sz w:val="24"/>
          <w:szCs w:val="26"/>
        </w:rPr>
      </w:pPr>
    </w:p>
    <w:p w:rsidR="00DD1F9C" w:rsidRPr="00DD1F9C" w:rsidRDefault="00DD1F9C" w:rsidP="00DD1F9C">
      <w:pPr>
        <w:rPr>
          <w:sz w:val="24"/>
          <w:szCs w:val="26"/>
        </w:rPr>
      </w:pPr>
    </w:p>
    <w:p w:rsidR="00DD1F9C" w:rsidRPr="00DD1F9C" w:rsidRDefault="00DD1F9C" w:rsidP="00DD1F9C">
      <w:pPr>
        <w:rPr>
          <w:sz w:val="24"/>
          <w:szCs w:val="26"/>
        </w:rPr>
      </w:pPr>
    </w:p>
    <w:p w:rsidR="00DD1F9C" w:rsidRPr="00DD1F9C" w:rsidRDefault="00DD1F9C" w:rsidP="00DD1F9C">
      <w:pPr>
        <w:rPr>
          <w:sz w:val="24"/>
          <w:szCs w:val="26"/>
        </w:rPr>
      </w:pPr>
    </w:p>
    <w:p w:rsidR="00DD1F9C" w:rsidRPr="00DD1F9C" w:rsidRDefault="00DD1F9C" w:rsidP="00DD1F9C">
      <w:pPr>
        <w:rPr>
          <w:sz w:val="24"/>
          <w:szCs w:val="26"/>
        </w:rPr>
      </w:pPr>
    </w:p>
    <w:p w:rsidR="00DD1F9C" w:rsidRPr="00DD1F9C" w:rsidRDefault="00DD1F9C" w:rsidP="00DD1F9C">
      <w:pPr>
        <w:rPr>
          <w:sz w:val="24"/>
          <w:szCs w:val="26"/>
        </w:rPr>
      </w:pPr>
    </w:p>
    <w:p w:rsidR="00DD1F9C" w:rsidRDefault="00DD1F9C" w:rsidP="00DD1F9C">
      <w:pPr>
        <w:rPr>
          <w:sz w:val="24"/>
          <w:szCs w:val="26"/>
        </w:rPr>
      </w:pPr>
    </w:p>
    <w:p w:rsidR="00DD1F9C" w:rsidRDefault="00DD1F9C" w:rsidP="00DD1F9C">
      <w:pPr>
        <w:rPr>
          <w:sz w:val="24"/>
          <w:szCs w:val="26"/>
        </w:rPr>
      </w:pPr>
    </w:p>
    <w:p w:rsidR="004D2F92" w:rsidRPr="00DD1F9C" w:rsidRDefault="00DD1F9C" w:rsidP="00DD1F9C">
      <w:pPr>
        <w:tabs>
          <w:tab w:val="left" w:pos="6805"/>
        </w:tabs>
        <w:rPr>
          <w:sz w:val="24"/>
          <w:szCs w:val="26"/>
        </w:rPr>
      </w:pPr>
      <w:r>
        <w:rPr>
          <w:sz w:val="24"/>
          <w:szCs w:val="26"/>
        </w:rPr>
        <w:tab/>
      </w:r>
    </w:p>
    <w:sectPr w:rsidR="004D2F92" w:rsidRPr="00DD1F9C" w:rsidSect="001F54EF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A2C" w:rsidRDefault="00957A2C" w:rsidP="00C15048">
      <w:r>
        <w:separator/>
      </w:r>
    </w:p>
    <w:p w:rsidR="00957A2C" w:rsidRDefault="00957A2C" w:rsidP="00C15048"/>
    <w:p w:rsidR="00957A2C" w:rsidRDefault="00957A2C" w:rsidP="00C15048"/>
  </w:endnote>
  <w:endnote w:type="continuationSeparator" w:id="0">
    <w:p w:rsidR="00957A2C" w:rsidRDefault="00957A2C" w:rsidP="00C15048">
      <w:r>
        <w:continuationSeparator/>
      </w:r>
    </w:p>
    <w:p w:rsidR="00957A2C" w:rsidRDefault="00957A2C" w:rsidP="00C15048"/>
    <w:p w:rsidR="00957A2C" w:rsidRDefault="00957A2C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:rsidTr="00B16F63">
      <w:trPr>
        <w:trHeight w:val="629"/>
      </w:trPr>
      <w:tc>
        <w:tcPr>
          <w:tcW w:w="1702" w:type="dxa"/>
        </w:tcPr>
        <w:p w:rsidR="00D31AA7" w:rsidRPr="004A7C1C" w:rsidRDefault="00D31AA7" w:rsidP="00C15048">
          <w:pPr>
            <w:pStyle w:val="Sidfot"/>
          </w:pPr>
          <w:r w:rsidRPr="004A7C1C">
            <w:t>Inera AB</w:t>
          </w:r>
        </w:p>
      </w:tc>
      <w:tc>
        <w:tcPr>
          <w:tcW w:w="2384" w:type="dxa"/>
        </w:tcPr>
        <w:p w:rsidR="00D31AA7" w:rsidRPr="004A7C1C" w:rsidRDefault="00D31AA7" w:rsidP="00C15048">
          <w:pPr>
            <w:pStyle w:val="Sidfot"/>
          </w:pPr>
          <w:r w:rsidRPr="004A7C1C">
            <w:t>Box 177 03</w:t>
          </w:r>
        </w:p>
        <w:p w:rsidR="00D31AA7" w:rsidRPr="004A7C1C" w:rsidRDefault="00D31AA7" w:rsidP="00C15048">
          <w:pPr>
            <w:pStyle w:val="Sidfot"/>
          </w:pPr>
          <w:r w:rsidRPr="004A7C1C">
            <w:t>Östgötagatan 12</w:t>
          </w:r>
        </w:p>
        <w:p w:rsidR="00D31AA7" w:rsidRPr="004A7C1C" w:rsidRDefault="00D31AA7" w:rsidP="00C15048">
          <w:pPr>
            <w:pStyle w:val="Sidfot"/>
          </w:pPr>
          <w:r w:rsidRPr="004A7C1C">
            <w:t>118 93 Stockholm</w:t>
          </w:r>
        </w:p>
      </w:tc>
      <w:tc>
        <w:tcPr>
          <w:tcW w:w="2293" w:type="dxa"/>
        </w:tcPr>
        <w:p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:rsidR="00D31AA7" w:rsidRPr="004A7C1C" w:rsidRDefault="00D31AA7" w:rsidP="00C15048">
          <w:pPr>
            <w:pStyle w:val="Sidfot"/>
          </w:pPr>
          <w:r w:rsidRPr="004A7C1C">
            <w:t>Organisationsnummer</w:t>
          </w:r>
        </w:p>
        <w:p w:rsidR="00D31AA7" w:rsidRPr="004A7C1C" w:rsidRDefault="00D31AA7" w:rsidP="00C15048">
          <w:pPr>
            <w:pStyle w:val="Sidfot"/>
          </w:pPr>
          <w:r w:rsidRPr="004A7C1C">
            <w:t>556559-4230</w:t>
          </w:r>
        </w:p>
        <w:p w:rsidR="00D31AA7" w:rsidRPr="004A7C1C" w:rsidRDefault="00D31AA7" w:rsidP="00C15048">
          <w:pPr>
            <w:pStyle w:val="Sidfot"/>
          </w:pPr>
        </w:p>
      </w:tc>
      <w:tc>
        <w:tcPr>
          <w:tcW w:w="1134" w:type="dxa"/>
        </w:tcPr>
        <w:p w:rsidR="00D31AA7" w:rsidRPr="004A7C1C" w:rsidRDefault="00D31AA7" w:rsidP="00C15048">
          <w:pPr>
            <w:pStyle w:val="Sidfot"/>
            <w:rPr>
              <w:rStyle w:val="Sidnummer"/>
            </w:rPr>
          </w:pPr>
          <w:r w:rsidRPr="004A7C1C">
            <w:t xml:space="preserve"> </w:t>
          </w:r>
          <w:r w:rsidRPr="004A7C1C">
            <w:rPr>
              <w:rStyle w:val="Sidnummer"/>
            </w:rPr>
            <w:t xml:space="preserve">Sid 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PAGE </w:instrText>
          </w:r>
          <w:r w:rsidRPr="004A7C1C">
            <w:rPr>
              <w:rStyle w:val="Sidnummer"/>
            </w:rPr>
            <w:fldChar w:fldCharType="separate"/>
          </w:r>
          <w:r w:rsidR="003A7B9F">
            <w:rPr>
              <w:rStyle w:val="Sidnummer"/>
              <w:noProof/>
            </w:rPr>
            <w:t>5</w:t>
          </w:r>
          <w:r w:rsidRPr="004A7C1C">
            <w:rPr>
              <w:rStyle w:val="Sidnummer"/>
            </w:rPr>
            <w:fldChar w:fldCharType="end"/>
          </w:r>
          <w:r w:rsidRPr="004A7C1C">
            <w:rPr>
              <w:rStyle w:val="Sidnummer"/>
            </w:rPr>
            <w:t>/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NUMPAGES </w:instrText>
          </w:r>
          <w:r w:rsidRPr="004A7C1C">
            <w:rPr>
              <w:rStyle w:val="Sidnummer"/>
            </w:rPr>
            <w:fldChar w:fldCharType="separate"/>
          </w:r>
          <w:r w:rsidR="003A7B9F">
            <w:rPr>
              <w:rStyle w:val="Sidnummer"/>
              <w:noProof/>
            </w:rPr>
            <w:t>6</w:t>
          </w:r>
          <w:r w:rsidRPr="004A7C1C">
            <w:rPr>
              <w:rStyle w:val="Sidnummer"/>
            </w:rPr>
            <w:fldChar w:fldCharType="end"/>
          </w:r>
        </w:p>
      </w:tc>
    </w:tr>
  </w:tbl>
  <w:p w:rsidR="00D31AA7" w:rsidRPr="004A7C1C" w:rsidRDefault="00D31AA7" w:rsidP="00C15048"/>
  <w:p w:rsidR="00D31AA7" w:rsidRPr="004A7C1C" w:rsidRDefault="00D31AA7" w:rsidP="00C1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A2C" w:rsidRDefault="00957A2C" w:rsidP="00C15048">
      <w:r>
        <w:separator/>
      </w:r>
    </w:p>
    <w:p w:rsidR="00957A2C" w:rsidRDefault="00957A2C" w:rsidP="00C15048"/>
    <w:p w:rsidR="00957A2C" w:rsidRDefault="00957A2C" w:rsidP="00C15048"/>
  </w:footnote>
  <w:footnote w:type="continuationSeparator" w:id="0">
    <w:p w:rsidR="00957A2C" w:rsidRDefault="00957A2C" w:rsidP="00C15048">
      <w:r>
        <w:continuationSeparator/>
      </w:r>
    </w:p>
    <w:p w:rsidR="00957A2C" w:rsidRDefault="00957A2C" w:rsidP="00C15048"/>
    <w:p w:rsidR="00957A2C" w:rsidRDefault="00957A2C" w:rsidP="00C1504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AA7" w:rsidRDefault="00D31AA7" w:rsidP="00C15048"/>
  <w:p w:rsidR="00D31AA7" w:rsidRDefault="00D31AA7" w:rsidP="00C1504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:rsidR="00D31AA7" w:rsidRPr="00333716" w:rsidRDefault="00D31AA7" w:rsidP="00C15048">
          <w:pPr>
            <w:pStyle w:val="Sidfot"/>
          </w:pPr>
        </w:p>
      </w:tc>
      <w:tc>
        <w:tcPr>
          <w:tcW w:w="3970" w:type="dxa"/>
          <w:tcBorders>
            <w:top w:val="nil"/>
            <w:bottom w:val="nil"/>
          </w:tcBorders>
        </w:tcPr>
        <w:p w:rsidR="00D31AA7" w:rsidRPr="001F54EF" w:rsidRDefault="003A7B9F" w:rsidP="002D2879">
          <w:pPr>
            <w:pStyle w:val="Sidfot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DD1F9C">
            <w:rPr>
              <w:noProof/>
            </w:rPr>
            <w:t>Arkitekturella beslut - mall 1.3.docx</w:t>
          </w:r>
          <w:r>
            <w:rPr>
              <w:noProof/>
            </w:rPr>
            <w:fldChar w:fldCharType="end"/>
          </w:r>
          <w:r w:rsidR="00D31AA7">
            <w:rPr>
              <w:noProof/>
            </w:rPr>
            <w:t xml:space="preserve"> </w:t>
          </w:r>
          <w:r w:rsidR="00D31AA7">
            <w:rPr>
              <w:noProof/>
            </w:rPr>
            <w:br/>
          </w:r>
          <w:sdt>
            <w:sdtPr>
              <w:alias w:val="Version"/>
              <w:tag w:val="Version"/>
              <w:id w:val="189648794"/>
              <w:temporary/>
              <w:showingPlcHdr/>
              <w:text/>
            </w:sdtPr>
            <w:sdtEndPr/>
            <w:sdtContent>
              <w:r w:rsidR="00D31AA7" w:rsidRPr="00E6091D">
                <w:t>Version: X.X</w:t>
              </w:r>
            </w:sdtContent>
          </w:sdt>
          <w:r w:rsidR="00D31AA7" w:rsidRPr="00E6091D">
            <w:t xml:space="preserve"> </w:t>
          </w:r>
          <w:r w:rsidR="00D31AA7">
            <w:t xml:space="preserve"> </w:t>
          </w:r>
          <w:r w:rsidR="00D31AA7">
            <w:br/>
          </w:r>
          <w:sdt>
            <w:sdtPr>
              <w:alias w:val="Diarienummer"/>
              <w:tag w:val="Diarienummer"/>
              <w:id w:val="-1384937292"/>
              <w:temporary/>
              <w:showingPlcHdr/>
              <w:text/>
            </w:sdtPr>
            <w:sdtEndPr/>
            <w:sdtContent>
              <w:r w:rsidR="00D31AA7">
                <w:t>Diarienummer: XXX</w:t>
              </w:r>
              <w:r w:rsidR="00D31AA7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:rsidR="00D31AA7" w:rsidRPr="00E6091D" w:rsidRDefault="003A7B9F" w:rsidP="00E6091D">
          <w:pPr>
            <w:pStyle w:val="Sidfot"/>
          </w:pPr>
          <w:sdt>
            <w:sdtPr>
              <w:alias w:val="Författare"/>
              <w:tag w:val="Författare"/>
              <w:id w:val="-1022230436"/>
              <w:temporary/>
              <w:text/>
            </w:sdtPr>
            <w:sdtEndPr/>
            <w:sdtContent>
              <w:r w:rsidR="00D31AA7" w:rsidRPr="00E6091D">
                <w:t>Författare</w:t>
              </w:r>
              <w:r w:rsidR="00D31AA7">
                <w:t>:</w:t>
              </w:r>
            </w:sdtContent>
          </w:sdt>
          <w:r w:rsidR="00D31AA7" w:rsidRPr="00E6091D">
            <w:br/>
          </w:r>
          <w:sdt>
            <w:sdtPr>
              <w:alias w:val="Dokumentägare"/>
              <w:tag w:val="Dokumentägare"/>
              <w:id w:val="62929158"/>
              <w:temporary/>
              <w:text/>
            </w:sdtPr>
            <w:sdtEndPr/>
            <w:sdtContent>
              <w:r w:rsidR="00D31AA7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:rsidR="00D31AA7" w:rsidRPr="001F54EF" w:rsidRDefault="00D31AA7" w:rsidP="00C15048">
          <w:pPr>
            <w:pStyle w:val="Sidfot"/>
          </w:pPr>
          <w:r w:rsidRPr="001F54EF">
            <w:t>Senast ändrad</w:t>
          </w:r>
        </w:p>
        <w:p w:rsidR="00D31AA7" w:rsidRPr="001F54EF" w:rsidRDefault="003A7B9F" w:rsidP="005E278D">
          <w:pPr>
            <w:pStyle w:val="Sidfot"/>
          </w:pPr>
          <w:r>
            <w:fldChar w:fldCharType="begin"/>
          </w:r>
          <w:r>
            <w:instrText xml:space="preserve"> DOCPROPERTY  Publisheddate  \* MERGEFORMAT </w:instrText>
          </w:r>
          <w:r>
            <w:fldChar w:fldCharType="separate"/>
          </w:r>
          <w:r w:rsidR="00BE6FAA">
            <w:t>2014-06-05</w:t>
          </w:r>
          <w:r>
            <w:fldChar w:fldCharType="end"/>
          </w:r>
        </w:p>
      </w:tc>
    </w:tr>
    <w:tr w:rsidR="00D31AA7" w:rsidRPr="00144360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AA7" w:rsidRDefault="00D31AA7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7C814E48" wp14:editId="07A51160">
                <wp:extent cx="1087200" cy="867600"/>
                <wp:effectExtent l="0" t="0" r="0" b="8890"/>
                <wp:docPr id="2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31AA7" w:rsidRDefault="00D31AA7" w:rsidP="00C1504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:rsidR="00D31AA7" w:rsidRPr="002D1CAF" w:rsidRDefault="00D31AA7" w:rsidP="00C15048">
          <w:pPr>
            <w:pStyle w:val="Sidhuvud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D31AA7" w:rsidRPr="00E123DA" w:rsidRDefault="00D31AA7" w:rsidP="00C15048">
          <w:pPr>
            <w:pStyle w:val="Sidhuvud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D31AA7" w:rsidRPr="00E123DA" w:rsidRDefault="00D31AA7" w:rsidP="00C15048">
          <w:pPr>
            <w:pStyle w:val="Sidhuvud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:rsidR="00D31AA7" w:rsidRPr="00E123DA" w:rsidRDefault="00D31AA7" w:rsidP="00C15048">
          <w:pPr>
            <w:pStyle w:val="Sidhuvud"/>
          </w:pPr>
        </w:p>
      </w:tc>
    </w:tr>
    <w:tr w:rsidR="00D31AA7" w:rsidRPr="00144360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AA7" w:rsidRDefault="00D31AA7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62985508" wp14:editId="090306DA">
                <wp:extent cx="1091565" cy="865505"/>
                <wp:effectExtent l="0" t="0" r="0" b="0"/>
                <wp:docPr id="3" name="Bildobjekt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D31AA7" w:rsidRDefault="00D31AA7" w:rsidP="00C15048">
    <w:pPr>
      <w:pStyle w:val="Sidhuvud"/>
    </w:pPr>
  </w:p>
  <w:p w:rsidR="00D31AA7" w:rsidRPr="00144360" w:rsidRDefault="00D31AA7" w:rsidP="00C15048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pt;height:15.05pt" o:bullet="t">
        <v:imagedata r:id="rId1" o:title="Pil-v2-Word"/>
      </v:shape>
    </w:pict>
  </w:numPicBullet>
  <w:numPicBullet w:numPicBulletId="1">
    <w:pict>
      <v:shape id="_x0000_i1027" type="#_x0000_t75" style="width:5pt;height:11.7pt" o:bullet="t">
        <v:imagedata r:id="rId2" o:title="Pil-v2-Word"/>
      </v:shape>
    </w:pict>
  </w:numPicBullet>
  <w:numPicBullet w:numPicBulletId="2">
    <w:pict>
      <v:shape id="_x0000_i1028" type="#_x0000_t75" style="width:5pt;height:10.05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9976716"/>
    <w:multiLevelType w:val="hybridMultilevel"/>
    <w:tmpl w:val="74F41E8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9C6865"/>
    <w:multiLevelType w:val="multilevel"/>
    <w:tmpl w:val="50846754"/>
    <w:numStyleLink w:val="111111"/>
  </w:abstractNum>
  <w:abstractNum w:abstractNumId="8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3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A3926D6"/>
    <w:multiLevelType w:val="multilevel"/>
    <w:tmpl w:val="464E93B2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6">
    <w:nsid w:val="4DAA45E6"/>
    <w:multiLevelType w:val="multilevel"/>
    <w:tmpl w:val="50846754"/>
    <w:numStyleLink w:val="111111"/>
  </w:abstractNum>
  <w:abstractNum w:abstractNumId="17">
    <w:nsid w:val="4DCC3EB0"/>
    <w:multiLevelType w:val="multilevel"/>
    <w:tmpl w:val="50846754"/>
    <w:numStyleLink w:val="111111"/>
  </w:abstractNum>
  <w:abstractNum w:abstractNumId="18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0491874"/>
    <w:multiLevelType w:val="multilevel"/>
    <w:tmpl w:val="50846754"/>
    <w:numStyleLink w:val="111111"/>
  </w:abstractNum>
  <w:abstractNum w:abstractNumId="20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0E0FC1"/>
    <w:multiLevelType w:val="multilevel"/>
    <w:tmpl w:val="208292D2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4">
    <w:nsid w:val="78441E38"/>
    <w:multiLevelType w:val="multilevel"/>
    <w:tmpl w:val="50846754"/>
    <w:numStyleLink w:val="111111"/>
  </w:abstractNum>
  <w:abstractNum w:abstractNumId="25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21"/>
  </w:num>
  <w:num w:numId="5">
    <w:abstractNumId w:val="27"/>
  </w:num>
  <w:num w:numId="6">
    <w:abstractNumId w:val="14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2"/>
  </w:num>
  <w:num w:numId="13">
    <w:abstractNumId w:val="25"/>
  </w:num>
  <w:num w:numId="14">
    <w:abstractNumId w:val="20"/>
  </w:num>
  <w:num w:numId="15">
    <w:abstractNumId w:val="18"/>
  </w:num>
  <w:num w:numId="16">
    <w:abstractNumId w:val="2"/>
  </w:num>
  <w:num w:numId="17">
    <w:abstractNumId w:val="2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8"/>
  </w:num>
  <w:num w:numId="22">
    <w:abstractNumId w:val="9"/>
  </w:num>
  <w:num w:numId="23">
    <w:abstractNumId w:val="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17"/>
  </w:num>
  <w:num w:numId="28">
    <w:abstractNumId w:val="24"/>
  </w:num>
  <w:num w:numId="29">
    <w:abstractNumId w:val="16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49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486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1FEE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71C01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A7B9F"/>
    <w:rsid w:val="003C0177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24F0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D064B"/>
    <w:rsid w:val="005E278D"/>
    <w:rsid w:val="005E47E7"/>
    <w:rsid w:val="005F4DD4"/>
    <w:rsid w:val="005F7B47"/>
    <w:rsid w:val="00604800"/>
    <w:rsid w:val="00611088"/>
    <w:rsid w:val="006210F1"/>
    <w:rsid w:val="0063058B"/>
    <w:rsid w:val="00630E61"/>
    <w:rsid w:val="00640358"/>
    <w:rsid w:val="006406AC"/>
    <w:rsid w:val="0065413A"/>
    <w:rsid w:val="006660F6"/>
    <w:rsid w:val="006A1F81"/>
    <w:rsid w:val="006A2407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F1186"/>
    <w:rsid w:val="00803C09"/>
    <w:rsid w:val="00811A36"/>
    <w:rsid w:val="00812605"/>
    <w:rsid w:val="00813DD9"/>
    <w:rsid w:val="00815A4A"/>
    <w:rsid w:val="00826AFF"/>
    <w:rsid w:val="00832031"/>
    <w:rsid w:val="008679ED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30DEB"/>
    <w:rsid w:val="00937364"/>
    <w:rsid w:val="00942224"/>
    <w:rsid w:val="009506F6"/>
    <w:rsid w:val="00957A2C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2D2C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A33D2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7C4A"/>
    <w:rsid w:val="00BE01E5"/>
    <w:rsid w:val="00BE1DFD"/>
    <w:rsid w:val="00BE6519"/>
    <w:rsid w:val="00BE6FAA"/>
    <w:rsid w:val="00BE7E72"/>
    <w:rsid w:val="00BF05F7"/>
    <w:rsid w:val="00BF3126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C5010"/>
    <w:rsid w:val="00CD0298"/>
    <w:rsid w:val="00CD0F93"/>
    <w:rsid w:val="00CD1534"/>
    <w:rsid w:val="00CE12F7"/>
    <w:rsid w:val="00CE2C77"/>
    <w:rsid w:val="00CF10DE"/>
    <w:rsid w:val="00CF19C2"/>
    <w:rsid w:val="00D0207B"/>
    <w:rsid w:val="00D049F3"/>
    <w:rsid w:val="00D04D21"/>
    <w:rsid w:val="00D103B1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1F9C"/>
    <w:rsid w:val="00DD6F80"/>
    <w:rsid w:val="00DE0233"/>
    <w:rsid w:val="00DE209B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0C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E515C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0a9a7"/>
    </o:shapedefaults>
    <o:shapelayout v:ext="edit">
      <o:idmap v:ext="edit" data="1"/>
    </o:shapelayout>
  </w:shapeDefaults>
  <w:decimalSymbol w:val=","/>
  <w:listSeparator w:val=";"/>
  <w14:docId w14:val="7D4CC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allongtext">
    <w:name w:val="Balloon Text"/>
    <w:basedOn w:val="Normal"/>
    <w:link w:val="Ballong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allongtext">
    <w:name w:val="Balloon Text"/>
    <w:basedOn w:val="Normal"/>
    <w:link w:val="Ballong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20F19-7864-4D28-BAA0-6DFA45C49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Dokumentmall_med_forsattsblad.dotx</Template>
  <TotalTime>62</TotalTime>
  <Pages>6</Pages>
  <Words>500</Words>
  <Characters>3661</Characters>
  <Application>Microsoft Office Word</Application>
  <DocSecurity>0</DocSecurity>
  <Lines>192</Lines>
  <Paragraphs>112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 namn</vt:lpstr>
      <vt:lpstr>Projekt eller system namn</vt:lpstr>
    </vt:vector>
  </TitlesOfParts>
  <Manager/>
  <Company>Inera AB</Company>
  <LinksUpToDate>false</LinksUpToDate>
  <CharactersWithSpaces>4049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 namn</dc:title>
  <dc:subject>AB</dc:subject>
  <dc:creator>Brunzell Maria</dc:creator>
  <cp:keywords>AB;Arkitekturella beslut</cp:keywords>
  <dc:description/>
  <cp:lastModifiedBy>Björn Genfors</cp:lastModifiedBy>
  <cp:revision>11</cp:revision>
  <cp:lastPrinted>2012-03-29T16:27:00Z</cp:lastPrinted>
  <dcterms:created xsi:type="dcterms:W3CDTF">2014-05-21T14:09:00Z</dcterms:created>
  <dcterms:modified xsi:type="dcterms:W3CDTF">2015-04-08T16:25:00Z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2015-04-08</vt:lpwstr>
  </property>
  <property fmtid="{D5CDD505-2E9C-101B-9397-08002B2CF9AE}" pid="3" name="ARKnummer">
    <vt:lpwstr>ARK_0023</vt:lpwstr>
  </property>
  <property fmtid="{D5CDD505-2E9C-101B-9397-08002B2CF9AE}" pid="4" name="Version_1">
    <vt:lpwstr>2</vt:lpwstr>
  </property>
  <property fmtid="{D5CDD505-2E9C-101B-9397-08002B2CF9AE}" pid="5" name="Version_2">
    <vt:lpwstr>0</vt:lpwstr>
  </property>
  <property fmtid="{D5CDD505-2E9C-101B-9397-08002B2CF9AE}" pid="6" name="Version_3">
    <vt:lpwstr>0</vt:lpwstr>
  </property>
  <property fmtid="{D5CDD505-2E9C-101B-9397-08002B2CF9AE}" pid="7" name="Version_RC">
    <vt:lpwstr>RC1</vt:lpwstr>
  </property>
</Properties>
</file>