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QuickBridge v3 Deep-Dive Issue Analysis</w:t>
      </w:r>
    </w:p>
    <w:p>
      <w:pPr>
        <w:pStyle w:val="Subtitle"/>
      </w:pPr>
      <w:r>
        <w:t>Validation of previously identified bugs, defects, and risks on branch v3-changes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fill="F2F4F7"/>
            <w:vAlign w:val="center"/>
          </w:tcPr>
          <w:p>
            <w:pPr>
              <w:spacing w:after="0"/>
            </w:pPr>
            <w:r/>
            <w:r>
              <w:rPr>
                <w:rFonts w:ascii="Calibri" w:hAnsi="Calibri"/>
                <w:b/>
                <w:color w:val="0B2545"/>
                <w:sz w:val="18"/>
              </w:rPr>
              <w:t>Field</w:t>
            </w:r>
          </w:p>
        </w:tc>
        <w:tc>
          <w:tcPr>
            <w:tcW w:type="dxa" w:w="6912"/>
            <w:shd w:fill="F2F4F7"/>
            <w:vAlign w:val="center"/>
          </w:tcPr>
          <w:p>
            <w:pPr>
              <w:spacing w:after="0"/>
            </w:pPr>
            <w:r/>
            <w:r>
              <w:rPr>
                <w:rFonts w:ascii="Calibri" w:hAnsi="Calibri"/>
                <w:b/>
                <w:color w:val="0B2545"/>
                <w:sz w:val="18"/>
              </w:rPr>
              <w:t>Value</w:t>
            </w:r>
          </w:p>
        </w:tc>
      </w:tr>
      <w:tr>
        <w:tc>
          <w:tcPr>
            <w:tcW w:type="dxa" w:w="4680"/>
            <w:vAlign w:val="center"/>
          </w:tcPr>
          <w:p>
            <w:pPr>
              <w:spacing w:after="0"/>
            </w:pPr>
            <w:r/>
            <w:r>
              <w:rPr>
                <w:rFonts w:ascii="Calibri" w:hAnsi="Calibri"/>
                <w:b w:val="0"/>
                <w:sz w:val="18"/>
              </w:rPr>
              <w:t>Report date</w:t>
            </w:r>
          </w:p>
        </w:tc>
        <w:tc>
          <w:tcPr>
            <w:tcW w:type="dxa" w:w="4680"/>
            <w:vAlign w:val="center"/>
          </w:tcPr>
          <w:p>
            <w:pPr>
              <w:spacing w:after="0"/>
            </w:pPr>
            <w:r/>
            <w:r>
              <w:rPr>
                <w:rFonts w:ascii="Calibri" w:hAnsi="Calibri"/>
                <w:b w:val="0"/>
                <w:sz w:val="18"/>
              </w:rPr>
              <w:t>2026-05-30 (Asia/Karachi)</w:t>
            </w:r>
          </w:p>
        </w:tc>
      </w:tr>
      <w:tr>
        <w:tc>
          <w:tcPr>
            <w:tcW w:type="dxa" w:w="4680"/>
            <w:vAlign w:val="center"/>
          </w:tcPr>
          <w:p>
            <w:pPr>
              <w:spacing w:after="0"/>
            </w:pPr>
            <w:r/>
            <w:r>
              <w:rPr>
                <w:rFonts w:ascii="Calibri" w:hAnsi="Calibri"/>
                <w:b w:val="0"/>
                <w:sz w:val="18"/>
              </w:rPr>
              <w:t>Branch reviewed</w:t>
            </w:r>
          </w:p>
        </w:tc>
        <w:tc>
          <w:tcPr>
            <w:tcW w:type="dxa" w:w="4680"/>
            <w:vAlign w:val="center"/>
          </w:tcPr>
          <w:p>
            <w:pPr>
              <w:spacing w:after="0"/>
            </w:pPr>
            <w:r/>
            <w:r>
              <w:rPr>
                <w:rFonts w:ascii="Calibri" w:hAnsi="Calibri"/>
                <w:b w:val="0"/>
                <w:sz w:val="18"/>
              </w:rPr>
              <w:t>v3-changes tracking origin/v3-changes</w:t>
            </w:r>
          </w:p>
        </w:tc>
      </w:tr>
      <w:tr>
        <w:tc>
          <w:tcPr>
            <w:tcW w:type="dxa" w:w="4680"/>
            <w:vAlign w:val="center"/>
          </w:tcPr>
          <w:p>
            <w:pPr>
              <w:spacing w:after="0"/>
            </w:pPr>
            <w:r/>
            <w:r>
              <w:rPr>
                <w:rFonts w:ascii="Calibri" w:hAnsi="Calibri"/>
                <w:b w:val="0"/>
                <w:sz w:val="18"/>
              </w:rPr>
              <w:t>Repository</w:t>
            </w:r>
          </w:p>
        </w:tc>
        <w:tc>
          <w:tcPr>
            <w:tcW w:type="dxa" w:w="4680"/>
            <w:vAlign w:val="center"/>
          </w:tcPr>
          <w:p>
            <w:pPr>
              <w:spacing w:after="0"/>
            </w:pPr>
            <w:r/>
            <w:r>
              <w:rPr>
                <w:rFonts w:ascii="Calibri" w:hAnsi="Calibri"/>
                <w:b w:val="0"/>
                <w:sz w:val="18"/>
              </w:rPr>
              <w:t>C:\Production Project\Quick Bridge</w:t>
            </w:r>
          </w:p>
        </w:tc>
      </w:tr>
      <w:tr>
        <w:tc>
          <w:tcPr>
            <w:tcW w:type="dxa" w:w="4680"/>
            <w:vAlign w:val="center"/>
          </w:tcPr>
          <w:p>
            <w:pPr>
              <w:spacing w:after="0"/>
            </w:pPr>
            <w:r/>
            <w:r>
              <w:rPr>
                <w:rFonts w:ascii="Calibri" w:hAnsi="Calibri"/>
                <w:b w:val="0"/>
                <w:sz w:val="18"/>
              </w:rPr>
              <w:t>Primary baselines</w:t>
            </w:r>
          </w:p>
        </w:tc>
        <w:tc>
          <w:tcPr>
            <w:tcW w:type="dxa" w:w="4680"/>
            <w:vAlign w:val="center"/>
          </w:tcPr>
          <w:p>
            <w:pPr>
              <w:spacing w:after="0"/>
            </w:pPr>
            <w:r/>
            <w:r>
              <w:rPr>
                <w:rFonts w:ascii="Calibri" w:hAnsi="Calibri"/>
                <w:b w:val="0"/>
                <w:sz w:val="18"/>
              </w:rPr>
              <w:t>Issues 3 closure matrix, 2026-05-25 four-issue status report, 2026-05-28 permanent-fix report</w:t>
            </w:r>
          </w:p>
        </w:tc>
      </w:tr>
      <w:tr>
        <w:tc>
          <w:tcPr>
            <w:tcW w:type="dxa" w:w="4680"/>
            <w:vAlign w:val="center"/>
          </w:tcPr>
          <w:p>
            <w:pPr>
              <w:spacing w:after="0"/>
            </w:pPr>
            <w:r/>
            <w:r>
              <w:rPr>
                <w:rFonts w:ascii="Calibri" w:hAnsi="Calibri"/>
                <w:b w:val="0"/>
                <w:sz w:val="18"/>
              </w:rPr>
              <w:t>Review method</w:t>
            </w:r>
          </w:p>
        </w:tc>
        <w:tc>
          <w:tcPr>
            <w:tcW w:type="dxa" w:w="4680"/>
            <w:vAlign w:val="center"/>
          </w:tcPr>
          <w:p>
            <w:pPr>
              <w:spacing w:after="0"/>
            </w:pPr>
            <w:r/>
            <w:r>
              <w:rPr>
                <w:rFonts w:ascii="Calibri" w:hAnsi="Calibri"/>
                <w:b w:val="0"/>
                <w:sz w:val="18"/>
              </w:rPr>
              <w:t>Static code inspection, existing guardrails, LWC unit tests, Salesforce check-only deploys, targeted Apex verification</w:t>
            </w:r>
          </w:p>
        </w:tc>
      </w:tr>
    </w:tbl>
    <w:p/>
    <w:p>
      <w:r>
        <w:rPr>
          <w:b/>
          <w:color w:val="0B2545"/>
        </w:rPr>
        <w:t xml:space="preserve">Overall Assessment: </w:t>
      </w:r>
      <w:r>
        <w:t>Most high-risk functional fixes are present in source and compile in the focused package. The remaining release risk is concentrated in deployment gates, test/coverage debt, partial metadata-driven architecture, and UI quality/security lint failures.</w:t>
      </w:r>
    </w:p>
    <w:p>
      <w:r>
        <w:br w:type="page"/>
      </w:r>
    </w:p>
    <w:p>
      <w:pPr>
        <w:pStyle w:val="Heading1"/>
      </w:pPr>
      <w:r>
        <w:t>Executive Summary</w:t>
      </w:r>
    </w:p>
    <w:p>
      <w:pPr>
        <w:pStyle w:val="ListBullet"/>
        <w:spacing w:after="80"/>
        <w:ind w:left="360" w:hanging="144"/>
      </w:pPr>
      <w:r>
        <w:t>The v3-changes branch contains the expected functional fixes for Klaviyo auth, webhook fail-closed behavior, QuickBooks N+1 mitigation, retry classification, admin/runtime separation guardrails, QBO sharing mode, and descriptor-driven payment UI rendering.</w:t>
      </w:r>
    </w:p>
    <w:p>
      <w:pPr>
        <w:pStyle w:val="ListBullet"/>
        <w:spacing w:after="80"/>
        <w:ind w:left="360" w:hanging="144"/>
      </w:pPr>
      <w:r>
        <w:t>The focused Issues 3 package compiled successfully in a Salesforce check-only dry run with zero component errors. The permanent-fix static guardrail script and all local LWC unit tests passed.</w:t>
      </w:r>
    </w:p>
    <w:p>
      <w:pPr>
        <w:pStyle w:val="ListBullet"/>
        <w:spacing w:after="80"/>
        <w:ind w:left="360" w:hanging="144"/>
      </w:pPr>
      <w:r>
        <w:t>The branch is not release-ready as a whole. Repo-wide lint fails with 30 errors, Prettier verification fails across 98 files, and check-only test deploys still fail selected Apex coverage thresholds even where test assertions pass.</w:t>
      </w:r>
    </w:p>
    <w:p>
      <w:pPr>
        <w:pStyle w:val="ListBullet"/>
        <w:spacing w:after="80"/>
        <w:ind w:left="360" w:hanging="144"/>
      </w:pPr>
      <w:r>
        <w:t>Several fixes are partial rather than complete architecture closures: the invoice pipeline still behaves as a single canonical target plus side-effect mapped records, normalized config is not yet universal, and config-panel field derivation still relies on naming conventions.</w:t>
      </w:r>
    </w:p>
    <w:p>
      <w:pPr>
        <w:pStyle w:val="ListBullet"/>
        <w:spacing w:after="80"/>
        <w:ind w:left="360" w:hanging="144"/>
      </w:pPr>
      <w:r>
        <w:t>The highest business risks are deployment uncertainty, incorrect or incomplete invoice/error observability, fragmented connector configuration authority, and client-side payment component quality/security violations.</w:t>
      </w:r>
    </w:p>
    <w:p>
      <w:pPr>
        <w:pStyle w:val="Heading1"/>
      </w:pPr>
      <w:r>
        <w:t>Scope of Analysis</w:t>
      </w:r>
    </w:p>
    <w:p>
      <w:r>
        <w:t>This review validated previously reported issues against the current v3-changes source tree and the connected Quick Bridge Salesforce org where practical. The analysis used prior project reports as the baseline rather than rediscovering history from scratch.</w:t>
      </w:r>
    </w:p>
    <w:tbl>
      <w:tblPr>
        <w:tblStyle w:val="TableGrid"/>
        <w:tblW w:type="auto" w:w="0"/>
        <w:jc w:val="center"/>
        <w:tblLayout w:type="fixed"/>
        <w:tblLook w:firstColumn="1" w:firstRow="1" w:lastColumn="0" w:lastRow="0" w:noHBand="0" w:noVBand="1" w:val="04A0"/>
      </w:tblPr>
      <w:tblGrid>
        <w:gridCol w:w="4680"/>
        <w:gridCol w:w="4680"/>
      </w:tblGrid>
      <w:tr>
        <w:tc>
          <w:tcPr>
            <w:tcW w:type="dxa" w:w="3888"/>
            <w:shd w:fill="F2F4F7"/>
            <w:vAlign w:val="center"/>
          </w:tcPr>
          <w:p>
            <w:pPr>
              <w:spacing w:after="0"/>
            </w:pPr>
            <w:r/>
            <w:r>
              <w:rPr>
                <w:rFonts w:ascii="Calibri" w:hAnsi="Calibri"/>
                <w:b/>
                <w:color w:val="0B2545"/>
                <w:sz w:val="16"/>
              </w:rPr>
              <w:t>Artifact or command</w:t>
            </w:r>
          </w:p>
        </w:tc>
        <w:tc>
          <w:tcPr>
            <w:tcW w:type="dxa" w:w="5472"/>
            <w:shd w:fill="F2F4F7"/>
            <w:vAlign w:val="center"/>
          </w:tcPr>
          <w:p>
            <w:pPr>
              <w:spacing w:after="0"/>
            </w:pPr>
            <w:r/>
            <w:r>
              <w:rPr>
                <w:rFonts w:ascii="Calibri" w:hAnsi="Calibri"/>
                <w:b/>
                <w:color w:val="0B2545"/>
                <w:sz w:val="16"/>
              </w:rPr>
              <w:t>Result used in this report</w:t>
            </w:r>
          </w:p>
        </w:tc>
      </w:tr>
      <w:tr>
        <w:tc>
          <w:tcPr>
            <w:tcW w:type="dxa" w:w="4680"/>
            <w:vAlign w:val="center"/>
          </w:tcPr>
          <w:p>
            <w:pPr>
              <w:spacing w:after="0"/>
            </w:pPr>
            <w:r/>
            <w:r>
              <w:rPr>
                <w:rFonts w:ascii="Calibri" w:hAnsi="Calibri"/>
                <w:b w:val="0"/>
                <w:sz w:val="16"/>
              </w:rPr>
              <w:t>docs/quickbridge-issues-3-closure-matrix.md</w:t>
            </w:r>
          </w:p>
        </w:tc>
        <w:tc>
          <w:tcPr>
            <w:tcW w:type="dxa" w:w="4680"/>
            <w:vAlign w:val="center"/>
          </w:tcPr>
          <w:p>
            <w:pPr>
              <w:spacing w:after="0"/>
            </w:pPr>
            <w:r/>
            <w:r>
              <w:rPr>
                <w:rFonts w:ascii="Calibri" w:hAnsi="Calibri"/>
                <w:b w:val="0"/>
                <w:sz w:val="16"/>
              </w:rPr>
              <w:t>Baseline for Issues 3 resolved items and remaining architectural phases.</w:t>
            </w:r>
          </w:p>
        </w:tc>
      </w:tr>
      <w:tr>
        <w:tc>
          <w:tcPr>
            <w:tcW w:type="dxa" w:w="4680"/>
            <w:vAlign w:val="center"/>
          </w:tcPr>
          <w:p>
            <w:pPr>
              <w:spacing w:after="0"/>
            </w:pPr>
            <w:r/>
            <w:r>
              <w:rPr>
                <w:rFonts w:ascii="Calibri" w:hAnsi="Calibri"/>
                <w:b w:val="0"/>
                <w:sz w:val="16"/>
              </w:rPr>
              <w:t>docs/reports/quickbridge-issues-4-status-2026-05-25.md</w:t>
            </w:r>
          </w:p>
        </w:tc>
        <w:tc>
          <w:tcPr>
            <w:tcW w:type="dxa" w:w="4680"/>
            <w:vAlign w:val="center"/>
          </w:tcPr>
          <w:p>
            <w:pPr>
              <w:spacing w:after="0"/>
            </w:pPr>
            <w:r/>
            <w:r>
              <w:rPr>
                <w:rFonts w:ascii="Calibri" w:hAnsi="Calibri"/>
                <w:b w:val="0"/>
                <w:sz w:val="16"/>
              </w:rPr>
              <w:t>Baseline for ISSUE-007, ISSUE-009, NEW-008, and NEW-021.</w:t>
            </w:r>
          </w:p>
        </w:tc>
      </w:tr>
      <w:tr>
        <w:tc>
          <w:tcPr>
            <w:tcW w:type="dxa" w:w="4680"/>
            <w:vAlign w:val="center"/>
          </w:tcPr>
          <w:p>
            <w:pPr>
              <w:spacing w:after="0"/>
            </w:pPr>
            <w:r/>
            <w:r>
              <w:rPr>
                <w:rFonts w:ascii="Calibri" w:hAnsi="Calibri"/>
                <w:b w:val="0"/>
                <w:sz w:val="16"/>
              </w:rPr>
              <w:t>docs/QuickBridge_Codex_Fix_Report.md</w:t>
            </w:r>
          </w:p>
        </w:tc>
        <w:tc>
          <w:tcPr>
            <w:tcW w:type="dxa" w:w="4680"/>
            <w:vAlign w:val="center"/>
          </w:tcPr>
          <w:p>
            <w:pPr>
              <w:spacing w:after="0"/>
            </w:pPr>
            <w:r/>
            <w:r>
              <w:rPr>
                <w:rFonts w:ascii="Calibri" w:hAnsi="Calibri"/>
                <w:b w:val="0"/>
                <w:sz w:val="16"/>
              </w:rPr>
              <w:t>Baseline for the eight permanent-fix plan items.</w:t>
            </w:r>
          </w:p>
        </w:tc>
      </w:tr>
      <w:tr>
        <w:tc>
          <w:tcPr>
            <w:tcW w:type="dxa" w:w="4680"/>
            <w:vAlign w:val="center"/>
          </w:tcPr>
          <w:p>
            <w:pPr>
              <w:spacing w:after="0"/>
            </w:pPr>
            <w:r/>
            <w:r>
              <w:rPr>
                <w:rFonts w:ascii="Calibri" w:hAnsi="Calibri"/>
                <w:b w:val="0"/>
                <w:sz w:val="16"/>
              </w:rPr>
              <w:t>node scripts/verify-quickbridge-permanent-fixes.cjs</w:t>
            </w:r>
          </w:p>
        </w:tc>
        <w:tc>
          <w:tcPr>
            <w:tcW w:type="dxa" w:w="4680"/>
            <w:vAlign w:val="center"/>
          </w:tcPr>
          <w:p>
            <w:pPr>
              <w:spacing w:after="0"/>
            </w:pPr>
            <w:r/>
            <w:r>
              <w:rPr>
                <w:rFonts w:ascii="Calibri" w:hAnsi="Calibri"/>
                <w:b w:val="0"/>
                <w:sz w:val="16"/>
              </w:rPr>
              <w:t>Passed. Static guardrails still detect key permanent-fix regressions.</w:t>
            </w:r>
          </w:p>
        </w:tc>
      </w:tr>
      <w:tr>
        <w:tc>
          <w:tcPr>
            <w:tcW w:type="dxa" w:w="4680"/>
            <w:vAlign w:val="center"/>
          </w:tcPr>
          <w:p>
            <w:pPr>
              <w:spacing w:after="0"/>
            </w:pPr>
            <w:r/>
            <w:r>
              <w:rPr>
                <w:rFonts w:ascii="Calibri" w:hAnsi="Calibri"/>
                <w:b w:val="0"/>
                <w:sz w:val="16"/>
              </w:rPr>
              <w:t>npm.cmd run test:unit -- -- --runInBand</w:t>
            </w:r>
          </w:p>
        </w:tc>
        <w:tc>
          <w:tcPr>
            <w:tcW w:type="dxa" w:w="4680"/>
            <w:vAlign w:val="center"/>
          </w:tcPr>
          <w:p>
            <w:pPr>
              <w:spacing w:after="0"/>
            </w:pPr>
            <w:r/>
            <w:r>
              <w:rPr>
                <w:rFonts w:ascii="Calibri" w:hAnsi="Calibri"/>
                <w:b w:val="0"/>
                <w:sz w:val="16"/>
              </w:rPr>
              <w:t>Passed. 3 LWC suites and 7 tests passed.</w:t>
            </w:r>
          </w:p>
        </w:tc>
      </w:tr>
      <w:tr>
        <w:tc>
          <w:tcPr>
            <w:tcW w:type="dxa" w:w="4680"/>
            <w:vAlign w:val="center"/>
          </w:tcPr>
          <w:p>
            <w:pPr>
              <w:spacing w:after="0"/>
            </w:pPr>
            <w:r/>
            <w:r>
              <w:rPr>
                <w:rFonts w:ascii="Calibri" w:hAnsi="Calibri"/>
                <w:b w:val="0"/>
                <w:sz w:val="16"/>
              </w:rPr>
              <w:t>sf project deploy start --dry-run --manifest manifest/package-quickbridge-issues-3.xml --test-level NoTestRun</w:t>
            </w:r>
          </w:p>
        </w:tc>
        <w:tc>
          <w:tcPr>
            <w:tcW w:type="dxa" w:w="4680"/>
            <w:vAlign w:val="center"/>
          </w:tcPr>
          <w:p>
            <w:pPr>
              <w:spacing w:after="0"/>
            </w:pPr>
            <w:r/>
            <w:r>
              <w:rPr>
                <w:rFonts w:ascii="Calibri" w:hAnsi="Calibri"/>
                <w:b w:val="0"/>
                <w:sz w:val="16"/>
              </w:rPr>
              <w:t>Passed. Focused package compiled with zero component errors.</w:t>
            </w:r>
          </w:p>
        </w:tc>
      </w:tr>
      <w:tr>
        <w:tc>
          <w:tcPr>
            <w:tcW w:type="dxa" w:w="4680"/>
            <w:vAlign w:val="center"/>
          </w:tcPr>
          <w:p>
            <w:pPr>
              <w:spacing w:after="0"/>
            </w:pPr>
            <w:r/>
            <w:r>
              <w:rPr>
                <w:rFonts w:ascii="Calibri" w:hAnsi="Calibri"/>
                <w:b w:val="0"/>
                <w:sz w:val="16"/>
              </w:rPr>
              <w:t>sf apex run test targeted set</w:t>
            </w:r>
          </w:p>
        </w:tc>
        <w:tc>
          <w:tcPr>
            <w:tcW w:type="dxa" w:w="4680"/>
            <w:vAlign w:val="center"/>
          </w:tcPr>
          <w:p>
            <w:pPr>
              <w:spacing w:after="0"/>
            </w:pPr>
            <w:r/>
            <w:r>
              <w:rPr>
                <w:rFonts w:ascii="Calibri" w:hAnsi="Calibri"/>
                <w:b w:val="0"/>
                <w:sz w:val="16"/>
              </w:rPr>
              <w:t>66 of 67 direct org tests passed; one failure is attributable to org/source drift because local-source check-only test passed.</w:t>
            </w:r>
          </w:p>
        </w:tc>
      </w:tr>
      <w:tr>
        <w:tc>
          <w:tcPr>
            <w:tcW w:type="dxa" w:w="4680"/>
            <w:vAlign w:val="center"/>
          </w:tcPr>
          <w:p>
            <w:pPr>
              <w:spacing w:after="0"/>
            </w:pPr>
            <w:r/>
            <w:r>
              <w:rPr>
                <w:rFonts w:ascii="Calibri" w:hAnsi="Calibri"/>
                <w:b w:val="0"/>
                <w:sz w:val="16"/>
              </w:rPr>
              <w:t>sf project deploy start check-only for QuickBridgeRecordEngineTest</w:t>
            </w:r>
          </w:p>
        </w:tc>
        <w:tc>
          <w:tcPr>
            <w:tcW w:type="dxa" w:w="4680"/>
            <w:vAlign w:val="center"/>
          </w:tcPr>
          <w:p>
            <w:pPr>
              <w:spacing w:after="0"/>
            </w:pPr>
            <w:r/>
            <w:r>
              <w:rPr>
                <w:rFonts w:ascii="Calibri" w:hAnsi="Calibri"/>
                <w:b w:val="0"/>
                <w:sz w:val="16"/>
              </w:rPr>
              <w:t>Assertions passed 8 of 8, but deploy failed because ErrorLogUtility coverage was 39.744%.</w:t>
            </w:r>
          </w:p>
        </w:tc>
      </w:tr>
      <w:tr>
        <w:tc>
          <w:tcPr>
            <w:tcW w:type="dxa" w:w="4680"/>
            <w:vAlign w:val="center"/>
          </w:tcPr>
          <w:p>
            <w:pPr>
              <w:spacing w:after="0"/>
            </w:pPr>
            <w:r/>
            <w:r>
              <w:rPr>
                <w:rFonts w:ascii="Calibri" w:hAnsi="Calibri"/>
                <w:b w:val="0"/>
                <w:sz w:val="16"/>
              </w:rPr>
              <w:t>sf project deploy start check-only for IntegrationRetryPolicyTest</w:t>
            </w:r>
          </w:p>
        </w:tc>
        <w:tc>
          <w:tcPr>
            <w:tcW w:type="dxa" w:w="4680"/>
            <w:vAlign w:val="center"/>
          </w:tcPr>
          <w:p>
            <w:pPr>
              <w:spacing w:after="0"/>
            </w:pPr>
            <w:r/>
            <w:r>
              <w:rPr>
                <w:rFonts w:ascii="Calibri" w:hAnsi="Calibri"/>
                <w:b w:val="0"/>
                <w:sz w:val="16"/>
              </w:rPr>
              <w:t>Assertions passed 3 of 3, but deploy failed because IntegrationRetryPolicy coverage was 51.456%.</w:t>
            </w:r>
          </w:p>
        </w:tc>
      </w:tr>
      <w:tr>
        <w:tc>
          <w:tcPr>
            <w:tcW w:type="dxa" w:w="4680"/>
            <w:vAlign w:val="center"/>
          </w:tcPr>
          <w:p>
            <w:pPr>
              <w:spacing w:after="0"/>
            </w:pPr>
            <w:r/>
            <w:r>
              <w:rPr>
                <w:rFonts w:ascii="Calibri" w:hAnsi="Calibri"/>
                <w:b w:val="0"/>
                <w:sz w:val="16"/>
              </w:rPr>
              <w:t>npm.cmd run lint</w:t>
            </w:r>
          </w:p>
        </w:tc>
        <w:tc>
          <w:tcPr>
            <w:tcW w:type="dxa" w:w="4680"/>
            <w:vAlign w:val="center"/>
          </w:tcPr>
          <w:p>
            <w:pPr>
              <w:spacing w:after="0"/>
            </w:pPr>
            <w:r/>
            <w:r>
              <w:rPr>
                <w:rFonts w:ascii="Calibri" w:hAnsi="Calibri"/>
                <w:b w:val="0"/>
                <w:sz w:val="16"/>
              </w:rPr>
              <w:t>Failed with 30 LWC JavaScript lint errors.</w:t>
            </w:r>
          </w:p>
        </w:tc>
      </w:tr>
      <w:tr>
        <w:tc>
          <w:tcPr>
            <w:tcW w:type="dxa" w:w="4680"/>
            <w:vAlign w:val="center"/>
          </w:tcPr>
          <w:p>
            <w:pPr>
              <w:spacing w:after="0"/>
            </w:pPr>
            <w:r/>
            <w:r>
              <w:rPr>
                <w:rFonts w:ascii="Calibri" w:hAnsi="Calibri"/>
                <w:b w:val="0"/>
                <w:sz w:val="16"/>
              </w:rPr>
              <w:t>npm.cmd run prettier:verify</w:t>
            </w:r>
          </w:p>
        </w:tc>
        <w:tc>
          <w:tcPr>
            <w:tcW w:type="dxa" w:w="4680"/>
            <w:vAlign w:val="center"/>
          </w:tcPr>
          <w:p>
            <w:pPr>
              <w:spacing w:after="0"/>
            </w:pPr>
            <w:r/>
            <w:r>
              <w:rPr>
                <w:rFonts w:ascii="Calibri" w:hAnsi="Calibri"/>
                <w:b w:val="0"/>
                <w:sz w:val="16"/>
              </w:rPr>
              <w:t>Failed with 98 formatting warnings.</w:t>
            </w:r>
          </w:p>
        </w:tc>
      </w:tr>
      <w:tr>
        <w:tc>
          <w:tcPr>
            <w:tcW w:type="dxa" w:w="4680"/>
            <w:vAlign w:val="center"/>
          </w:tcPr>
          <w:p>
            <w:pPr>
              <w:spacing w:after="0"/>
            </w:pPr>
            <w:r/>
            <w:r>
              <w:rPr>
                <w:rFonts w:ascii="Calibri" w:hAnsi="Calibri"/>
                <w:b w:val="0"/>
                <w:sz w:val="16"/>
              </w:rPr>
              <w:t>scripts/generate_issues_tracker_pdf.py --print-counts</w:t>
            </w:r>
          </w:p>
        </w:tc>
        <w:tc>
          <w:tcPr>
            <w:tcW w:type="dxa" w:w="4680"/>
            <w:vAlign w:val="center"/>
          </w:tcPr>
          <w:p>
            <w:pPr>
              <w:spacing w:after="0"/>
            </w:pPr>
            <w:r/>
            <w:r>
              <w:rPr>
                <w:rFonts w:ascii="Calibri" w:hAnsi="Calibri"/>
                <w:b w:val="0"/>
                <w:sz w:val="16"/>
              </w:rPr>
              <w:t>Passed count check: PARTIAL=7 OPEN=4 TOTAL=11.</w:t>
            </w:r>
          </w:p>
        </w:tc>
      </w:tr>
    </w:tbl>
    <w:p/>
    <w:p>
      <w:pPr>
        <w:pStyle w:val="Heading1"/>
      </w:pPr>
      <w:r>
        <w:t>Issue Status Matrix</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24"/>
            <w:shd w:fill="F2F4F7"/>
            <w:vAlign w:val="center"/>
          </w:tcPr>
          <w:p>
            <w:pPr>
              <w:spacing w:after="0"/>
            </w:pPr>
            <w:r/>
            <w:r>
              <w:rPr>
                <w:rFonts w:ascii="Calibri" w:hAnsi="Calibri"/>
                <w:b/>
                <w:color w:val="0B2545"/>
                <w:sz w:val="14"/>
              </w:rPr>
              <w:t>Issue</w:t>
            </w:r>
          </w:p>
        </w:tc>
        <w:tc>
          <w:tcPr>
            <w:tcW w:type="dxa" w:w="2016"/>
            <w:shd w:fill="F2F4F7"/>
            <w:vAlign w:val="center"/>
          </w:tcPr>
          <w:p>
            <w:pPr>
              <w:spacing w:after="0"/>
            </w:pPr>
            <w:r/>
            <w:r>
              <w:rPr>
                <w:rFonts w:ascii="Calibri" w:hAnsi="Calibri"/>
                <w:b/>
                <w:color w:val="0B2545"/>
                <w:sz w:val="14"/>
              </w:rPr>
              <w:t>Current status</w:t>
            </w:r>
          </w:p>
        </w:tc>
        <w:tc>
          <w:tcPr>
            <w:tcW w:type="dxa" w:w="4320"/>
            <w:shd w:fill="F2F4F7"/>
            <w:vAlign w:val="center"/>
          </w:tcPr>
          <w:p>
            <w:pPr>
              <w:spacing w:after="0"/>
            </w:pPr>
            <w:r/>
            <w:r>
              <w:rPr>
                <w:rFonts w:ascii="Calibri" w:hAnsi="Calibri"/>
                <w:b/>
                <w:color w:val="0B2545"/>
                <w:sz w:val="14"/>
              </w:rPr>
              <w:t>Evidence / caveat</w:t>
            </w:r>
          </w:p>
        </w:tc>
      </w:tr>
      <w:tr>
        <w:tc>
          <w:tcPr>
            <w:tcW w:type="dxa" w:w="3120"/>
            <w:vAlign w:val="center"/>
          </w:tcPr>
          <w:p>
            <w:pPr>
              <w:spacing w:after="0"/>
            </w:pPr>
            <w:r/>
            <w:r>
              <w:rPr>
                <w:rFonts w:ascii="Calibri" w:hAnsi="Calibri"/>
                <w:b w:val="0"/>
                <w:sz w:val="14"/>
              </w:rPr>
              <w:t>Klaviyo plaintext token usage</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KlaviyoAuthService routes through callout:Klaviyo_API and tests assert no Apex Authorization header.</w:t>
            </w:r>
          </w:p>
        </w:tc>
      </w:tr>
      <w:tr>
        <w:tc>
          <w:tcPr>
            <w:tcW w:type="dxa" w:w="3120"/>
            <w:vAlign w:val="center"/>
          </w:tcPr>
          <w:p>
            <w:pPr>
              <w:spacing w:after="0"/>
            </w:pPr>
            <w:r/>
            <w:r>
              <w:rPr>
                <w:rFonts w:ascii="Calibri" w:hAnsi="Calibri"/>
                <w:b w:val="0"/>
                <w:sz w:val="14"/>
              </w:rPr>
              <w:t>Klaviyo campaign member synchronous work</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addCampaignMembers enqueues KlaviyoCampaignMembersAsync and targeted tests pass.</w:t>
            </w:r>
          </w:p>
        </w:tc>
      </w:tr>
      <w:tr>
        <w:tc>
          <w:tcPr>
            <w:tcW w:type="dxa" w:w="3120"/>
            <w:vAlign w:val="center"/>
          </w:tcPr>
          <w:p>
            <w:pPr>
              <w:spacing w:after="0"/>
            </w:pPr>
            <w:r/>
            <w:r>
              <w:rPr>
                <w:rFonts w:ascii="Calibri" w:hAnsi="Calibri"/>
                <w:b w:val="0"/>
                <w:sz w:val="14"/>
              </w:rPr>
              <w:t>Authorize.Net webhook bypass</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Runtime bypass is absent; missing/invalid X-ANET-Signature fails closed.</w:t>
            </w:r>
          </w:p>
        </w:tc>
      </w:tr>
      <w:tr>
        <w:tc>
          <w:tcPr>
            <w:tcW w:type="dxa" w:w="3120"/>
            <w:vAlign w:val="center"/>
          </w:tcPr>
          <w:p>
            <w:pPr>
              <w:spacing w:after="0"/>
            </w:pPr>
            <w:r/>
            <w:r>
              <w:rPr>
                <w:rFonts w:ascii="Calibri" w:hAnsi="Calibri"/>
                <w:b w:val="0"/>
                <w:sz w:val="14"/>
              </w:rPr>
              <w:t>PayPal unauthenticated webhook handling</w:t>
            </w:r>
          </w:p>
        </w:tc>
        <w:tc>
          <w:tcPr>
            <w:tcW w:type="dxa" w:w="3120"/>
            <w:vAlign w:val="center"/>
          </w:tcPr>
          <w:p>
            <w:pPr>
              <w:spacing w:after="0"/>
            </w:pPr>
            <w:r/>
            <w:r>
              <w:rPr>
                <w:rFonts w:ascii="Calibri" w:hAnsi="Calibri"/>
                <w:b w:val="0"/>
                <w:sz w:val="14"/>
              </w:rPr>
              <w:t>Resolved with config debt</w:t>
            </w:r>
          </w:p>
        </w:tc>
        <w:tc>
          <w:tcPr>
            <w:tcW w:type="dxa" w:w="3120"/>
            <w:vAlign w:val="center"/>
          </w:tcPr>
          <w:p>
            <w:pPr>
              <w:spacing w:after="0"/>
            </w:pPr>
            <w:r/>
            <w:r>
              <w:rPr>
                <w:rFonts w:ascii="Calibri" w:hAnsi="Calibri"/>
                <w:b w:val="0"/>
                <w:sz w:val="14"/>
              </w:rPr>
              <w:t>Webhook verification fails closed, but PayPal webhook ID/base endpoint still read PayPal_Config__mdt.</w:t>
            </w:r>
          </w:p>
        </w:tc>
      </w:tr>
      <w:tr>
        <w:tc>
          <w:tcPr>
            <w:tcW w:type="dxa" w:w="3120"/>
            <w:vAlign w:val="center"/>
          </w:tcPr>
          <w:p>
            <w:pPr>
              <w:spacing w:after="0"/>
            </w:pPr>
            <w:r/>
            <w:r>
              <w:rPr>
                <w:rFonts w:ascii="Calibri" w:hAnsi="Calibri"/>
                <w:b w:val="0"/>
                <w:sz w:val="14"/>
              </w:rPr>
              <w:t>Admin session token persistence</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quickbridgeConfigPanel source no longer persists admin token in sessionStorage; test asserts sessionStorage length remains zero.</w:t>
            </w:r>
          </w:p>
        </w:tc>
      </w:tr>
      <w:tr>
        <w:tc>
          <w:tcPr>
            <w:tcW w:type="dxa" w:w="3120"/>
            <w:vAlign w:val="center"/>
          </w:tcPr>
          <w:p>
            <w:pPr>
              <w:spacing w:after="0"/>
            </w:pPr>
            <w:r/>
            <w:r>
              <w:rPr>
                <w:rFonts w:ascii="Calibri" w:hAnsi="Calibri"/>
                <w:b w:val="0"/>
                <w:sz w:val="14"/>
              </w:rPr>
              <w:t>QuickBooks sandbox fallback</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QuickBooksAuthHandler no longer uses QuickBookSandbox fallback in current static scans.</w:t>
            </w:r>
          </w:p>
        </w:tc>
      </w:tr>
      <w:tr>
        <w:tc>
          <w:tcPr>
            <w:tcW w:type="dxa" w:w="3120"/>
            <w:vAlign w:val="center"/>
          </w:tcPr>
          <w:p>
            <w:pPr>
              <w:spacing w:after="0"/>
            </w:pPr>
            <w:r/>
            <w:r>
              <w:rPr>
                <w:rFonts w:ascii="Calibri" w:hAnsi="Calibri"/>
                <w:b w:val="0"/>
                <w:sz w:val="14"/>
              </w:rPr>
              <w:t>Retry registry and handlers</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RetryDispatcher resolves registered QB/Shopify handlers through capability metadata and allowlist.</w:t>
            </w:r>
          </w:p>
        </w:tc>
      </w:tr>
      <w:tr>
        <w:tc>
          <w:tcPr>
            <w:tcW w:type="dxa" w:w="3120"/>
            <w:vAlign w:val="center"/>
          </w:tcPr>
          <w:p>
            <w:pPr>
              <w:spacing w:after="0"/>
            </w:pPr>
            <w:r/>
            <w:r>
              <w:rPr>
                <w:rFonts w:ascii="Calibri" w:hAnsi="Calibri"/>
                <w:b w:val="0"/>
                <w:sz w:val="14"/>
              </w:rPr>
              <w:t>Retry policy status classification / NEW-003</w:t>
            </w:r>
          </w:p>
        </w:tc>
        <w:tc>
          <w:tcPr>
            <w:tcW w:type="dxa" w:w="3120"/>
            <w:vAlign w:val="center"/>
          </w:tcPr>
          <w:p>
            <w:pPr>
              <w:spacing w:after="0"/>
            </w:pPr>
            <w:r/>
            <w:r>
              <w:rPr>
                <w:rFonts w:ascii="Calibri" w:hAnsi="Calibri"/>
                <w:b w:val="0"/>
                <w:sz w:val="14"/>
              </w:rPr>
              <w:t>Resolved, deploy coverage blocked</w:t>
            </w:r>
          </w:p>
        </w:tc>
        <w:tc>
          <w:tcPr>
            <w:tcW w:type="dxa" w:w="3120"/>
            <w:vAlign w:val="center"/>
          </w:tcPr>
          <w:p>
            <w:pPr>
              <w:spacing w:after="0"/>
            </w:pPr>
            <w:r/>
            <w:r>
              <w:rPr>
                <w:rFonts w:ascii="Calibri" w:hAnsi="Calibri"/>
                <w:b w:val="0"/>
                <w:sz w:val="14"/>
              </w:rPr>
              <w:t>Logic no longer classifies arbitrary timeout text as retryable; local test assertions pass, but IntegrationRetryPolicy coverage is 51.456% in focused check-only deploy.</w:t>
            </w:r>
          </w:p>
        </w:tc>
      </w:tr>
      <w:tr>
        <w:tc>
          <w:tcPr>
            <w:tcW w:type="dxa" w:w="3120"/>
            <w:vAlign w:val="center"/>
          </w:tcPr>
          <w:p>
            <w:pPr>
              <w:spacing w:after="0"/>
            </w:pPr>
            <w:r/>
            <w:r>
              <w:rPr>
                <w:rFonts w:ascii="Calibri" w:hAnsi="Calibri"/>
                <w:b w:val="0"/>
                <w:sz w:val="14"/>
              </w:rPr>
              <w:t>Scheduler registry metadata</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Integration_Type__c and Counts_Toward_Schedule_Limit__c exist and focused package compiles.</w:t>
            </w:r>
          </w:p>
        </w:tc>
      </w:tr>
      <w:tr>
        <w:tc>
          <w:tcPr>
            <w:tcW w:type="dxa" w:w="3120"/>
            <w:vAlign w:val="center"/>
          </w:tcPr>
          <w:p>
            <w:pPr>
              <w:spacing w:after="0"/>
            </w:pPr>
            <w:r/>
            <w:r>
              <w:rPr>
                <w:rFonts w:ascii="Calibri" w:hAnsi="Calibri"/>
                <w:b w:val="0"/>
                <w:sz w:val="14"/>
              </w:rPr>
              <w:t>Klaviyo scheduler capability</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KlaviyoScheduledOperationAdapter and capability metadata exist and compile.</w:t>
            </w:r>
          </w:p>
        </w:tc>
      </w:tr>
      <w:tr>
        <w:tc>
          <w:tcPr>
            <w:tcW w:type="dxa" w:w="3120"/>
            <w:vAlign w:val="center"/>
          </w:tcPr>
          <w:p>
            <w:pPr>
              <w:spacing w:after="0"/>
            </w:pPr>
            <w:r/>
            <w:r>
              <w:rPr>
                <w:rFonts w:ascii="Calibri" w:hAnsi="Calibri"/>
                <w:b w:val="0"/>
                <w:sz w:val="14"/>
              </w:rPr>
              <w:t>Carrier adapter factory</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CarrierAdapterFactory resolves carrier.operation through registry/allowlist.</w:t>
            </w:r>
          </w:p>
        </w:tc>
      </w:tr>
      <w:tr>
        <w:tc>
          <w:tcPr>
            <w:tcW w:type="dxa" w:w="3120"/>
            <w:vAlign w:val="center"/>
          </w:tcPr>
          <w:p>
            <w:pPr>
              <w:spacing w:after="0"/>
            </w:pPr>
            <w:r/>
            <w:r>
              <w:rPr>
                <w:rFonts w:ascii="Calibri" w:hAnsi="Calibri"/>
                <w:b w:val="0"/>
                <w:sz w:val="14"/>
              </w:rPr>
              <w:t>QuickBooks vendor/item N+1 cleanup</w:t>
            </w:r>
          </w:p>
        </w:tc>
        <w:tc>
          <w:tcPr>
            <w:tcW w:type="dxa" w:w="3120"/>
            <w:vAlign w:val="center"/>
          </w:tcPr>
          <w:p>
            <w:pPr>
              <w:spacing w:after="0"/>
            </w:pPr>
            <w:r/>
            <w:r>
              <w:rPr>
                <w:rFonts w:ascii="Calibri" w:hAnsi="Calibri"/>
                <w:b w:val="0"/>
                <w:sz w:val="14"/>
              </w:rPr>
              <w:t>Resolved with residual fallback</w:t>
            </w:r>
          </w:p>
        </w:tc>
        <w:tc>
          <w:tcPr>
            <w:tcW w:type="dxa" w:w="3120"/>
            <w:vAlign w:val="center"/>
          </w:tcPr>
          <w:p>
            <w:pPr>
              <w:spacing w:after="0"/>
            </w:pPr>
            <w:r/>
            <w:r>
              <w:rPr>
                <w:rFonts w:ascii="Calibri" w:hAnsi="Calibri"/>
                <w:b w:val="0"/>
                <w:sz w:val="14"/>
              </w:rPr>
              <w:t>Batch execute paths use serialized query payloads; explicit single-record fallback methods remain for legacy/direct actions.</w:t>
            </w:r>
          </w:p>
        </w:tc>
      </w:tr>
      <w:tr>
        <w:tc>
          <w:tcPr>
            <w:tcW w:type="dxa" w:w="3120"/>
            <w:vAlign w:val="center"/>
          </w:tcPr>
          <w:p>
            <w:pPr>
              <w:spacing w:after="0"/>
            </w:pPr>
            <w:r/>
            <w:r>
              <w:rPr>
                <w:rFonts w:ascii="Calibri" w:hAnsi="Calibri"/>
                <w:b w:val="0"/>
                <w:sz w:val="14"/>
              </w:rPr>
              <w:t>System-managed integration products</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System_Managed__c, validation rule, default metadata, and seed service are present.</w:t>
            </w:r>
          </w:p>
        </w:tc>
      </w:tr>
      <w:tr>
        <w:tc>
          <w:tcPr>
            <w:tcW w:type="dxa" w:w="3120"/>
            <w:vAlign w:val="center"/>
          </w:tcPr>
          <w:p>
            <w:pPr>
              <w:spacing w:after="0"/>
            </w:pPr>
            <w:r/>
            <w:r>
              <w:rPr>
                <w:rFonts w:ascii="Calibri" w:hAnsi="Calibri"/>
                <w:b w:val="0"/>
                <w:sz w:val="14"/>
              </w:rPr>
              <w:t>ISSUE-007 QuickBooks N+1 broader fix</w:t>
            </w:r>
          </w:p>
        </w:tc>
        <w:tc>
          <w:tcPr>
            <w:tcW w:type="dxa" w:w="3120"/>
            <w:vAlign w:val="center"/>
          </w:tcPr>
          <w:p>
            <w:pPr>
              <w:spacing w:after="0"/>
            </w:pPr>
            <w:r/>
            <w:r>
              <w:rPr>
                <w:rFonts w:ascii="Calibri" w:hAnsi="Calibri"/>
                <w:b w:val="0"/>
                <w:sz w:val="14"/>
              </w:rPr>
              <w:t>Resolved with scalability risk</w:t>
            </w:r>
          </w:p>
        </w:tc>
        <w:tc>
          <w:tcPr>
            <w:tcW w:type="dxa" w:w="3120"/>
            <w:vAlign w:val="center"/>
          </w:tcPr>
          <w:p>
            <w:pPr>
              <w:spacing w:after="0"/>
            </w:pPr>
            <w:r/>
            <w:r>
              <w:rPr>
                <w:rFonts w:ascii="Calibri" w:hAnsi="Calibri"/>
                <w:b w:val="0"/>
                <w:sz w:val="14"/>
              </w:rPr>
              <w:t>Invoice, credit memo, purchase order, customer, vendor, and item batch paths use QuickBooksBulkQueryService; helper still accumulates pages in memory.</w:t>
            </w:r>
          </w:p>
        </w:tc>
      </w:tr>
      <w:tr>
        <w:tc>
          <w:tcPr>
            <w:tcW w:type="dxa" w:w="3120"/>
            <w:vAlign w:val="center"/>
          </w:tcPr>
          <w:p>
            <w:pPr>
              <w:spacing w:after="0"/>
            </w:pPr>
            <w:r/>
            <w:r>
              <w:rPr>
                <w:rFonts w:ascii="Calibri" w:hAnsi="Calibri"/>
                <w:b w:val="0"/>
                <w:sz w:val="14"/>
              </w:rPr>
              <w:t>ISSUE-002 normalized config reads</w:t>
            </w:r>
          </w:p>
        </w:tc>
        <w:tc>
          <w:tcPr>
            <w:tcW w:type="dxa" w:w="3120"/>
            <w:vAlign w:val="center"/>
          </w:tcPr>
          <w:p>
            <w:pPr>
              <w:spacing w:after="0"/>
            </w:pPr>
            <w:r/>
            <w:r>
              <w:rPr>
                <w:rFonts w:ascii="Calibri" w:hAnsi="Calibri"/>
                <w:b w:val="0"/>
                <w:sz w:val="14"/>
              </w:rPr>
              <w:t>Partially resolved</w:t>
            </w:r>
          </w:p>
        </w:tc>
        <w:tc>
          <w:tcPr>
            <w:tcW w:type="dxa" w:w="3120"/>
            <w:vAlign w:val="center"/>
          </w:tcPr>
          <w:p>
            <w:pPr>
              <w:spacing w:after="0"/>
            </w:pPr>
            <w:r/>
            <w:r>
              <w:rPr>
                <w:rFonts w:ascii="Calibri" w:hAnsi="Calibri"/>
                <w:b w:val="0"/>
                <w:sz w:val="14"/>
              </w:rPr>
              <w:t>Quickbridge_Config__mdt is isolated to compatibility/migration/test paths, but other legacy config MDTs remain active in runtime/admin services.</w:t>
            </w:r>
          </w:p>
        </w:tc>
      </w:tr>
      <w:tr>
        <w:tc>
          <w:tcPr>
            <w:tcW w:type="dxa" w:w="3120"/>
            <w:vAlign w:val="center"/>
          </w:tcPr>
          <w:p>
            <w:pPr>
              <w:spacing w:after="0"/>
            </w:pPr>
            <w:r/>
            <w:r>
              <w:rPr>
                <w:rFonts w:ascii="Calibri" w:hAnsi="Calibri"/>
                <w:b w:val="0"/>
                <w:sz w:val="14"/>
              </w:rPr>
              <w:t>ISSUE-009 invoice processing pipeline</w:t>
            </w:r>
          </w:p>
        </w:tc>
        <w:tc>
          <w:tcPr>
            <w:tcW w:type="dxa" w:w="3120"/>
            <w:vAlign w:val="center"/>
          </w:tcPr>
          <w:p>
            <w:pPr>
              <w:spacing w:after="0"/>
            </w:pPr>
            <w:r/>
            <w:r>
              <w:rPr>
                <w:rFonts w:ascii="Calibri" w:hAnsi="Calibri"/>
                <w:b w:val="0"/>
                <w:sz w:val="14"/>
              </w:rPr>
              <w:t>Partially resolved</w:t>
            </w:r>
          </w:p>
        </w:tc>
        <w:tc>
          <w:tcPr>
            <w:tcW w:type="dxa" w:w="3120"/>
            <w:vAlign w:val="center"/>
          </w:tcPr>
          <w:p>
            <w:pPr>
              <w:spacing w:after="0"/>
            </w:pPr>
            <w:r/>
            <w:r>
              <w:rPr>
                <w:rFonts w:ascii="Calibri" w:hAnsi="Calibri"/>
                <w:b w:val="0"/>
                <w:sz w:val="14"/>
              </w:rPr>
              <w:t>Fail-closed canonical target behavior exists, but target resolution still supports only one canonical invoice source object; Invoice_Field_Mapping__mdt is used for additional client records, not a true target pipeline.</w:t>
            </w:r>
          </w:p>
        </w:tc>
      </w:tr>
      <w:tr>
        <w:tc>
          <w:tcPr>
            <w:tcW w:type="dxa" w:w="3120"/>
            <w:vAlign w:val="center"/>
          </w:tcPr>
          <w:p>
            <w:pPr>
              <w:spacing w:after="0"/>
            </w:pPr>
            <w:r/>
            <w:r>
              <w:rPr>
                <w:rFonts w:ascii="Calibri" w:hAnsi="Calibri"/>
                <w:b w:val="0"/>
                <w:sz w:val="14"/>
              </w:rPr>
              <w:t>NEW-008 QBO sharing and user-mode DML</w:t>
            </w:r>
          </w:p>
        </w:tc>
        <w:tc>
          <w:tcPr>
            <w:tcW w:type="dxa" w:w="3120"/>
            <w:vAlign w:val="center"/>
          </w:tcPr>
          <w:p>
            <w:pPr>
              <w:spacing w:after="0"/>
            </w:pPr>
            <w:r/>
            <w:r>
              <w:rPr>
                <w:rFonts w:ascii="Calibri" w:hAnsi="Calibri"/>
                <w:b w:val="0"/>
                <w:sz w:val="14"/>
              </w:rPr>
              <w:t>Resolved with deployment risk</w:t>
            </w:r>
          </w:p>
        </w:tc>
        <w:tc>
          <w:tcPr>
            <w:tcW w:type="dxa" w:w="3120"/>
            <w:vAlign w:val="center"/>
          </w:tcPr>
          <w:p>
            <w:pPr>
              <w:spacing w:after="0"/>
            </w:pPr>
            <w:r/>
            <w:r>
              <w:rPr>
                <w:rFonts w:ascii="Calibri" w:hAnsi="Calibri"/>
                <w:b w:val="0"/>
                <w:sz w:val="14"/>
              </w:rPr>
              <w:t>QBOInvoiceSyncQueueable and QBOWebhookService are with sharing; QBOInvoiceSyncQueueable uses AccessLevel.USER_MODE DML.</w:t>
            </w:r>
          </w:p>
        </w:tc>
      </w:tr>
      <w:tr>
        <w:tc>
          <w:tcPr>
            <w:tcW w:type="dxa" w:w="3120"/>
            <w:vAlign w:val="center"/>
          </w:tcPr>
          <w:p>
            <w:pPr>
              <w:spacing w:after="0"/>
            </w:pPr>
            <w:r/>
            <w:r>
              <w:rPr>
                <w:rFonts w:ascii="Calibri" w:hAnsi="Calibri"/>
                <w:b w:val="0"/>
                <w:sz w:val="14"/>
              </w:rPr>
              <w:t>NEW-021 canonical tracker PDF generator</w:t>
            </w:r>
          </w:p>
        </w:tc>
        <w:tc>
          <w:tcPr>
            <w:tcW w:type="dxa" w:w="3120"/>
            <w:vAlign w:val="center"/>
          </w:tcPr>
          <w:p>
            <w:pPr>
              <w:spacing w:after="0"/>
            </w:pPr>
            <w:r/>
            <w:r>
              <w:rPr>
                <w:rFonts w:ascii="Calibri" w:hAnsi="Calibri"/>
                <w:b w:val="0"/>
                <w:sz w:val="14"/>
              </w:rPr>
              <w:t>Resolved</w:t>
            </w:r>
          </w:p>
        </w:tc>
        <w:tc>
          <w:tcPr>
            <w:tcW w:type="dxa" w:w="3120"/>
            <w:vAlign w:val="center"/>
          </w:tcPr>
          <w:p>
            <w:pPr>
              <w:spacing w:after="0"/>
            </w:pPr>
            <w:r/>
            <w:r>
              <w:rPr>
                <w:rFonts w:ascii="Calibri" w:hAnsi="Calibri"/>
                <w:b w:val="0"/>
                <w:sz w:val="14"/>
              </w:rPr>
              <w:t>Canonical script exists and count check currently returns PARTIAL=7 OPEN=4 TOTAL=11.</w:t>
            </w:r>
          </w:p>
        </w:tc>
      </w:tr>
      <w:tr>
        <w:tc>
          <w:tcPr>
            <w:tcW w:type="dxa" w:w="3120"/>
            <w:vAlign w:val="center"/>
          </w:tcPr>
          <w:p>
            <w:pPr>
              <w:spacing w:after="0"/>
            </w:pPr>
            <w:r/>
            <w:r>
              <w:rPr>
                <w:rFonts w:ascii="Calibri" w:hAnsi="Calibri"/>
                <w:b w:val="0"/>
                <w:sz w:val="14"/>
              </w:rPr>
              <w:t>ISSUE-005 internal payment component descriptor rendering</w:t>
            </w:r>
          </w:p>
        </w:tc>
        <w:tc>
          <w:tcPr>
            <w:tcW w:type="dxa" w:w="3120"/>
            <w:vAlign w:val="center"/>
          </w:tcPr>
          <w:p>
            <w:pPr>
              <w:spacing w:after="0"/>
            </w:pPr>
            <w:r/>
            <w:r>
              <w:rPr>
                <w:rFonts w:ascii="Calibri" w:hAnsi="Calibri"/>
                <w:b w:val="0"/>
                <w:sz w:val="14"/>
              </w:rPr>
              <w:t>Resolved functionally; UI quality debt remains</w:t>
            </w:r>
          </w:p>
        </w:tc>
        <w:tc>
          <w:tcPr>
            <w:tcW w:type="dxa" w:w="3120"/>
            <w:vAlign w:val="center"/>
          </w:tcPr>
          <w:p>
            <w:pPr>
              <w:spacing w:after="0"/>
            </w:pPr>
            <w:r/>
            <w:r>
              <w:rPr>
                <w:rFonts w:ascii="Calibri" w:hAnsi="Calibri"/>
                <w:b w:val="0"/>
                <w:sz w:val="14"/>
              </w:rPr>
              <w:t>Fallback provider list and provider-specific selected getter are absent; component still has LWC lint/security violations.</w:t>
            </w:r>
          </w:p>
        </w:tc>
      </w:tr>
      <w:tr>
        <w:tc>
          <w:tcPr>
            <w:tcW w:type="dxa" w:w="3120"/>
            <w:vAlign w:val="center"/>
          </w:tcPr>
          <w:p>
            <w:pPr>
              <w:spacing w:after="0"/>
            </w:pPr>
            <w:r/>
            <w:r>
              <w:rPr>
                <w:rFonts w:ascii="Calibri" w:hAnsi="Calibri"/>
                <w:b w:val="0"/>
                <w:sz w:val="14"/>
              </w:rPr>
              <w:t>NEW-004 config panel descriptor rendering</w:t>
            </w:r>
          </w:p>
        </w:tc>
        <w:tc>
          <w:tcPr>
            <w:tcW w:type="dxa" w:w="3120"/>
            <w:vAlign w:val="center"/>
          </w:tcPr>
          <w:p>
            <w:pPr>
              <w:spacing w:after="0"/>
            </w:pPr>
            <w:r/>
            <w:r>
              <w:rPr>
                <w:rFonts w:ascii="Calibri" w:hAnsi="Calibri"/>
                <w:b w:val="0"/>
                <w:sz w:val="14"/>
              </w:rPr>
              <w:t>Partially resolved</w:t>
            </w:r>
          </w:p>
        </w:tc>
        <w:tc>
          <w:tcPr>
            <w:tcW w:type="dxa" w:w="3120"/>
            <w:vAlign w:val="center"/>
          </w:tcPr>
          <w:p>
            <w:pPr>
              <w:spacing w:after="0"/>
            </w:pPr>
            <w:r/>
            <w:r>
              <w:rPr>
                <w:rFonts w:ascii="Calibri" w:hAnsi="Calibri"/>
                <w:b w:val="0"/>
                <w:sz w:val="14"/>
              </w:rPr>
              <w:t>Logo map and hard-coded QBO/Shopify scheduler check are gone; start-date field derivation still uses field-name heuristics.</w:t>
            </w:r>
          </w:p>
        </w:tc>
      </w:tr>
      <w:tr>
        <w:tc>
          <w:tcPr>
            <w:tcW w:type="dxa" w:w="3120"/>
            <w:vAlign w:val="center"/>
          </w:tcPr>
          <w:p>
            <w:pPr>
              <w:spacing w:after="0"/>
            </w:pPr>
            <w:r/>
            <w:r>
              <w:rPr>
                <w:rFonts w:ascii="Calibri" w:hAnsi="Calibri"/>
                <w:b w:val="0"/>
                <w:sz w:val="14"/>
              </w:rPr>
              <w:t>ISSUE-015 runtime/control-plane import boundary</w:t>
            </w:r>
          </w:p>
        </w:tc>
        <w:tc>
          <w:tcPr>
            <w:tcW w:type="dxa" w:w="3120"/>
            <w:vAlign w:val="center"/>
          </w:tcPr>
          <w:p>
            <w:pPr>
              <w:spacing w:after="0"/>
            </w:pPr>
            <w:r/>
            <w:r>
              <w:rPr>
                <w:rFonts w:ascii="Calibri" w:hAnsi="Calibri"/>
                <w:b w:val="0"/>
                <w:sz w:val="14"/>
              </w:rPr>
              <w:t>Resolved for guarded imports</w:t>
            </w:r>
          </w:p>
        </w:tc>
        <w:tc>
          <w:tcPr>
            <w:tcW w:type="dxa" w:w="3120"/>
            <w:vAlign w:val="center"/>
          </w:tcPr>
          <w:p>
            <w:pPr>
              <w:spacing w:after="0"/>
            </w:pPr>
            <w:r/>
            <w:r>
              <w:rPr>
                <w:rFonts w:ascii="Calibri" w:hAnsi="Calibri"/>
                <w:b w:val="0"/>
                <w:sz w:val="14"/>
              </w:rPr>
              <w:t>Static guardrail passed for admin/runtime import boundaries.</w:t>
            </w:r>
          </w:p>
        </w:tc>
      </w:tr>
      <w:tr>
        <w:tc>
          <w:tcPr>
            <w:tcW w:type="dxa" w:w="3120"/>
            <w:vAlign w:val="center"/>
          </w:tcPr>
          <w:p>
            <w:pPr>
              <w:spacing w:after="0"/>
            </w:pPr>
            <w:r/>
            <w:r>
              <w:rPr>
                <w:rFonts w:ascii="Calibri" w:hAnsi="Calibri"/>
                <w:b w:val="0"/>
                <w:sz w:val="14"/>
              </w:rPr>
              <w:t>NEW-011 Error_Log_Link__c authority</w:t>
            </w:r>
          </w:p>
        </w:tc>
        <w:tc>
          <w:tcPr>
            <w:tcW w:type="dxa" w:w="3120"/>
            <w:vAlign w:val="center"/>
          </w:tcPr>
          <w:p>
            <w:pPr>
              <w:spacing w:after="0"/>
            </w:pPr>
            <w:r/>
            <w:r>
              <w:rPr>
                <w:rFonts w:ascii="Calibri" w:hAnsi="Calibri"/>
                <w:b w:val="0"/>
                <w:sz w:val="14"/>
              </w:rPr>
              <w:t>Partially resolved</w:t>
            </w:r>
          </w:p>
        </w:tc>
        <w:tc>
          <w:tcPr>
            <w:tcW w:type="dxa" w:w="3120"/>
            <w:vAlign w:val="center"/>
          </w:tcPr>
          <w:p>
            <w:pPr>
              <w:spacing w:after="0"/>
            </w:pPr>
            <w:r/>
            <w:r>
              <w:rPr>
                <w:rFonts w:ascii="Calibri" w:hAnsi="Calibri"/>
                <w:b w:val="0"/>
                <w:sz w:val="14"/>
              </w:rPr>
              <w:t>Backfill service and generic links exist; release remains blocked by ErrorLogUtility coverage and prior full-suite legacy lookup assertions.</w:t>
            </w:r>
          </w:p>
        </w:tc>
      </w:tr>
      <w:tr>
        <w:tc>
          <w:tcPr>
            <w:tcW w:type="dxa" w:w="3120"/>
            <w:vAlign w:val="center"/>
          </w:tcPr>
          <w:p>
            <w:pPr>
              <w:spacing w:after="0"/>
            </w:pPr>
            <w:r/>
            <w:r>
              <w:rPr>
                <w:rFonts w:ascii="Calibri" w:hAnsi="Calibri"/>
                <w:b w:val="0"/>
                <w:sz w:val="14"/>
              </w:rPr>
              <w:t>Full org validation</w:t>
            </w:r>
          </w:p>
        </w:tc>
        <w:tc>
          <w:tcPr>
            <w:tcW w:type="dxa" w:w="3120"/>
            <w:vAlign w:val="center"/>
          </w:tcPr>
          <w:p>
            <w:pPr>
              <w:spacing w:after="0"/>
            </w:pPr>
            <w:r/>
            <w:r>
              <w:rPr>
                <w:rFonts w:ascii="Calibri" w:hAnsi="Calibri"/>
                <w:b w:val="0"/>
                <w:sz w:val="14"/>
              </w:rPr>
              <w:t>Unresolved</w:t>
            </w:r>
          </w:p>
        </w:tc>
        <w:tc>
          <w:tcPr>
            <w:tcW w:type="dxa" w:w="3120"/>
            <w:vAlign w:val="center"/>
          </w:tcPr>
          <w:p>
            <w:pPr>
              <w:spacing w:after="0"/>
            </w:pPr>
            <w:r/>
            <w:r>
              <w:rPr>
                <w:rFonts w:ascii="Calibri" w:hAnsi="Calibri"/>
                <w:b w:val="0"/>
                <w:sz w:val="14"/>
              </w:rPr>
              <w:t>Prior RunLocalTests dry run failed 447 tests with 42 failures and 64% coverage; this review did not establish full-org readiness.</w:t>
            </w:r>
          </w:p>
        </w:tc>
      </w:tr>
    </w:tbl>
    <w:p/>
    <w:p>
      <w:pPr>
        <w:pStyle w:val="Heading1"/>
      </w:pPr>
      <w:r>
        <w:t>Detailed Findings</w:t>
      </w:r>
    </w:p>
    <w:p>
      <w:pPr>
        <w:pStyle w:val="Heading2"/>
      </w:pPr>
      <w:r>
        <w:t>F-01 - Deployment gates remain the primary unresolved release risk</w:t>
      </w:r>
    </w:p>
    <w:p>
      <w:r>
        <w:rPr>
          <w:b/>
        </w:rPr>
        <w:t xml:space="preserve">Status: </w:t>
      </w:r>
      <w:r>
        <w:rPr>
          <w:b/>
          <w:color w:val="9B1C1C"/>
        </w:rPr>
        <w:t>Unresolved</w:t>
      </w:r>
      <w:r>
        <w:rPr>
          <w:b/>
        </w:rPr>
        <w:t xml:space="preserve">   Severity: </w:t>
      </w:r>
      <w:r>
        <w:t>High</w:t>
      </w:r>
    </w:p>
    <w:p>
      <w:r>
        <w:rPr>
          <w:b/>
        </w:rPr>
        <w:t xml:space="preserve">Evidence: </w:t>
      </w:r>
      <w:r>
        <w:t>Focused package compile passed, but check-only deploys with local tests failed on coverage: ErrorLogUtility 39.744% and IntegrationRetryPolicy 51.456%. Prior full-org validation also reported 42 failures and 64% average coverage.</w:t>
      </w:r>
    </w:p>
    <w:p>
      <w:r>
        <w:rPr>
          <w:b/>
        </w:rPr>
        <w:t xml:space="preserve">Root: </w:t>
      </w:r>
      <w:r>
        <w:t>Fix work added or changed behavior without enough branch coverage and without consistently including new test classes in deploy manifests. Legacy tests still assert old object-specific logging fields in places where Error_Log_Link__c is now authoritative.</w:t>
      </w:r>
    </w:p>
    <w:p>
      <w:r>
        <w:rPr>
          <w:b/>
        </w:rPr>
        <w:t xml:space="preserve">Impact: </w:t>
      </w:r>
      <w:r>
        <w:t>Business impact: release confidence is low and production deployment can be blocked late. Technical impact: teams may ship source that compiles only in narrow paths while broader org validation remains red.</w:t>
      </w:r>
    </w:p>
    <w:p>
      <w:r>
        <w:rPr>
          <w:b/>
        </w:rPr>
        <w:t xml:space="preserve">Remediation: </w:t>
      </w:r>
      <w:r>
        <w:t>Add focused coverage for ErrorLogUtility generic link creation, backfill, dynamic logs, retry status parsing, and IntegrationRetryPolicy classification branches. Include IntegrationRetryPolicyTest and related tests in the deployment manifest. Re-run focused check-only deploys until selected classes exceed 75%, then run full RunLocalTests and retire/update stale legacy assertions.</w:t>
      </w:r>
    </w:p>
    <w:p>
      <w:pPr>
        <w:pStyle w:val="Heading2"/>
      </w:pPr>
      <w:r>
        <w:t>F-02 - Invoice pipeline is fail-closed but not yet a true generic pipeline</w:t>
      </w:r>
    </w:p>
    <w:p>
      <w:r>
        <w:rPr>
          <w:b/>
        </w:rPr>
        <w:t xml:space="preserve">Status: </w:t>
      </w:r>
      <w:r>
        <w:rPr>
          <w:b/>
          <w:color w:val="7A5A00"/>
        </w:rPr>
        <w:t>Partially resolved</w:t>
      </w:r>
      <w:r>
        <w:rPr>
          <w:b/>
        </w:rPr>
        <w:t xml:space="preserve">   Severity: </w:t>
      </w:r>
      <w:r>
        <w:t>High</w:t>
      </w:r>
    </w:p>
    <w:p>
      <w:r>
        <w:rPr>
          <w:b/>
        </w:rPr>
        <w:t xml:space="preserve">Evidence: </w:t>
      </w:r>
      <w:r>
        <w:t>QuickBridgeRecordEngine fails closed when no canonical target exists. However, defaultInvoiceTargets resolves one object from QBOInvoiceMappingResolver and marks the first object canonical; Invoice_Field_Mapping__mdt only drives additional client records after the canonical insert.</w:t>
      </w:r>
    </w:p>
    <w:p>
      <w:r>
        <w:rPr>
          <w:b/>
        </w:rPr>
        <w:t xml:space="preserve">Root: </w:t>
      </w:r>
      <w:r>
        <w:t>The implementation addressed the symptom of hidden Invoice__c fallback without introducing first-class pipeline target metadata for target object, canonical flag, sequence, transaction policy, and field maps.</w:t>
      </w:r>
    </w:p>
    <w:p>
      <w:r>
        <w:rPr>
          <w:b/>
        </w:rPr>
        <w:t xml:space="preserve">Impact: </w:t>
      </w:r>
      <w:r>
        <w:t>Business impact: multi-target invoice rollouts can silently remain bespoke and fragile. Technical impact: target ordering, rollback semantics, and canonical record selection are implicit in code and test hooks rather than declarative metadata.</w:t>
      </w:r>
    </w:p>
    <w:p>
      <w:r>
        <w:rPr>
          <w:b/>
        </w:rPr>
        <w:t xml:space="preserve">Remediation: </w:t>
      </w:r>
      <w:r>
        <w:t>Introduce Invoice_Pipeline_Target__mdt or extend existing mapping metadata with Target_Object_API_Name__c, Canonical__c, Sequence__c, Active__c, Dml_Mode__c, and Failure_Policy__c. Build PipelineTarget records entirely from metadata, enforce exactly one active canonical target, and add tests for multiple targets, invalid targets, partial failure policy, namespaced object names, and Error_Log_Link__c action-source linkage.</w:t>
      </w:r>
    </w:p>
    <w:p>
      <w:pPr>
        <w:pStyle w:val="Heading2"/>
      </w:pPr>
      <w:r>
        <w:t>F-03 - Normalized configuration authority is still fragmented</w:t>
      </w:r>
    </w:p>
    <w:p>
      <w:r>
        <w:rPr>
          <w:b/>
        </w:rPr>
        <w:t xml:space="preserve">Status: </w:t>
      </w:r>
      <w:r>
        <w:rPr>
          <w:b/>
          <w:color w:val="7A5A00"/>
        </w:rPr>
        <w:t>Partially resolved</w:t>
      </w:r>
      <w:r>
        <w:rPr>
          <w:b/>
        </w:rPr>
        <w:t xml:space="preserve">   Severity: </w:t>
      </w:r>
      <w:r>
        <w:t>High</w:t>
      </w:r>
    </w:p>
    <w:p>
      <w:r>
        <w:rPr>
          <w:b/>
        </w:rPr>
        <w:t xml:space="preserve">Evidence: </w:t>
      </w:r>
      <w:r>
        <w:t>Quickbridge_Config__mdt references are limited to compatibility/migration/test paths, but PayPal_Config__mdt, AuthorizeNet_Config__mdt, FedEx_Config__mdt, and legacy payment metadata references still appear in runtime or admin services.</w:t>
      </w:r>
    </w:p>
    <w:p>
      <w:r>
        <w:rPr>
          <w:b/>
        </w:rPr>
        <w:t xml:space="preserve">Root: </w:t>
      </w:r>
      <w:r>
        <w:t>The migration was scoped to the wide Quickbridge_Config__mdt model, while provider-specific legacy custom metadata remains embedded in webhook, QR, dispute, and admin code paths.</w:t>
      </w:r>
    </w:p>
    <w:p>
      <w:r>
        <w:rPr>
          <w:b/>
        </w:rPr>
        <w:t xml:space="preserve">Impact: </w:t>
      </w:r>
      <w:r>
        <w:t>Business impact: admins can update normalized connector config while some runtime paths still read stale legacy values. Technical impact: configuration behavior differs by provider and code path, increasing support and security risk.</w:t>
      </w:r>
    </w:p>
    <w:p>
      <w:r>
        <w:rPr>
          <w:b/>
        </w:rPr>
        <w:t xml:space="preserve">Remediation: </w:t>
      </w:r>
      <w:r>
        <w:t>Route PayPal webhook ID, PayPal sandbox selection, Authorize.Net invoice behavior, FedEx fallback, InvoiceQRService, InvoiceDisputeService, and PaymentMethodAdminService through ConnectorConfigResolver or named/external credentials. Keep legacy reads only inside documented migration compatibility classes with telemetry when fallback is used.</w:t>
      </w:r>
    </w:p>
    <w:p>
      <w:pPr>
        <w:pStyle w:val="Heading2"/>
      </w:pPr>
      <w:r>
        <w:t>F-04 - LWC lint and formatting failures reveal unresolved quality/security debt</w:t>
      </w:r>
    </w:p>
    <w:p>
      <w:r>
        <w:rPr>
          <w:b/>
        </w:rPr>
        <w:t xml:space="preserve">Status: </w:t>
      </w:r>
      <w:r>
        <w:rPr>
          <w:b/>
          <w:color w:val="9B1C1C"/>
        </w:rPr>
        <w:t>Unresolved</w:t>
      </w:r>
      <w:r>
        <w:rPr>
          <w:b/>
        </w:rPr>
        <w:t xml:space="preserve">   Severity: </w:t>
      </w:r>
      <w:r>
        <w:t>Medium-High</w:t>
      </w:r>
    </w:p>
    <w:p>
      <w:r>
        <w:rPr>
          <w:b/>
        </w:rPr>
        <w:t xml:space="preserve">Evidence: </w:t>
      </w:r>
      <w:r>
        <w:t>npm.cmd run lint failed with 30 errors, including no-document-query, no-inner-html, no-async-operation, no-await-in-loop, no-alert, and unused variables. npm.cmd run prettier:verify failed on 98 files.</w:t>
      </w:r>
    </w:p>
    <w:p>
      <w:r>
        <w:rPr>
          <w:b/>
        </w:rPr>
        <w:t xml:space="preserve">Root: </w:t>
      </w:r>
      <w:r>
        <w:t>Large UI files were refactored functionally without bringing repo-wide quality gates back to green. The internal payment component still contains document-level DOM access, innerHTML usage, polling, and long mixed-responsibility methods.</w:t>
      </w:r>
    </w:p>
    <w:p>
      <w:r>
        <w:rPr>
          <w:b/>
        </w:rPr>
        <w:t xml:space="preserve">Impact: </w:t>
      </w:r>
      <w:r>
        <w:t>Business impact: checkout UI defects are harder to certify and browser/security review risk is elevated. Technical impact: long components are difficult to test, and lint bypasses can mask XSS or lifecycle issues.</w:t>
      </w:r>
    </w:p>
    <w:p>
      <w:r>
        <w:rPr>
          <w:b/>
        </w:rPr>
        <w:t xml:space="preserve">Remediation: </w:t>
      </w:r>
      <w:r>
        <w:t>Split internalPaymentComponent into provider selector, hosted provider panel, Stripe renderer, PayPal renderer, and Authorize.Net renderer modules. Replace document.querySelector with component-scoped template access, remove innerHTML, replace ad hoc polling with promise-based script loading and lifecycle guards, then run lint and Prettier as required pre-merge gates.</w:t>
      </w:r>
    </w:p>
    <w:p>
      <w:pPr>
        <w:pStyle w:val="Heading2"/>
      </w:pPr>
      <w:r>
        <w:t>F-05 - Org/source drift causes misleading validation results</w:t>
      </w:r>
    </w:p>
    <w:p>
      <w:r>
        <w:rPr>
          <w:b/>
        </w:rPr>
        <w:t xml:space="preserve">Status: </w:t>
      </w:r>
      <w:r>
        <w:rPr>
          <w:b/>
          <w:color w:val="9B1C1C"/>
        </w:rPr>
        <w:t>Unresolved</w:t>
      </w:r>
      <w:r>
        <w:rPr>
          <w:b/>
        </w:rPr>
        <w:t xml:space="preserve">   Severity: </w:t>
      </w:r>
      <w:r>
        <w:t>Medium</w:t>
      </w:r>
    </w:p>
    <w:p>
      <w:r>
        <w:rPr>
          <w:b/>
        </w:rPr>
        <w:t xml:space="preserve">Evidence: </w:t>
      </w:r>
      <w:r>
        <w:t>A direct org Apex run reported 66 passing and 1 failing test. The same QuickBridgeRecordEngineTest passed 8 of 8 assertions when run through a check-only deploy using local source, proving the org did not have the latest local source/test state. IntegrationRetryPolicyTest exists locally but was absent from the org.</w:t>
      </w:r>
    </w:p>
    <w:p>
      <w:r>
        <w:rPr>
          <w:b/>
        </w:rPr>
        <w:t xml:space="preserve">Root: </w:t>
      </w:r>
      <w:r>
        <w:t>The connected org is not consistently synchronized with v3-changes, and test runs against installed org state can be mistaken for validation of local source.</w:t>
      </w:r>
    </w:p>
    <w:p>
      <w:r>
        <w:rPr>
          <w:b/>
        </w:rPr>
        <w:t xml:space="preserve">Impact: </w:t>
      </w:r>
      <w:r>
        <w:t>Business impact: stakeholders may receive contradictory pass/fail signals. Technical impact: QA loses a reliable baseline for regression decisions.</w:t>
      </w:r>
    </w:p>
    <w:p>
      <w:r>
        <w:rPr>
          <w:b/>
        </w:rPr>
        <w:t xml:space="preserve">Remediation: </w:t>
      </w:r>
      <w:r>
        <w:t>Use scratch orgs or check-only deploys from the local branch for all release validation. Add a verification checklist that records commit SHA, deploy ID, manifest, test set, and whether tests ran against local source or existing org source.</w:t>
      </w:r>
    </w:p>
    <w:p>
      <w:pPr>
        <w:pStyle w:val="Heading2"/>
      </w:pPr>
      <w:r>
        <w:t>F-06 - Webhook payload storage and logging need privacy hardening</w:t>
      </w:r>
    </w:p>
    <w:p>
      <w:r>
        <w:rPr>
          <w:b/>
        </w:rPr>
        <w:t xml:space="preserve">Status: </w:t>
      </w:r>
      <w:r>
        <w:rPr>
          <w:b/>
        </w:rPr>
        <w:t>New finding</w:t>
      </w:r>
      <w:r>
        <w:rPr>
          <w:b/>
        </w:rPr>
        <w:t xml:space="preserve">   Severity: </w:t>
      </w:r>
      <w:r>
        <w:t>Medium</w:t>
      </w:r>
    </w:p>
    <w:p>
      <w:r>
        <w:rPr>
          <w:b/>
        </w:rPr>
        <w:t xml:space="preserve">Evidence: </w:t>
      </w:r>
      <w:r>
        <w:t>PaymentWebhookRestResource stores the raw request body in Portal_Payment_Transaction__c.Payload__c up to 131,072 characters and emits normal webhook traces at ERROR level.</w:t>
      </w:r>
    </w:p>
    <w:p>
      <w:r>
        <w:rPr>
          <w:b/>
        </w:rPr>
        <w:t xml:space="preserve">Root: </w:t>
      </w:r>
      <w:r>
        <w:t>The webhook layer prioritizes diagnostics but does not yet define a redaction/retention policy for third-party payment payloads.</w:t>
      </w:r>
    </w:p>
    <w:p>
      <w:r>
        <w:rPr>
          <w:b/>
        </w:rPr>
        <w:t xml:space="preserve">Impact: </w:t>
      </w:r>
      <w:r>
        <w:t>Business impact: payment payloads can include PII or provider metadata that should not be broadly visible. Technical impact: large payloads consume storage and logs become noisy during normal webhook traffic.</w:t>
      </w:r>
    </w:p>
    <w:p>
      <w:r>
        <w:rPr>
          <w:b/>
        </w:rPr>
        <w:t xml:space="preserve">Remediation: </w:t>
      </w:r>
      <w:r>
        <w:t>Redact customer, address, token-like, card-like, and authorization fields before persistence. Store event IDs and normalized fields as primary audit data, move raw payload retention behind an admin setting with short retention, and lower normal trace level from ERROR to DEBUG/WARN as appropriate.</w:t>
      </w:r>
    </w:p>
    <w:p>
      <w:pPr>
        <w:pStyle w:val="Heading2"/>
      </w:pPr>
      <w:r>
        <w:t>F-07 - QuickBooks bulk query helper can still hit governor and memory limits at scale</w:t>
      </w:r>
    </w:p>
    <w:p>
      <w:r>
        <w:rPr>
          <w:b/>
        </w:rPr>
        <w:t xml:space="preserve">Status: </w:t>
      </w:r>
      <w:r>
        <w:rPr>
          <w:b/>
        </w:rPr>
        <w:t>New finding</w:t>
      </w:r>
      <w:r>
        <w:rPr>
          <w:b/>
        </w:rPr>
        <w:t xml:space="preserve">   Severity: </w:t>
      </w:r>
      <w:r>
        <w:t>Medium</w:t>
      </w:r>
    </w:p>
    <w:p>
      <w:r>
        <w:rPr>
          <w:b/>
        </w:rPr>
        <w:t xml:space="preserve">Evidence: </w:t>
      </w:r>
      <w:r>
        <w:t>QuickBooksBulkQueryService paginates with MAXRESULTS 1000, but each query accumulates every page into a List&lt;Map&lt;String,Object&gt;&gt; before batch processing continues.</w:t>
      </w:r>
    </w:p>
    <w:p>
      <w:r>
        <w:rPr>
          <w:b/>
        </w:rPr>
        <w:t xml:space="preserve">Root: </w:t>
      </w:r>
      <w:r>
        <w:t>The N+1 fix optimized callout count but preserved an all-records-in-memory processing shape.</w:t>
      </w:r>
    </w:p>
    <w:p>
      <w:r>
        <w:rPr>
          <w:b/>
        </w:rPr>
        <w:t xml:space="preserve">Impact: </w:t>
      </w:r>
      <w:r>
        <w:t>Business impact: high-volume tenants may still see failed sync jobs or partial data currency. Technical impact: heap, CPU, and response parsing limits remain plausible during large initial syncs.</w:t>
      </w:r>
    </w:p>
    <w:p>
      <w:r>
        <w:rPr>
          <w:b/>
        </w:rPr>
        <w:t xml:space="preserve">Remediation: </w:t>
      </w:r>
      <w:r>
        <w:t>Process pages incrementally inside batch scope, cap maximum pages per transaction, checkpoint next start position, and add telemetry for page count, record count, payload size, and retryable QBO failures.</w:t>
      </w:r>
    </w:p>
    <w:p>
      <w:pPr>
        <w:pStyle w:val="Heading1"/>
      </w:pPr>
      <w:r>
        <w:t>Root Cause Analysis</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fill="F2F4F7"/>
            <w:vAlign w:val="center"/>
          </w:tcPr>
          <w:p>
            <w:pPr>
              <w:spacing w:after="0"/>
            </w:pPr>
            <w:r/>
            <w:r>
              <w:rPr>
                <w:rFonts w:ascii="Calibri" w:hAnsi="Calibri"/>
                <w:b/>
                <w:color w:val="0B2545"/>
                <w:sz w:val="16"/>
              </w:rPr>
              <w:t>Recurring pattern</w:t>
            </w:r>
          </w:p>
        </w:tc>
        <w:tc>
          <w:tcPr>
            <w:tcW w:type="dxa" w:w="6192"/>
            <w:shd w:fill="F2F4F7"/>
            <w:vAlign w:val="center"/>
          </w:tcPr>
          <w:p>
            <w:pPr>
              <w:spacing w:after="0"/>
            </w:pPr>
            <w:r/>
            <w:r>
              <w:rPr>
                <w:rFonts w:ascii="Calibri" w:hAnsi="Calibri"/>
                <w:b/>
                <w:color w:val="0B2545"/>
                <w:sz w:val="16"/>
              </w:rPr>
              <w:t>Explanation</w:t>
            </w:r>
          </w:p>
        </w:tc>
      </w:tr>
      <w:tr>
        <w:tc>
          <w:tcPr>
            <w:tcW w:type="dxa" w:w="4680"/>
            <w:vAlign w:val="center"/>
          </w:tcPr>
          <w:p>
            <w:pPr>
              <w:spacing w:after="0"/>
            </w:pPr>
            <w:r/>
            <w:r>
              <w:rPr>
                <w:rFonts w:ascii="Calibri" w:hAnsi="Calibri"/>
                <w:b w:val="0"/>
                <w:sz w:val="16"/>
              </w:rPr>
              <w:t>Test coverage added after functionality</w:t>
            </w:r>
          </w:p>
        </w:tc>
        <w:tc>
          <w:tcPr>
            <w:tcW w:type="dxa" w:w="4680"/>
            <w:vAlign w:val="center"/>
          </w:tcPr>
          <w:p>
            <w:pPr>
              <w:spacing w:after="0"/>
            </w:pPr>
            <w:r/>
            <w:r>
              <w:rPr>
                <w:rFonts w:ascii="Calibri" w:hAnsi="Calibri"/>
                <w:b w:val="0"/>
                <w:sz w:val="16"/>
              </w:rPr>
              <w:t>Fixes compile and unit assertions pass in narrow scopes, but deploy coverage remains below Salesforce thresholds.</w:t>
            </w:r>
          </w:p>
        </w:tc>
      </w:tr>
      <w:tr>
        <w:tc>
          <w:tcPr>
            <w:tcW w:type="dxa" w:w="4680"/>
            <w:vAlign w:val="center"/>
          </w:tcPr>
          <w:p>
            <w:pPr>
              <w:spacing w:after="0"/>
            </w:pPr>
            <w:r/>
            <w:r>
              <w:rPr>
                <w:rFonts w:ascii="Calibri" w:hAnsi="Calibri"/>
                <w:b w:val="0"/>
                <w:sz w:val="16"/>
              </w:rPr>
              <w:t>Metadata migration by layers rather than authority boundary</w:t>
            </w:r>
          </w:p>
        </w:tc>
        <w:tc>
          <w:tcPr>
            <w:tcW w:type="dxa" w:w="4680"/>
            <w:vAlign w:val="center"/>
          </w:tcPr>
          <w:p>
            <w:pPr>
              <w:spacing w:after="0"/>
            </w:pPr>
            <w:r/>
            <w:r>
              <w:rPr>
                <w:rFonts w:ascii="Calibri" w:hAnsi="Calibri"/>
                <w:b w:val="0"/>
                <w:sz w:val="16"/>
              </w:rPr>
              <w:t>Quickbridge_Config__mdt was isolated, but provider-specific MDTs and PaymentMethodAdmin metadata references remain.</w:t>
            </w:r>
          </w:p>
        </w:tc>
      </w:tr>
      <w:tr>
        <w:tc>
          <w:tcPr>
            <w:tcW w:type="dxa" w:w="4680"/>
            <w:vAlign w:val="center"/>
          </w:tcPr>
          <w:p>
            <w:pPr>
              <w:spacing w:after="0"/>
            </w:pPr>
            <w:r/>
            <w:r>
              <w:rPr>
                <w:rFonts w:ascii="Calibri" w:hAnsi="Calibri"/>
                <w:b w:val="0"/>
                <w:sz w:val="16"/>
              </w:rPr>
              <w:t>Large control-plane/UI components</w:t>
            </w:r>
          </w:p>
        </w:tc>
        <w:tc>
          <w:tcPr>
            <w:tcW w:type="dxa" w:w="4680"/>
            <w:vAlign w:val="center"/>
          </w:tcPr>
          <w:p>
            <w:pPr>
              <w:spacing w:after="0"/>
            </w:pPr>
            <w:r/>
            <w:r>
              <w:rPr>
                <w:rFonts w:ascii="Calibri" w:hAnsi="Calibri"/>
                <w:b w:val="0"/>
                <w:sz w:val="16"/>
              </w:rPr>
              <w:t>Payment and config-panel components mix rendering, provider orchestration, script loading, validation, and telemetry, making lint and security hard to enforce.</w:t>
            </w:r>
          </w:p>
        </w:tc>
      </w:tr>
      <w:tr>
        <w:tc>
          <w:tcPr>
            <w:tcW w:type="dxa" w:w="4680"/>
            <w:vAlign w:val="center"/>
          </w:tcPr>
          <w:p>
            <w:pPr>
              <w:spacing w:after="0"/>
            </w:pPr>
            <w:r/>
            <w:r>
              <w:rPr>
                <w:rFonts w:ascii="Calibri" w:hAnsi="Calibri"/>
                <w:b w:val="0"/>
                <w:sz w:val="16"/>
              </w:rPr>
              <w:t>Compatibility fallback preserved too broadly</w:t>
            </w:r>
          </w:p>
        </w:tc>
        <w:tc>
          <w:tcPr>
            <w:tcW w:type="dxa" w:w="4680"/>
            <w:vAlign w:val="center"/>
          </w:tcPr>
          <w:p>
            <w:pPr>
              <w:spacing w:after="0"/>
            </w:pPr>
            <w:r/>
            <w:r>
              <w:rPr>
                <w:rFonts w:ascii="Calibri" w:hAnsi="Calibri"/>
                <w:b w:val="0"/>
                <w:sz w:val="16"/>
              </w:rPr>
              <w:t>Legacy fallback paths keep production behavior alive while reducing immediate regression risk, but they obscure which config source is authoritative.</w:t>
            </w:r>
          </w:p>
        </w:tc>
      </w:tr>
      <w:tr>
        <w:tc>
          <w:tcPr>
            <w:tcW w:type="dxa" w:w="4680"/>
            <w:vAlign w:val="center"/>
          </w:tcPr>
          <w:p>
            <w:pPr>
              <w:spacing w:after="0"/>
            </w:pPr>
            <w:r/>
            <w:r>
              <w:rPr>
                <w:rFonts w:ascii="Calibri" w:hAnsi="Calibri"/>
                <w:b w:val="0"/>
                <w:sz w:val="16"/>
              </w:rPr>
              <w:t>Org validation and source validation conflated</w:t>
            </w:r>
          </w:p>
        </w:tc>
        <w:tc>
          <w:tcPr>
            <w:tcW w:type="dxa" w:w="4680"/>
            <w:vAlign w:val="center"/>
          </w:tcPr>
          <w:p>
            <w:pPr>
              <w:spacing w:after="0"/>
            </w:pPr>
            <w:r/>
            <w:r>
              <w:rPr>
                <w:rFonts w:ascii="Calibri" w:hAnsi="Calibri"/>
                <w:b w:val="0"/>
                <w:sz w:val="16"/>
              </w:rPr>
              <w:t>Direct test runs against the org can fail or pass based on deployed org state rather than the branch under review.</w:t>
            </w:r>
          </w:p>
        </w:tc>
      </w:tr>
    </w:tbl>
    <w:p/>
    <w:p>
      <w:pPr>
        <w:pStyle w:val="Heading1"/>
      </w:pPr>
      <w:r>
        <w:t>Fix Verification Results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fill="F2F4F7"/>
            <w:vAlign w:val="center"/>
          </w:tcPr>
          <w:p>
            <w:pPr>
              <w:spacing w:after="0"/>
            </w:pPr>
            <w:r/>
            <w:r>
              <w:rPr>
                <w:rFonts w:ascii="Calibri" w:hAnsi="Calibri"/>
                <w:b/>
                <w:color w:val="0B2545"/>
                <w:sz w:val="16"/>
              </w:rPr>
              <w:t>Verification item</w:t>
            </w:r>
          </w:p>
        </w:tc>
        <w:tc>
          <w:tcPr>
            <w:tcW w:type="dxa" w:w="1440"/>
            <w:shd w:fill="F2F4F7"/>
            <w:vAlign w:val="center"/>
          </w:tcPr>
          <w:p>
            <w:pPr>
              <w:spacing w:after="0"/>
            </w:pPr>
            <w:r/>
            <w:r>
              <w:rPr>
                <w:rFonts w:ascii="Calibri" w:hAnsi="Calibri"/>
                <w:b/>
                <w:color w:val="0B2545"/>
                <w:sz w:val="16"/>
              </w:rPr>
              <w:t>Result</w:t>
            </w:r>
          </w:p>
        </w:tc>
        <w:tc>
          <w:tcPr>
            <w:tcW w:type="dxa" w:w="4752"/>
            <w:shd w:fill="F2F4F7"/>
            <w:vAlign w:val="center"/>
          </w:tcPr>
          <w:p>
            <w:pPr>
              <w:spacing w:after="0"/>
            </w:pPr>
            <w:r/>
            <w:r>
              <w:rPr>
                <w:rFonts w:ascii="Calibri" w:hAnsi="Calibri"/>
                <w:b/>
                <w:color w:val="0B2545"/>
                <w:sz w:val="16"/>
              </w:rPr>
              <w:t>Notes</w:t>
            </w:r>
          </w:p>
        </w:tc>
      </w:tr>
      <w:tr>
        <w:tc>
          <w:tcPr>
            <w:tcW w:type="dxa" w:w="3120"/>
            <w:vAlign w:val="center"/>
          </w:tcPr>
          <w:p>
            <w:pPr>
              <w:spacing w:after="0"/>
            </w:pPr>
            <w:r/>
            <w:r>
              <w:rPr>
                <w:rFonts w:ascii="Calibri" w:hAnsi="Calibri"/>
                <w:b w:val="0"/>
                <w:sz w:val="16"/>
              </w:rPr>
              <w:t>Static permanent-fix guardrails</w:t>
            </w:r>
          </w:p>
        </w:tc>
        <w:tc>
          <w:tcPr>
            <w:tcW w:type="dxa" w:w="3120"/>
            <w:vAlign w:val="center"/>
          </w:tcPr>
          <w:p>
            <w:pPr>
              <w:spacing w:after="0"/>
            </w:pPr>
            <w:r/>
            <w:r>
              <w:rPr>
                <w:rFonts w:ascii="Calibri" w:hAnsi="Calibri"/>
                <w:b w:val="0"/>
                <w:sz w:val="16"/>
              </w:rPr>
              <w:t>Passed</w:t>
            </w:r>
          </w:p>
        </w:tc>
        <w:tc>
          <w:tcPr>
            <w:tcW w:type="dxa" w:w="3120"/>
            <w:vAlign w:val="center"/>
          </w:tcPr>
          <w:p>
            <w:pPr>
              <w:spacing w:after="0"/>
            </w:pPr>
            <w:r/>
            <w:r>
              <w:rPr>
                <w:rFonts w:ascii="Calibri" w:hAnsi="Calibri"/>
                <w:b w:val="0"/>
                <w:sz w:val="16"/>
              </w:rPr>
              <w:t>QuickBridge permanent-fix static guardrails passed.</w:t>
            </w:r>
          </w:p>
        </w:tc>
      </w:tr>
      <w:tr>
        <w:tc>
          <w:tcPr>
            <w:tcW w:type="dxa" w:w="3120"/>
            <w:vAlign w:val="center"/>
          </w:tcPr>
          <w:p>
            <w:pPr>
              <w:spacing w:after="0"/>
            </w:pPr>
            <w:r/>
            <w:r>
              <w:rPr>
                <w:rFonts w:ascii="Calibri" w:hAnsi="Calibri"/>
                <w:b w:val="0"/>
                <w:sz w:val="16"/>
              </w:rPr>
              <w:t>LWC unit tests</w:t>
            </w:r>
          </w:p>
        </w:tc>
        <w:tc>
          <w:tcPr>
            <w:tcW w:type="dxa" w:w="3120"/>
            <w:vAlign w:val="center"/>
          </w:tcPr>
          <w:p>
            <w:pPr>
              <w:spacing w:after="0"/>
            </w:pPr>
            <w:r/>
            <w:r>
              <w:rPr>
                <w:rFonts w:ascii="Calibri" w:hAnsi="Calibri"/>
                <w:b w:val="0"/>
                <w:sz w:val="16"/>
              </w:rPr>
              <w:t>Passed</w:t>
            </w:r>
          </w:p>
        </w:tc>
        <w:tc>
          <w:tcPr>
            <w:tcW w:type="dxa" w:w="3120"/>
            <w:vAlign w:val="center"/>
          </w:tcPr>
          <w:p>
            <w:pPr>
              <w:spacing w:after="0"/>
            </w:pPr>
            <w:r/>
            <w:r>
              <w:rPr>
                <w:rFonts w:ascii="Calibri" w:hAnsi="Calibri"/>
                <w:b w:val="0"/>
                <w:sz w:val="16"/>
              </w:rPr>
              <w:t>3 suites, 7 tests, 0 failures.</w:t>
            </w:r>
          </w:p>
        </w:tc>
      </w:tr>
      <w:tr>
        <w:tc>
          <w:tcPr>
            <w:tcW w:type="dxa" w:w="3120"/>
            <w:vAlign w:val="center"/>
          </w:tcPr>
          <w:p>
            <w:pPr>
              <w:spacing w:after="0"/>
            </w:pPr>
            <w:r/>
            <w:r>
              <w:rPr>
                <w:rFonts w:ascii="Calibri" w:hAnsi="Calibri"/>
                <w:b w:val="0"/>
                <w:sz w:val="16"/>
              </w:rPr>
              <w:t>Focused Issues 3 package compile</w:t>
            </w:r>
          </w:p>
        </w:tc>
        <w:tc>
          <w:tcPr>
            <w:tcW w:type="dxa" w:w="3120"/>
            <w:vAlign w:val="center"/>
          </w:tcPr>
          <w:p>
            <w:pPr>
              <w:spacing w:after="0"/>
            </w:pPr>
            <w:r/>
            <w:r>
              <w:rPr>
                <w:rFonts w:ascii="Calibri" w:hAnsi="Calibri"/>
                <w:b w:val="0"/>
                <w:sz w:val="16"/>
              </w:rPr>
              <w:t>Passed</w:t>
            </w:r>
          </w:p>
        </w:tc>
        <w:tc>
          <w:tcPr>
            <w:tcW w:type="dxa" w:w="3120"/>
            <w:vAlign w:val="center"/>
          </w:tcPr>
          <w:p>
            <w:pPr>
              <w:spacing w:after="0"/>
            </w:pPr>
            <w:r/>
            <w:r>
              <w:rPr>
                <w:rFonts w:ascii="Calibri" w:hAnsi="Calibri"/>
                <w:b w:val="0"/>
                <w:sz w:val="16"/>
              </w:rPr>
              <w:t>Check-only deploy completed with zero component errors; deploy ID 0Afal00002Vk16KCAR.</w:t>
            </w:r>
          </w:p>
        </w:tc>
      </w:tr>
      <w:tr>
        <w:tc>
          <w:tcPr>
            <w:tcW w:type="dxa" w:w="3120"/>
            <w:vAlign w:val="center"/>
          </w:tcPr>
          <w:p>
            <w:pPr>
              <w:spacing w:after="0"/>
            </w:pPr>
            <w:r/>
            <w:r>
              <w:rPr>
                <w:rFonts w:ascii="Calibri" w:hAnsi="Calibri"/>
                <w:b w:val="0"/>
                <w:sz w:val="16"/>
              </w:rPr>
              <w:t>Direct org targeted Apex tests</w:t>
            </w:r>
          </w:p>
        </w:tc>
        <w:tc>
          <w:tcPr>
            <w:tcW w:type="dxa" w:w="3120"/>
            <w:vAlign w:val="center"/>
          </w:tcPr>
          <w:p>
            <w:pPr>
              <w:spacing w:after="0"/>
            </w:pPr>
            <w:r/>
            <w:r>
              <w:rPr>
                <w:rFonts w:ascii="Calibri" w:hAnsi="Calibri"/>
                <w:b w:val="0"/>
                <w:sz w:val="16"/>
              </w:rPr>
              <w:t>Warning</w:t>
            </w:r>
          </w:p>
        </w:tc>
        <w:tc>
          <w:tcPr>
            <w:tcW w:type="dxa" w:w="3120"/>
            <w:vAlign w:val="center"/>
          </w:tcPr>
          <w:p>
            <w:pPr>
              <w:spacing w:after="0"/>
            </w:pPr>
            <w:r/>
            <w:r>
              <w:rPr>
                <w:rFonts w:ascii="Calibri" w:hAnsi="Calibri"/>
                <w:b w:val="0"/>
                <w:sz w:val="16"/>
              </w:rPr>
              <w:t>67 ran; 66 passed; 1 failure caused by org/source drift, not reproduced with local-source check-only deploy.</w:t>
            </w:r>
          </w:p>
        </w:tc>
      </w:tr>
      <w:tr>
        <w:tc>
          <w:tcPr>
            <w:tcW w:type="dxa" w:w="3120"/>
            <w:vAlign w:val="center"/>
          </w:tcPr>
          <w:p>
            <w:pPr>
              <w:spacing w:after="0"/>
            </w:pPr>
            <w:r/>
            <w:r>
              <w:rPr>
                <w:rFonts w:ascii="Calibri" w:hAnsi="Calibri"/>
                <w:b w:val="0"/>
                <w:sz w:val="16"/>
              </w:rPr>
              <w:t>Local-source QuickBridgeRecordEngine check-only test</w:t>
            </w:r>
          </w:p>
        </w:tc>
        <w:tc>
          <w:tcPr>
            <w:tcW w:type="dxa" w:w="3120"/>
            <w:vAlign w:val="center"/>
          </w:tcPr>
          <w:p>
            <w:pPr>
              <w:spacing w:after="0"/>
            </w:pPr>
            <w:r/>
            <w:r>
              <w:rPr>
                <w:rFonts w:ascii="Calibri" w:hAnsi="Calibri"/>
                <w:b w:val="0"/>
                <w:sz w:val="16"/>
              </w:rPr>
              <w:t>Warning</w:t>
            </w:r>
          </w:p>
        </w:tc>
        <w:tc>
          <w:tcPr>
            <w:tcW w:type="dxa" w:w="3120"/>
            <w:vAlign w:val="center"/>
          </w:tcPr>
          <w:p>
            <w:pPr>
              <w:spacing w:after="0"/>
            </w:pPr>
            <w:r/>
            <w:r>
              <w:rPr>
                <w:rFonts w:ascii="Calibri" w:hAnsi="Calibri"/>
                <w:b w:val="0"/>
                <w:sz w:val="16"/>
              </w:rPr>
              <w:t>8 assertions passed, but deploy failed coverage gate for ErrorLogUtility at 39.744%.</w:t>
            </w:r>
          </w:p>
        </w:tc>
      </w:tr>
      <w:tr>
        <w:tc>
          <w:tcPr>
            <w:tcW w:type="dxa" w:w="3120"/>
            <w:vAlign w:val="center"/>
          </w:tcPr>
          <w:p>
            <w:pPr>
              <w:spacing w:after="0"/>
            </w:pPr>
            <w:r/>
            <w:r>
              <w:rPr>
                <w:rFonts w:ascii="Calibri" w:hAnsi="Calibri"/>
                <w:b w:val="0"/>
                <w:sz w:val="16"/>
              </w:rPr>
              <w:t>Local-source IntegrationRetryPolicy check-only test</w:t>
            </w:r>
          </w:p>
        </w:tc>
        <w:tc>
          <w:tcPr>
            <w:tcW w:type="dxa" w:w="3120"/>
            <w:vAlign w:val="center"/>
          </w:tcPr>
          <w:p>
            <w:pPr>
              <w:spacing w:after="0"/>
            </w:pPr>
            <w:r/>
            <w:r>
              <w:rPr>
                <w:rFonts w:ascii="Calibri" w:hAnsi="Calibri"/>
                <w:b w:val="0"/>
                <w:sz w:val="16"/>
              </w:rPr>
              <w:t>Warning</w:t>
            </w:r>
          </w:p>
        </w:tc>
        <w:tc>
          <w:tcPr>
            <w:tcW w:type="dxa" w:w="3120"/>
            <w:vAlign w:val="center"/>
          </w:tcPr>
          <w:p>
            <w:pPr>
              <w:spacing w:after="0"/>
            </w:pPr>
            <w:r/>
            <w:r>
              <w:rPr>
                <w:rFonts w:ascii="Calibri" w:hAnsi="Calibri"/>
                <w:b w:val="0"/>
                <w:sz w:val="16"/>
              </w:rPr>
              <w:t>3 assertions passed, but deploy failed coverage gate for IntegrationRetryPolicy at 51.456%.</w:t>
            </w:r>
          </w:p>
        </w:tc>
      </w:tr>
      <w:tr>
        <w:tc>
          <w:tcPr>
            <w:tcW w:type="dxa" w:w="3120"/>
            <w:vAlign w:val="center"/>
          </w:tcPr>
          <w:p>
            <w:pPr>
              <w:spacing w:after="0"/>
            </w:pPr>
            <w:r/>
            <w:r>
              <w:rPr>
                <w:rFonts w:ascii="Calibri" w:hAnsi="Calibri"/>
                <w:b w:val="0"/>
                <w:sz w:val="16"/>
              </w:rPr>
              <w:t>Tracker generator count check</w:t>
            </w:r>
          </w:p>
        </w:tc>
        <w:tc>
          <w:tcPr>
            <w:tcW w:type="dxa" w:w="3120"/>
            <w:vAlign w:val="center"/>
          </w:tcPr>
          <w:p>
            <w:pPr>
              <w:spacing w:after="0"/>
            </w:pPr>
            <w:r/>
            <w:r>
              <w:rPr>
                <w:rFonts w:ascii="Calibri" w:hAnsi="Calibri"/>
                <w:b w:val="0"/>
                <w:sz w:val="16"/>
              </w:rPr>
              <w:t>Passed</w:t>
            </w:r>
          </w:p>
        </w:tc>
        <w:tc>
          <w:tcPr>
            <w:tcW w:type="dxa" w:w="3120"/>
            <w:vAlign w:val="center"/>
          </w:tcPr>
          <w:p>
            <w:pPr>
              <w:spacing w:after="0"/>
            </w:pPr>
            <w:r/>
            <w:r>
              <w:rPr>
                <w:rFonts w:ascii="Calibri" w:hAnsi="Calibri"/>
                <w:b w:val="0"/>
                <w:sz w:val="16"/>
              </w:rPr>
              <w:t>PARTIAL=7 OPEN=4 TOTAL=11.</w:t>
            </w:r>
          </w:p>
        </w:tc>
      </w:tr>
      <w:tr>
        <w:tc>
          <w:tcPr>
            <w:tcW w:type="dxa" w:w="3120"/>
            <w:vAlign w:val="center"/>
          </w:tcPr>
          <w:p>
            <w:pPr>
              <w:spacing w:after="0"/>
            </w:pPr>
            <w:r/>
            <w:r>
              <w:rPr>
                <w:rFonts w:ascii="Calibri" w:hAnsi="Calibri"/>
                <w:b w:val="0"/>
                <w:sz w:val="16"/>
              </w:rPr>
              <w:t>Repo lint</w:t>
            </w:r>
          </w:p>
        </w:tc>
        <w:tc>
          <w:tcPr>
            <w:tcW w:type="dxa" w:w="3120"/>
            <w:vAlign w:val="center"/>
          </w:tcPr>
          <w:p>
            <w:pPr>
              <w:spacing w:after="0"/>
            </w:pPr>
            <w:r/>
            <w:r>
              <w:rPr>
                <w:rFonts w:ascii="Calibri" w:hAnsi="Calibri"/>
                <w:b w:val="0"/>
                <w:sz w:val="16"/>
              </w:rPr>
              <w:t>Failed</w:t>
            </w:r>
          </w:p>
        </w:tc>
        <w:tc>
          <w:tcPr>
            <w:tcW w:type="dxa" w:w="3120"/>
            <w:vAlign w:val="center"/>
          </w:tcPr>
          <w:p>
            <w:pPr>
              <w:spacing w:after="0"/>
            </w:pPr>
            <w:r/>
            <w:r>
              <w:rPr>
                <w:rFonts w:ascii="Calibri" w:hAnsi="Calibri"/>
                <w:b w:val="0"/>
                <w:sz w:val="16"/>
              </w:rPr>
              <w:t>30 LWC JavaScript lint errors.</w:t>
            </w:r>
          </w:p>
        </w:tc>
      </w:tr>
      <w:tr>
        <w:tc>
          <w:tcPr>
            <w:tcW w:type="dxa" w:w="3120"/>
            <w:vAlign w:val="center"/>
          </w:tcPr>
          <w:p>
            <w:pPr>
              <w:spacing w:after="0"/>
            </w:pPr>
            <w:r/>
            <w:r>
              <w:rPr>
                <w:rFonts w:ascii="Calibri" w:hAnsi="Calibri"/>
                <w:b w:val="0"/>
                <w:sz w:val="16"/>
              </w:rPr>
              <w:t>Repo Prettier check</w:t>
            </w:r>
          </w:p>
        </w:tc>
        <w:tc>
          <w:tcPr>
            <w:tcW w:type="dxa" w:w="3120"/>
            <w:vAlign w:val="center"/>
          </w:tcPr>
          <w:p>
            <w:pPr>
              <w:spacing w:after="0"/>
            </w:pPr>
            <w:r/>
            <w:r>
              <w:rPr>
                <w:rFonts w:ascii="Calibri" w:hAnsi="Calibri"/>
                <w:b w:val="0"/>
                <w:sz w:val="16"/>
              </w:rPr>
              <w:t>Failed</w:t>
            </w:r>
          </w:p>
        </w:tc>
        <w:tc>
          <w:tcPr>
            <w:tcW w:type="dxa" w:w="3120"/>
            <w:vAlign w:val="center"/>
          </w:tcPr>
          <w:p>
            <w:pPr>
              <w:spacing w:after="0"/>
            </w:pPr>
            <w:r/>
            <w:r>
              <w:rPr>
                <w:rFonts w:ascii="Calibri" w:hAnsi="Calibri"/>
                <w:b w:val="0"/>
                <w:sz w:val="16"/>
              </w:rPr>
              <w:t>98 files reported formatting drift.</w:t>
            </w:r>
          </w:p>
        </w:tc>
      </w:tr>
    </w:tbl>
    <w:p/>
    <w:p>
      <w:pPr>
        <w:pStyle w:val="Heading1"/>
      </w:pPr>
      <w:r>
        <w:t>Outstanding Issues</w:t>
      </w:r>
    </w:p>
    <w:p>
      <w:pPr>
        <w:pStyle w:val="ListBullet"/>
        <w:spacing w:after="80"/>
        <w:ind w:left="360" w:hanging="144"/>
      </w:pPr>
      <w:r>
        <w:t>Clear Apex coverage gates for ErrorLogUtility, IntegrationRetryPolicy, and the broader classes previously reported below 75%.</w:t>
      </w:r>
    </w:p>
    <w:p>
      <w:pPr>
        <w:pStyle w:val="ListBullet"/>
        <w:spacing w:after="80"/>
        <w:ind w:left="360" w:hanging="144"/>
      </w:pPr>
      <w:r>
        <w:t>Complete the invoice pipeline as first-class metadata-driven target execution rather than single-target canonical insert plus mapped side effects.</w:t>
      </w:r>
    </w:p>
    <w:p>
      <w:pPr>
        <w:pStyle w:val="ListBullet"/>
        <w:spacing w:after="80"/>
        <w:ind w:left="360" w:hanging="144"/>
      </w:pPr>
      <w:r>
        <w:t>Finish normalized connector configuration migration for PayPal, Authorize.Net, FedEx, QR/dispute services, and admin metadata paths.</w:t>
      </w:r>
    </w:p>
    <w:p>
      <w:pPr>
        <w:pStyle w:val="ListBullet"/>
        <w:spacing w:after="80"/>
        <w:ind w:left="360" w:hanging="144"/>
      </w:pPr>
      <w:r>
        <w:t>Resolve repo-wide lint and Prettier failures, with priority on internalPaymentComponent security/lifecycle issues.</w:t>
      </w:r>
    </w:p>
    <w:p>
      <w:pPr>
        <w:pStyle w:val="ListBullet"/>
        <w:spacing w:after="80"/>
        <w:ind w:left="360" w:hanging="144"/>
      </w:pPr>
      <w:r>
        <w:t>Run and stabilize a full org RunLocalTests check-only validation after focused coverage work is complete.</w:t>
      </w:r>
    </w:p>
    <w:p>
      <w:pPr>
        <w:pStyle w:val="ListBullet"/>
        <w:spacing w:after="80"/>
        <w:ind w:left="360" w:hanging="144"/>
      </w:pPr>
      <w:r>
        <w:t>Add privacy controls for raw payment webhook payload retention and logging levels.</w:t>
      </w:r>
    </w:p>
    <w:p>
      <w:pPr>
        <w:pStyle w:val="Heading1"/>
      </w:pPr>
      <w:r>
        <w:t>Recommended Resolutions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F2F4F7"/>
            <w:vAlign w:val="center"/>
          </w:tcPr>
          <w:p>
            <w:pPr>
              <w:spacing w:after="0"/>
            </w:pPr>
            <w:r/>
            <w:r>
              <w:rPr>
                <w:rFonts w:ascii="Calibri" w:hAnsi="Calibri"/>
                <w:b/>
                <w:color w:val="0B2545"/>
                <w:sz w:val="16"/>
              </w:rPr>
              <w:t>Resolution area</w:t>
            </w:r>
          </w:p>
        </w:tc>
        <w:tc>
          <w:tcPr>
            <w:tcW w:type="dxa" w:w="6480"/>
            <w:shd w:fill="F2F4F7"/>
            <w:vAlign w:val="center"/>
          </w:tcPr>
          <w:p>
            <w:pPr>
              <w:spacing w:after="0"/>
            </w:pPr>
            <w:r/>
            <w:r>
              <w:rPr>
                <w:rFonts w:ascii="Calibri" w:hAnsi="Calibri"/>
                <w:b/>
                <w:color w:val="0B2545"/>
                <w:sz w:val="16"/>
              </w:rPr>
              <w:t>Recommended change</w:t>
            </w:r>
          </w:p>
        </w:tc>
      </w:tr>
      <w:tr>
        <w:tc>
          <w:tcPr>
            <w:tcW w:type="dxa" w:w="4680"/>
            <w:vAlign w:val="center"/>
          </w:tcPr>
          <w:p>
            <w:pPr>
              <w:spacing w:after="0"/>
            </w:pPr>
            <w:r/>
            <w:r>
              <w:rPr>
                <w:rFonts w:ascii="Calibri" w:hAnsi="Calibri"/>
                <w:b w:val="0"/>
                <w:sz w:val="16"/>
              </w:rPr>
              <w:t>Apex coverage release gate</w:t>
            </w:r>
          </w:p>
        </w:tc>
        <w:tc>
          <w:tcPr>
            <w:tcW w:type="dxa" w:w="4680"/>
            <w:vAlign w:val="center"/>
          </w:tcPr>
          <w:p>
            <w:pPr>
              <w:spacing w:after="0"/>
            </w:pPr>
            <w:r/>
            <w:r>
              <w:rPr>
                <w:rFonts w:ascii="Calibri" w:hAnsi="Calibri"/>
                <w:b w:val="0"/>
                <w:sz w:val="16"/>
              </w:rPr>
              <w:t>Add focused tests; include missing local test classes in manifest; update legacy Error_Log__c lookup assertions; repeat check-only deploys until coverage passes.</w:t>
            </w:r>
          </w:p>
        </w:tc>
      </w:tr>
      <w:tr>
        <w:tc>
          <w:tcPr>
            <w:tcW w:type="dxa" w:w="4680"/>
            <w:vAlign w:val="center"/>
          </w:tcPr>
          <w:p>
            <w:pPr>
              <w:spacing w:after="0"/>
            </w:pPr>
            <w:r/>
            <w:r>
              <w:rPr>
                <w:rFonts w:ascii="Calibri" w:hAnsi="Calibri"/>
                <w:b w:val="0"/>
                <w:sz w:val="16"/>
              </w:rPr>
              <w:t>Invoice pipeline architecture</w:t>
            </w:r>
          </w:p>
        </w:tc>
        <w:tc>
          <w:tcPr>
            <w:tcW w:type="dxa" w:w="4680"/>
            <w:vAlign w:val="center"/>
          </w:tcPr>
          <w:p>
            <w:pPr>
              <w:spacing w:after="0"/>
            </w:pPr>
            <w:r/>
            <w:r>
              <w:rPr>
                <w:rFonts w:ascii="Calibri" w:hAnsi="Calibri"/>
                <w:b w:val="0"/>
                <w:sz w:val="16"/>
              </w:rPr>
              <w:t>Create declarative pipeline target metadata with canonical/sequence/failure-policy fields; build pipeline entirely from metadata; test multi-target and namespace scenarios.</w:t>
            </w:r>
          </w:p>
        </w:tc>
      </w:tr>
      <w:tr>
        <w:tc>
          <w:tcPr>
            <w:tcW w:type="dxa" w:w="4680"/>
            <w:vAlign w:val="center"/>
          </w:tcPr>
          <w:p>
            <w:pPr>
              <w:spacing w:after="0"/>
            </w:pPr>
            <w:r/>
            <w:r>
              <w:rPr>
                <w:rFonts w:ascii="Calibri" w:hAnsi="Calibri"/>
                <w:b w:val="0"/>
                <w:sz w:val="16"/>
              </w:rPr>
              <w:t>Config authority</w:t>
            </w:r>
          </w:p>
        </w:tc>
        <w:tc>
          <w:tcPr>
            <w:tcW w:type="dxa" w:w="4680"/>
            <w:vAlign w:val="center"/>
          </w:tcPr>
          <w:p>
            <w:pPr>
              <w:spacing w:after="0"/>
            </w:pPr>
            <w:r/>
            <w:r>
              <w:rPr>
                <w:rFonts w:ascii="Calibri" w:hAnsi="Calibri"/>
                <w:b w:val="0"/>
                <w:sz w:val="16"/>
              </w:rPr>
              <w:t>Route all provider-specific runtime/admin config through ConnectorConfigResolver and named/external credentials; instrument legacy fallback usage.</w:t>
            </w:r>
          </w:p>
        </w:tc>
      </w:tr>
      <w:tr>
        <w:tc>
          <w:tcPr>
            <w:tcW w:type="dxa" w:w="4680"/>
            <w:vAlign w:val="center"/>
          </w:tcPr>
          <w:p>
            <w:pPr>
              <w:spacing w:after="0"/>
            </w:pPr>
            <w:r/>
            <w:r>
              <w:rPr>
                <w:rFonts w:ascii="Calibri" w:hAnsi="Calibri"/>
                <w:b w:val="0"/>
                <w:sz w:val="16"/>
              </w:rPr>
              <w:t>Payment UI refactor</w:t>
            </w:r>
          </w:p>
        </w:tc>
        <w:tc>
          <w:tcPr>
            <w:tcW w:type="dxa" w:w="4680"/>
            <w:vAlign w:val="center"/>
          </w:tcPr>
          <w:p>
            <w:pPr>
              <w:spacing w:after="0"/>
            </w:pPr>
            <w:r/>
            <w:r>
              <w:rPr>
                <w:rFonts w:ascii="Calibri" w:hAnsi="Calibri"/>
                <w:b w:val="0"/>
                <w:sz w:val="16"/>
              </w:rPr>
              <w:t>Split internalPaymentComponent by renderer, remove innerHTML/document queries, use component-scoped DOM access and promise-based resource loading.</w:t>
            </w:r>
          </w:p>
        </w:tc>
      </w:tr>
      <w:tr>
        <w:tc>
          <w:tcPr>
            <w:tcW w:type="dxa" w:w="4680"/>
            <w:vAlign w:val="center"/>
          </w:tcPr>
          <w:p>
            <w:pPr>
              <w:spacing w:after="0"/>
            </w:pPr>
            <w:r/>
            <w:r>
              <w:rPr>
                <w:rFonts w:ascii="Calibri" w:hAnsi="Calibri"/>
                <w:b w:val="0"/>
                <w:sz w:val="16"/>
              </w:rPr>
              <w:t>Validation process</w:t>
            </w:r>
          </w:p>
        </w:tc>
        <w:tc>
          <w:tcPr>
            <w:tcW w:type="dxa" w:w="4680"/>
            <w:vAlign w:val="center"/>
          </w:tcPr>
          <w:p>
            <w:pPr>
              <w:spacing w:after="0"/>
            </w:pPr>
            <w:r/>
            <w:r>
              <w:rPr>
                <w:rFonts w:ascii="Calibri" w:hAnsi="Calibri"/>
                <w:b w:val="0"/>
                <w:sz w:val="16"/>
              </w:rPr>
              <w:t>Use local-source check-only deploys as the authoritative QA signal; record commit SHA, deploy ID, test suite, coverage, and full-org result.</w:t>
            </w:r>
          </w:p>
        </w:tc>
      </w:tr>
      <w:tr>
        <w:tc>
          <w:tcPr>
            <w:tcW w:type="dxa" w:w="4680"/>
            <w:vAlign w:val="center"/>
          </w:tcPr>
          <w:p>
            <w:pPr>
              <w:spacing w:after="0"/>
            </w:pPr>
            <w:r/>
            <w:r>
              <w:rPr>
                <w:rFonts w:ascii="Calibri" w:hAnsi="Calibri"/>
                <w:b w:val="0"/>
                <w:sz w:val="16"/>
              </w:rPr>
              <w:t>Security/privacy</w:t>
            </w:r>
          </w:p>
        </w:tc>
        <w:tc>
          <w:tcPr>
            <w:tcW w:type="dxa" w:w="4680"/>
            <w:vAlign w:val="center"/>
          </w:tcPr>
          <w:p>
            <w:pPr>
              <w:spacing w:after="0"/>
            </w:pPr>
            <w:r/>
            <w:r>
              <w:rPr>
                <w:rFonts w:ascii="Calibri" w:hAnsi="Calibri"/>
                <w:b w:val="0"/>
                <w:sz w:val="16"/>
              </w:rPr>
              <w:t>Redact webhook payloads, narrow raw payload retention, and lower normal webhook trace level from ERROR.</w:t>
            </w:r>
          </w:p>
        </w:tc>
      </w:tr>
    </w:tbl>
    <w:p/>
    <w:p>
      <w:pPr>
        <w:pStyle w:val="Heading1"/>
      </w:pPr>
      <w:r>
        <w:t>Risk Assessment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shd w:fill="F2F4F7"/>
            <w:vAlign w:val="center"/>
          </w:tcPr>
          <w:p>
            <w:pPr>
              <w:spacing w:after="0"/>
            </w:pPr>
            <w:r/>
            <w:r>
              <w:rPr>
                <w:rFonts w:ascii="Calibri" w:hAnsi="Calibri"/>
                <w:b/>
                <w:color w:val="0B2545"/>
                <w:sz w:val="16"/>
              </w:rPr>
              <w:t>Severity</w:t>
            </w:r>
          </w:p>
        </w:tc>
        <w:tc>
          <w:tcPr>
            <w:tcW w:type="dxa" w:w="2880"/>
            <w:shd w:fill="F2F4F7"/>
            <w:vAlign w:val="center"/>
          </w:tcPr>
          <w:p>
            <w:pPr>
              <w:spacing w:after="0"/>
            </w:pPr>
            <w:r/>
            <w:r>
              <w:rPr>
                <w:rFonts w:ascii="Calibri" w:hAnsi="Calibri"/>
                <w:b/>
                <w:color w:val="0B2545"/>
                <w:sz w:val="16"/>
              </w:rPr>
              <w:t>Risk</w:t>
            </w:r>
          </w:p>
        </w:tc>
        <w:tc>
          <w:tcPr>
            <w:tcW w:type="dxa" w:w="5040"/>
            <w:shd w:fill="F2F4F7"/>
            <w:vAlign w:val="center"/>
          </w:tcPr>
          <w:p>
            <w:pPr>
              <w:spacing w:after="0"/>
            </w:pPr>
            <w:r/>
            <w:r>
              <w:rPr>
                <w:rFonts w:ascii="Calibri" w:hAnsi="Calibri"/>
                <w:b/>
                <w:color w:val="0B2545"/>
                <w:sz w:val="16"/>
              </w:rPr>
              <w:t>Business and technical impact</w:t>
            </w:r>
          </w:p>
        </w:tc>
      </w:tr>
      <w:tr>
        <w:tc>
          <w:tcPr>
            <w:tcW w:type="dxa" w:w="3120"/>
            <w:vAlign w:val="center"/>
          </w:tcPr>
          <w:p>
            <w:pPr>
              <w:spacing w:after="0"/>
            </w:pPr>
            <w:r/>
            <w:r>
              <w:rPr>
                <w:rFonts w:ascii="Calibri" w:hAnsi="Calibri"/>
                <w:b w:val="0"/>
                <w:sz w:val="16"/>
              </w:rPr>
              <w:t>High</w:t>
            </w:r>
          </w:p>
        </w:tc>
        <w:tc>
          <w:tcPr>
            <w:tcW w:type="dxa" w:w="3120"/>
            <w:vAlign w:val="center"/>
          </w:tcPr>
          <w:p>
            <w:pPr>
              <w:spacing w:after="0"/>
            </w:pPr>
            <w:r/>
            <w:r>
              <w:rPr>
                <w:rFonts w:ascii="Calibri" w:hAnsi="Calibri"/>
                <w:b w:val="0"/>
                <w:sz w:val="16"/>
              </w:rPr>
              <w:t>Deployment gate failure</w:t>
            </w:r>
          </w:p>
        </w:tc>
        <w:tc>
          <w:tcPr>
            <w:tcW w:type="dxa" w:w="3120"/>
            <w:vAlign w:val="center"/>
          </w:tcPr>
          <w:p>
            <w:pPr>
              <w:spacing w:after="0"/>
            </w:pPr>
            <w:r/>
            <w:r>
              <w:rPr>
                <w:rFonts w:ascii="Calibri" w:hAnsi="Calibri"/>
                <w:b w:val="0"/>
                <w:sz w:val="16"/>
              </w:rPr>
              <w:t>Blocks production release and can mask regressions until late QA.</w:t>
            </w:r>
          </w:p>
        </w:tc>
      </w:tr>
      <w:tr>
        <w:tc>
          <w:tcPr>
            <w:tcW w:type="dxa" w:w="3120"/>
            <w:vAlign w:val="center"/>
          </w:tcPr>
          <w:p>
            <w:pPr>
              <w:spacing w:after="0"/>
            </w:pPr>
            <w:r/>
            <w:r>
              <w:rPr>
                <w:rFonts w:ascii="Calibri" w:hAnsi="Calibri"/>
                <w:b w:val="0"/>
                <w:sz w:val="16"/>
              </w:rPr>
              <w:t>High</w:t>
            </w:r>
          </w:p>
        </w:tc>
        <w:tc>
          <w:tcPr>
            <w:tcW w:type="dxa" w:w="3120"/>
            <w:vAlign w:val="center"/>
          </w:tcPr>
          <w:p>
            <w:pPr>
              <w:spacing w:after="0"/>
            </w:pPr>
            <w:r/>
            <w:r>
              <w:rPr>
                <w:rFonts w:ascii="Calibri" w:hAnsi="Calibri"/>
                <w:b w:val="0"/>
                <w:sz w:val="16"/>
              </w:rPr>
              <w:t>Partial invoice pipeline</w:t>
            </w:r>
          </w:p>
        </w:tc>
        <w:tc>
          <w:tcPr>
            <w:tcW w:type="dxa" w:w="3120"/>
            <w:vAlign w:val="center"/>
          </w:tcPr>
          <w:p>
            <w:pPr>
              <w:spacing w:after="0"/>
            </w:pPr>
            <w:r/>
            <w:r>
              <w:rPr>
                <w:rFonts w:ascii="Calibri" w:hAnsi="Calibri"/>
                <w:b w:val="0"/>
                <w:sz w:val="16"/>
              </w:rPr>
              <w:t>Can create incorrect invoice target behavior for customers expecting metadata-driven extensibility.</w:t>
            </w:r>
          </w:p>
        </w:tc>
      </w:tr>
      <w:tr>
        <w:tc>
          <w:tcPr>
            <w:tcW w:type="dxa" w:w="3120"/>
            <w:vAlign w:val="center"/>
          </w:tcPr>
          <w:p>
            <w:pPr>
              <w:spacing w:after="0"/>
            </w:pPr>
            <w:r/>
            <w:r>
              <w:rPr>
                <w:rFonts w:ascii="Calibri" w:hAnsi="Calibri"/>
                <w:b w:val="0"/>
                <w:sz w:val="16"/>
              </w:rPr>
              <w:t>High</w:t>
            </w:r>
          </w:p>
        </w:tc>
        <w:tc>
          <w:tcPr>
            <w:tcW w:type="dxa" w:w="3120"/>
            <w:vAlign w:val="center"/>
          </w:tcPr>
          <w:p>
            <w:pPr>
              <w:spacing w:after="0"/>
            </w:pPr>
            <w:r/>
            <w:r>
              <w:rPr>
                <w:rFonts w:ascii="Calibri" w:hAnsi="Calibri"/>
                <w:b w:val="0"/>
                <w:sz w:val="16"/>
              </w:rPr>
              <w:t>Fragmented configuration authority</w:t>
            </w:r>
          </w:p>
        </w:tc>
        <w:tc>
          <w:tcPr>
            <w:tcW w:type="dxa" w:w="3120"/>
            <w:vAlign w:val="center"/>
          </w:tcPr>
          <w:p>
            <w:pPr>
              <w:spacing w:after="0"/>
            </w:pPr>
            <w:r/>
            <w:r>
              <w:rPr>
                <w:rFonts w:ascii="Calibri" w:hAnsi="Calibri"/>
                <w:b w:val="0"/>
                <w:sz w:val="16"/>
              </w:rPr>
              <w:t>Can cause production runtime to use stale or unexpected credentials/config values.</w:t>
            </w:r>
          </w:p>
        </w:tc>
      </w:tr>
      <w:tr>
        <w:tc>
          <w:tcPr>
            <w:tcW w:type="dxa" w:w="3120"/>
            <w:vAlign w:val="center"/>
          </w:tcPr>
          <w:p>
            <w:pPr>
              <w:spacing w:after="0"/>
            </w:pPr>
            <w:r/>
            <w:r>
              <w:rPr>
                <w:rFonts w:ascii="Calibri" w:hAnsi="Calibri"/>
                <w:b w:val="0"/>
                <w:sz w:val="16"/>
              </w:rPr>
              <w:t>Medium-High</w:t>
            </w:r>
          </w:p>
        </w:tc>
        <w:tc>
          <w:tcPr>
            <w:tcW w:type="dxa" w:w="3120"/>
            <w:vAlign w:val="center"/>
          </w:tcPr>
          <w:p>
            <w:pPr>
              <w:spacing w:after="0"/>
            </w:pPr>
            <w:r/>
            <w:r>
              <w:rPr>
                <w:rFonts w:ascii="Calibri" w:hAnsi="Calibri"/>
                <w:b w:val="0"/>
                <w:sz w:val="16"/>
              </w:rPr>
              <w:t>Payment UI lint/security debt</w:t>
            </w:r>
          </w:p>
        </w:tc>
        <w:tc>
          <w:tcPr>
            <w:tcW w:type="dxa" w:w="3120"/>
            <w:vAlign w:val="center"/>
          </w:tcPr>
          <w:p>
            <w:pPr>
              <w:spacing w:after="0"/>
            </w:pPr>
            <w:r/>
            <w:r>
              <w:rPr>
                <w:rFonts w:ascii="Calibri" w:hAnsi="Calibri"/>
                <w:b w:val="0"/>
                <w:sz w:val="16"/>
              </w:rPr>
              <w:t>Raises checkout reliability, maintainability, and security review risk.</w:t>
            </w:r>
          </w:p>
        </w:tc>
      </w:tr>
      <w:tr>
        <w:tc>
          <w:tcPr>
            <w:tcW w:type="dxa" w:w="3120"/>
            <w:vAlign w:val="center"/>
          </w:tcPr>
          <w:p>
            <w:pPr>
              <w:spacing w:after="0"/>
            </w:pPr>
            <w:r/>
            <w:r>
              <w:rPr>
                <w:rFonts w:ascii="Calibri" w:hAnsi="Calibri"/>
                <w:b w:val="0"/>
                <w:sz w:val="16"/>
              </w:rPr>
              <w:t>Medium</w:t>
            </w:r>
          </w:p>
        </w:tc>
        <w:tc>
          <w:tcPr>
            <w:tcW w:type="dxa" w:w="3120"/>
            <w:vAlign w:val="center"/>
          </w:tcPr>
          <w:p>
            <w:pPr>
              <w:spacing w:after="0"/>
            </w:pPr>
            <w:r/>
            <w:r>
              <w:rPr>
                <w:rFonts w:ascii="Calibri" w:hAnsi="Calibri"/>
                <w:b w:val="0"/>
                <w:sz w:val="16"/>
              </w:rPr>
              <w:t>Org/source drift</w:t>
            </w:r>
          </w:p>
        </w:tc>
        <w:tc>
          <w:tcPr>
            <w:tcW w:type="dxa" w:w="3120"/>
            <w:vAlign w:val="center"/>
          </w:tcPr>
          <w:p>
            <w:pPr>
              <w:spacing w:after="0"/>
            </w:pPr>
            <w:r/>
            <w:r>
              <w:rPr>
                <w:rFonts w:ascii="Calibri" w:hAnsi="Calibri"/>
                <w:b w:val="0"/>
                <w:sz w:val="16"/>
              </w:rPr>
              <w:t>Produces misleading validation outcomes and weakens release sign-off.</w:t>
            </w:r>
          </w:p>
        </w:tc>
      </w:tr>
      <w:tr>
        <w:tc>
          <w:tcPr>
            <w:tcW w:type="dxa" w:w="3120"/>
            <w:vAlign w:val="center"/>
          </w:tcPr>
          <w:p>
            <w:pPr>
              <w:spacing w:after="0"/>
            </w:pPr>
            <w:r/>
            <w:r>
              <w:rPr>
                <w:rFonts w:ascii="Calibri" w:hAnsi="Calibri"/>
                <w:b w:val="0"/>
                <w:sz w:val="16"/>
              </w:rPr>
              <w:t>Medium</w:t>
            </w:r>
          </w:p>
        </w:tc>
        <w:tc>
          <w:tcPr>
            <w:tcW w:type="dxa" w:w="3120"/>
            <w:vAlign w:val="center"/>
          </w:tcPr>
          <w:p>
            <w:pPr>
              <w:spacing w:after="0"/>
            </w:pPr>
            <w:r/>
            <w:r>
              <w:rPr>
                <w:rFonts w:ascii="Calibri" w:hAnsi="Calibri"/>
                <w:b w:val="0"/>
                <w:sz w:val="16"/>
              </w:rPr>
              <w:t>Raw webhook payload retention</w:t>
            </w:r>
          </w:p>
        </w:tc>
        <w:tc>
          <w:tcPr>
            <w:tcW w:type="dxa" w:w="3120"/>
            <w:vAlign w:val="center"/>
          </w:tcPr>
          <w:p>
            <w:pPr>
              <w:spacing w:after="0"/>
            </w:pPr>
            <w:r/>
            <w:r>
              <w:rPr>
                <w:rFonts w:ascii="Calibri" w:hAnsi="Calibri"/>
                <w:b w:val="0"/>
                <w:sz w:val="16"/>
              </w:rPr>
              <w:t>Increases privacy, storage, and access-control exposure.</w:t>
            </w:r>
          </w:p>
        </w:tc>
      </w:tr>
      <w:tr>
        <w:tc>
          <w:tcPr>
            <w:tcW w:type="dxa" w:w="3120"/>
            <w:vAlign w:val="center"/>
          </w:tcPr>
          <w:p>
            <w:pPr>
              <w:spacing w:after="0"/>
            </w:pPr>
            <w:r/>
            <w:r>
              <w:rPr>
                <w:rFonts w:ascii="Calibri" w:hAnsi="Calibri"/>
                <w:b w:val="0"/>
                <w:sz w:val="16"/>
              </w:rPr>
              <w:t>Medium</w:t>
            </w:r>
          </w:p>
        </w:tc>
        <w:tc>
          <w:tcPr>
            <w:tcW w:type="dxa" w:w="3120"/>
            <w:vAlign w:val="center"/>
          </w:tcPr>
          <w:p>
            <w:pPr>
              <w:spacing w:after="0"/>
            </w:pPr>
            <w:r/>
            <w:r>
              <w:rPr>
                <w:rFonts w:ascii="Calibri" w:hAnsi="Calibri"/>
                <w:b w:val="0"/>
                <w:sz w:val="16"/>
              </w:rPr>
              <w:t>Bulk query heap/CPU scaling</w:t>
            </w:r>
          </w:p>
        </w:tc>
        <w:tc>
          <w:tcPr>
            <w:tcW w:type="dxa" w:w="3120"/>
            <w:vAlign w:val="center"/>
          </w:tcPr>
          <w:p>
            <w:pPr>
              <w:spacing w:after="0"/>
            </w:pPr>
            <w:r/>
            <w:r>
              <w:rPr>
                <w:rFonts w:ascii="Calibri" w:hAnsi="Calibri"/>
                <w:b w:val="0"/>
                <w:sz w:val="16"/>
              </w:rPr>
              <w:t>Can still fail high-volume initial or catch-up QuickBooks syncs.</w:t>
            </w:r>
          </w:p>
        </w:tc>
      </w:tr>
    </w:tbl>
    <w:p/>
    <w:p>
      <w:pPr>
        <w:pStyle w:val="Heading1"/>
      </w:pPr>
      <w:r>
        <w:t>Action Plan and Prioritized Next Steps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shd w:fill="F2F4F7"/>
            <w:vAlign w:val="center"/>
          </w:tcPr>
          <w:p>
            <w:pPr>
              <w:spacing w:after="0"/>
            </w:pPr>
            <w:r/>
            <w:r>
              <w:rPr>
                <w:rFonts w:ascii="Calibri" w:hAnsi="Calibri"/>
                <w:b/>
                <w:color w:val="0B2545"/>
                <w:sz w:val="16"/>
              </w:rPr>
              <w:t>Priority</w:t>
            </w:r>
          </w:p>
        </w:tc>
        <w:tc>
          <w:tcPr>
            <w:tcW w:type="dxa" w:w="2592"/>
            <w:shd w:fill="F2F4F7"/>
            <w:vAlign w:val="center"/>
          </w:tcPr>
          <w:p>
            <w:pPr>
              <w:spacing w:after="0"/>
            </w:pPr>
            <w:r/>
            <w:r>
              <w:rPr>
                <w:rFonts w:ascii="Calibri" w:hAnsi="Calibri"/>
                <w:b/>
                <w:color w:val="0B2545"/>
                <w:sz w:val="16"/>
              </w:rPr>
              <w:t>Step</w:t>
            </w:r>
          </w:p>
        </w:tc>
        <w:tc>
          <w:tcPr>
            <w:tcW w:type="dxa" w:w="5760"/>
            <w:shd w:fill="F2F4F7"/>
            <w:vAlign w:val="center"/>
          </w:tcPr>
          <w:p>
            <w:pPr>
              <w:spacing w:after="0"/>
            </w:pPr>
            <w:r/>
            <w:r>
              <w:rPr>
                <w:rFonts w:ascii="Calibri" w:hAnsi="Calibri"/>
                <w:b/>
                <w:color w:val="0B2545"/>
                <w:sz w:val="16"/>
              </w:rPr>
              <w:t>Definition of done</w:t>
            </w:r>
          </w:p>
        </w:tc>
      </w:tr>
      <w:tr>
        <w:tc>
          <w:tcPr>
            <w:tcW w:type="dxa" w:w="3120"/>
            <w:vAlign w:val="center"/>
          </w:tcPr>
          <w:p>
            <w:pPr>
              <w:spacing w:after="0"/>
            </w:pPr>
            <w:r/>
            <w:r>
              <w:rPr>
                <w:rFonts w:ascii="Calibri" w:hAnsi="Calibri"/>
                <w:b w:val="0"/>
                <w:sz w:val="16"/>
              </w:rPr>
              <w:t>P0</w:t>
            </w:r>
          </w:p>
        </w:tc>
        <w:tc>
          <w:tcPr>
            <w:tcW w:type="dxa" w:w="3120"/>
            <w:vAlign w:val="center"/>
          </w:tcPr>
          <w:p>
            <w:pPr>
              <w:spacing w:after="0"/>
            </w:pPr>
            <w:r/>
            <w:r>
              <w:rPr>
                <w:rFonts w:ascii="Calibri" w:hAnsi="Calibri"/>
                <w:b w:val="0"/>
                <w:sz w:val="16"/>
              </w:rPr>
              <w:t>Stabilize deploy gates</w:t>
            </w:r>
          </w:p>
        </w:tc>
        <w:tc>
          <w:tcPr>
            <w:tcW w:type="dxa" w:w="3120"/>
            <w:vAlign w:val="center"/>
          </w:tcPr>
          <w:p>
            <w:pPr>
              <w:spacing w:after="0"/>
            </w:pPr>
            <w:r/>
            <w:r>
              <w:rPr>
                <w:rFonts w:ascii="Calibri" w:hAnsi="Calibri"/>
                <w:b w:val="0"/>
                <w:sz w:val="16"/>
              </w:rPr>
              <w:t>Add and run coverage tests for ErrorLogUtility, IntegrationRetryPolicy, QBOInvoiceSyncQueueable, QBOWebhookService, ConnectorConfigService, and QuickbridgeConfigMigrationService. Exit when focused check-only deploy has zero component errors, zero test failures, and no selected-class coverage warnings.</w:t>
            </w:r>
          </w:p>
        </w:tc>
      </w:tr>
      <w:tr>
        <w:tc>
          <w:tcPr>
            <w:tcW w:type="dxa" w:w="3120"/>
            <w:vAlign w:val="center"/>
          </w:tcPr>
          <w:p>
            <w:pPr>
              <w:spacing w:after="0"/>
            </w:pPr>
            <w:r/>
            <w:r>
              <w:rPr>
                <w:rFonts w:ascii="Calibri" w:hAnsi="Calibri"/>
                <w:b w:val="0"/>
                <w:sz w:val="16"/>
              </w:rPr>
              <w:t>P0</w:t>
            </w:r>
          </w:p>
        </w:tc>
        <w:tc>
          <w:tcPr>
            <w:tcW w:type="dxa" w:w="3120"/>
            <w:vAlign w:val="center"/>
          </w:tcPr>
          <w:p>
            <w:pPr>
              <w:spacing w:after="0"/>
            </w:pPr>
            <w:r/>
            <w:r>
              <w:rPr>
                <w:rFonts w:ascii="Calibri" w:hAnsi="Calibri"/>
                <w:b w:val="0"/>
                <w:sz w:val="16"/>
              </w:rPr>
              <w:t>Synchronize validation environment</w:t>
            </w:r>
          </w:p>
        </w:tc>
        <w:tc>
          <w:tcPr>
            <w:tcW w:type="dxa" w:w="3120"/>
            <w:vAlign w:val="center"/>
          </w:tcPr>
          <w:p>
            <w:pPr>
              <w:spacing w:after="0"/>
            </w:pPr>
            <w:r/>
            <w:r>
              <w:rPr>
                <w:rFonts w:ascii="Calibri" w:hAnsi="Calibri"/>
                <w:b w:val="0"/>
                <w:sz w:val="16"/>
              </w:rPr>
              <w:t>Deploy or check-only deploy from the exact branch/commit before running Apex tests. Stop treating direct org tests as local-source verification unless the org source SHA is known.</w:t>
            </w:r>
          </w:p>
        </w:tc>
      </w:tr>
      <w:tr>
        <w:tc>
          <w:tcPr>
            <w:tcW w:type="dxa" w:w="3120"/>
            <w:vAlign w:val="center"/>
          </w:tcPr>
          <w:p>
            <w:pPr>
              <w:spacing w:after="0"/>
            </w:pPr>
            <w:r/>
            <w:r>
              <w:rPr>
                <w:rFonts w:ascii="Calibri" w:hAnsi="Calibri"/>
                <w:b w:val="0"/>
                <w:sz w:val="16"/>
              </w:rPr>
              <w:t>P1</w:t>
            </w:r>
          </w:p>
        </w:tc>
        <w:tc>
          <w:tcPr>
            <w:tcW w:type="dxa" w:w="3120"/>
            <w:vAlign w:val="center"/>
          </w:tcPr>
          <w:p>
            <w:pPr>
              <w:spacing w:after="0"/>
            </w:pPr>
            <w:r/>
            <w:r>
              <w:rPr>
                <w:rFonts w:ascii="Calibri" w:hAnsi="Calibri"/>
                <w:b w:val="0"/>
                <w:sz w:val="16"/>
              </w:rPr>
              <w:t>Complete invoice pipeline metadata model</w:t>
            </w:r>
          </w:p>
        </w:tc>
        <w:tc>
          <w:tcPr>
            <w:tcW w:type="dxa" w:w="3120"/>
            <w:vAlign w:val="center"/>
          </w:tcPr>
          <w:p>
            <w:pPr>
              <w:spacing w:after="0"/>
            </w:pPr>
            <w:r/>
            <w:r>
              <w:rPr>
                <w:rFonts w:ascii="Calibri" w:hAnsi="Calibri"/>
                <w:b w:val="0"/>
                <w:sz w:val="16"/>
              </w:rPr>
              <w:t>Design and implement invoice target metadata, then migrate current Invoice__c behavior into metadata as the default canonical target.</w:t>
            </w:r>
          </w:p>
        </w:tc>
      </w:tr>
      <w:tr>
        <w:tc>
          <w:tcPr>
            <w:tcW w:type="dxa" w:w="3120"/>
            <w:vAlign w:val="center"/>
          </w:tcPr>
          <w:p>
            <w:pPr>
              <w:spacing w:after="0"/>
            </w:pPr>
            <w:r/>
            <w:r>
              <w:rPr>
                <w:rFonts w:ascii="Calibri" w:hAnsi="Calibri"/>
                <w:b w:val="0"/>
                <w:sz w:val="16"/>
              </w:rPr>
              <w:t>P1</w:t>
            </w:r>
          </w:p>
        </w:tc>
        <w:tc>
          <w:tcPr>
            <w:tcW w:type="dxa" w:w="3120"/>
            <w:vAlign w:val="center"/>
          </w:tcPr>
          <w:p>
            <w:pPr>
              <w:spacing w:after="0"/>
            </w:pPr>
            <w:r/>
            <w:r>
              <w:rPr>
                <w:rFonts w:ascii="Calibri" w:hAnsi="Calibri"/>
                <w:b w:val="0"/>
                <w:sz w:val="16"/>
              </w:rPr>
              <w:t>Finish config authority migration</w:t>
            </w:r>
          </w:p>
        </w:tc>
        <w:tc>
          <w:tcPr>
            <w:tcW w:type="dxa" w:w="3120"/>
            <w:vAlign w:val="center"/>
          </w:tcPr>
          <w:p>
            <w:pPr>
              <w:spacing w:after="0"/>
            </w:pPr>
            <w:r/>
            <w:r>
              <w:rPr>
                <w:rFonts w:ascii="Calibri" w:hAnsi="Calibri"/>
                <w:b w:val="0"/>
                <w:sz w:val="16"/>
              </w:rPr>
              <w:t>Replace remaining provider-specific custom metadata reads in runtime/admin paths with ConnectorConfigResolver or credential-backed references.</w:t>
            </w:r>
          </w:p>
        </w:tc>
      </w:tr>
      <w:tr>
        <w:tc>
          <w:tcPr>
            <w:tcW w:type="dxa" w:w="3120"/>
            <w:vAlign w:val="center"/>
          </w:tcPr>
          <w:p>
            <w:pPr>
              <w:spacing w:after="0"/>
            </w:pPr>
            <w:r/>
            <w:r>
              <w:rPr>
                <w:rFonts w:ascii="Calibri" w:hAnsi="Calibri"/>
                <w:b w:val="0"/>
                <w:sz w:val="16"/>
              </w:rPr>
              <w:t>P1</w:t>
            </w:r>
          </w:p>
        </w:tc>
        <w:tc>
          <w:tcPr>
            <w:tcW w:type="dxa" w:w="3120"/>
            <w:vAlign w:val="center"/>
          </w:tcPr>
          <w:p>
            <w:pPr>
              <w:spacing w:after="0"/>
            </w:pPr>
            <w:r/>
            <w:r>
              <w:rPr>
                <w:rFonts w:ascii="Calibri" w:hAnsi="Calibri"/>
                <w:b w:val="0"/>
                <w:sz w:val="16"/>
              </w:rPr>
              <w:t>Fix LWC lint/security violations</w:t>
            </w:r>
          </w:p>
        </w:tc>
        <w:tc>
          <w:tcPr>
            <w:tcW w:type="dxa" w:w="3120"/>
            <w:vAlign w:val="center"/>
          </w:tcPr>
          <w:p>
            <w:pPr>
              <w:spacing w:after="0"/>
            </w:pPr>
            <w:r/>
            <w:r>
              <w:rPr>
                <w:rFonts w:ascii="Calibri" w:hAnsi="Calibri"/>
                <w:b w:val="0"/>
                <w:sz w:val="16"/>
              </w:rPr>
              <w:t>Prioritize internalPaymentComponent no-inner-html, no-document-query, async polling, and no-await-in-loop violations before general formatting cleanup.</w:t>
            </w:r>
          </w:p>
        </w:tc>
      </w:tr>
      <w:tr>
        <w:tc>
          <w:tcPr>
            <w:tcW w:type="dxa" w:w="3120"/>
            <w:vAlign w:val="center"/>
          </w:tcPr>
          <w:p>
            <w:pPr>
              <w:spacing w:after="0"/>
            </w:pPr>
            <w:r/>
            <w:r>
              <w:rPr>
                <w:rFonts w:ascii="Calibri" w:hAnsi="Calibri"/>
                <w:b w:val="0"/>
                <w:sz w:val="16"/>
              </w:rPr>
              <w:t>P2</w:t>
            </w:r>
          </w:p>
        </w:tc>
        <w:tc>
          <w:tcPr>
            <w:tcW w:type="dxa" w:w="3120"/>
            <w:vAlign w:val="center"/>
          </w:tcPr>
          <w:p>
            <w:pPr>
              <w:spacing w:after="0"/>
            </w:pPr>
            <w:r/>
            <w:r>
              <w:rPr>
                <w:rFonts w:ascii="Calibri" w:hAnsi="Calibri"/>
                <w:b w:val="0"/>
                <w:sz w:val="16"/>
              </w:rPr>
              <w:t>Harden webhook observability</w:t>
            </w:r>
          </w:p>
        </w:tc>
        <w:tc>
          <w:tcPr>
            <w:tcW w:type="dxa" w:w="3120"/>
            <w:vAlign w:val="center"/>
          </w:tcPr>
          <w:p>
            <w:pPr>
              <w:spacing w:after="0"/>
            </w:pPr>
            <w:r/>
            <w:r>
              <w:rPr>
                <w:rFonts w:ascii="Calibri" w:hAnsi="Calibri"/>
                <w:b w:val="0"/>
                <w:sz w:val="16"/>
              </w:rPr>
              <w:t>Redact raw payloads, add retention policy, and normalize trace levels.</w:t>
            </w:r>
          </w:p>
        </w:tc>
      </w:tr>
      <w:tr>
        <w:tc>
          <w:tcPr>
            <w:tcW w:type="dxa" w:w="3120"/>
            <w:vAlign w:val="center"/>
          </w:tcPr>
          <w:p>
            <w:pPr>
              <w:spacing w:after="0"/>
            </w:pPr>
            <w:r/>
            <w:r>
              <w:rPr>
                <w:rFonts w:ascii="Calibri" w:hAnsi="Calibri"/>
                <w:b w:val="0"/>
                <w:sz w:val="16"/>
              </w:rPr>
              <w:t>P2</w:t>
            </w:r>
          </w:p>
        </w:tc>
        <w:tc>
          <w:tcPr>
            <w:tcW w:type="dxa" w:w="3120"/>
            <w:vAlign w:val="center"/>
          </w:tcPr>
          <w:p>
            <w:pPr>
              <w:spacing w:after="0"/>
            </w:pPr>
            <w:r/>
            <w:r>
              <w:rPr>
                <w:rFonts w:ascii="Calibri" w:hAnsi="Calibri"/>
                <w:b w:val="0"/>
                <w:sz w:val="16"/>
              </w:rPr>
              <w:t>Scale-test QuickBooks bulk helper</w:t>
            </w:r>
          </w:p>
        </w:tc>
        <w:tc>
          <w:tcPr>
            <w:tcW w:type="dxa" w:w="3120"/>
            <w:vAlign w:val="center"/>
          </w:tcPr>
          <w:p>
            <w:pPr>
              <w:spacing w:after="0"/>
            </w:pPr>
            <w:r/>
            <w:r>
              <w:rPr>
                <w:rFonts w:ascii="Calibri" w:hAnsi="Calibri"/>
                <w:b w:val="0"/>
                <w:sz w:val="16"/>
              </w:rPr>
              <w:t>Add tests and telemetry for multi-page bulk sync, heap-aware processing, and retryable status handling.</w:t>
            </w:r>
          </w:p>
        </w:tc>
      </w:tr>
      <w:tr>
        <w:tc>
          <w:tcPr>
            <w:tcW w:type="dxa" w:w="3120"/>
            <w:vAlign w:val="center"/>
          </w:tcPr>
          <w:p>
            <w:pPr>
              <w:spacing w:after="0"/>
            </w:pPr>
            <w:r/>
            <w:r>
              <w:rPr>
                <w:rFonts w:ascii="Calibri" w:hAnsi="Calibri"/>
                <w:b w:val="0"/>
                <w:sz w:val="16"/>
              </w:rPr>
              <w:t>P2</w:t>
            </w:r>
          </w:p>
        </w:tc>
        <w:tc>
          <w:tcPr>
            <w:tcW w:type="dxa" w:w="3120"/>
            <w:vAlign w:val="center"/>
          </w:tcPr>
          <w:p>
            <w:pPr>
              <w:spacing w:after="0"/>
            </w:pPr>
            <w:r/>
            <w:r>
              <w:rPr>
                <w:rFonts w:ascii="Calibri" w:hAnsi="Calibri"/>
                <w:b w:val="0"/>
                <w:sz w:val="16"/>
              </w:rPr>
              <w:t>Run full org validation</w:t>
            </w:r>
          </w:p>
        </w:tc>
        <w:tc>
          <w:tcPr>
            <w:tcW w:type="dxa" w:w="3120"/>
            <w:vAlign w:val="center"/>
          </w:tcPr>
          <w:p>
            <w:pPr>
              <w:spacing w:after="0"/>
            </w:pPr>
            <w:r/>
            <w:r>
              <w:rPr>
                <w:rFonts w:ascii="Calibri" w:hAnsi="Calibri"/>
                <w:b w:val="0"/>
                <w:sz w:val="16"/>
              </w:rPr>
              <w:t>After P0/P1 fixes, run full RunLocalTests check-only deploy and document remaining non-branch blockers separately.</w:t>
            </w:r>
          </w:p>
        </w:tc>
      </w:tr>
    </w:tbl>
    <w:p/>
    <w:p>
      <w:pPr>
        <w:pStyle w:val="Heading1"/>
      </w:pPr>
      <w:r>
        <w:t>Conclusion</w:t>
      </w:r>
    </w:p>
    <w:p>
      <w:r>
        <w:t>The branch has made substantial progress: the major security and functional fixes identified in prior reports are largely present in source, and focused compile/static/unit verification supports that conclusion. The remaining work is less about isolated code changes and more about converting partial fixes into deployable, supportable system behavior.</w:t>
      </w:r>
    </w:p>
    <w:p>
      <w:r>
        <w:t>The recommended release posture is to hold production promotion until Apex coverage gates are green, repo lint/security issues are addressed, and the invoice/config architecture gaps are either completed or explicitly accepted with documented operational controls.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QuickBridge v3 Deep-Dive Analysis | 2026-05-30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