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A/B Test Significance Analysis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Does Advertising Cause Real Conversions — Or Is It Random Chance?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Adnan  |  Marketing Data Analyst  |  BigQuery · SQL · Python · Statistical Testing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Data Source: Marketing A/B Testing Dataset (Kaggle) — 588,101 users, Ad vs PSA control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OBJECTIVE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Determine whether an advertising campaign caused a statistically significant lift in conversions compared to a PSA control group — and identify the ad frequency and timing patterns that maximize incremental impact.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METHODOLOGY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▸  Pre-Analysis Validation: Ran a Sample Ratio Mismatch (SRM) check across the full dataset and by day-of-week to confirm the test group split (96% ad / 4% PSA) was stable and not corrupted by a tracking error.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▸  SQL Analysis (BigQuery): Calculated conversion rates by group, ad frequency bucket, and day of week — with the PSA group included as a control in every breakdown to isolate true ad effect from general engagement bias.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▸  Statistical Testing (Python): Two-proportion Z-test for significance, 95% confidence interval, incremental conversions, and a power analysis using Cohen's h effect size.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PRE-ANALYSIS VALIDATION — SAMPLE RATIO MISMATCH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19"/>
          <w:szCs w:val="19"/>
        </w:rPr>
        <w:t xml:space="preserve">Result: PASSED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ad/PSA split held consistently at 96%/4% across every single day of the week (ranging 95.3%-96.5%), confirming this is a stable, intentional holdout-group design rather than a tracking failure. All downstream results can be trusted.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FINDING — CONVERSION RATE &amp; STATISTICAL SIGNIFICANCE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 Group</w:t>
            </w:r>
          </w:p>
        </w:tc>
        <w:tc>
          <w:tcPr>
            <w:tcW w:type="dxa" w:w="2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PSA Group (Control)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Total Users</w:t>
            </w:r>
          </w:p>
        </w:tc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564,577</w:t>
            </w:r>
          </w:p>
        </w:tc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23,524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Conversions</w:t>
            </w:r>
          </w:p>
        </w:tc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14,423</w:t>
            </w:r>
          </w:p>
        </w:tc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420</w:t>
            </w:r>
          </w:p>
        </w:tc>
      </w:tr>
      <w:tr>
        <w:tc>
          <w:tcPr>
            <w:tcW w:type="dxa" w:w="36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Conversion Rate</w:t>
            </w:r>
          </w:p>
        </w:tc>
        <w:tc>
          <w:tcPr>
            <w:tcW w:type="dxa" w:w="27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2.5547%</w:t>
            </w:r>
          </w:p>
        </w:tc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1.7854%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→ Relative Lift: 43.09%  |  Z-statistic: 7.37  |  P-value: &lt;0.0000000001  |  95% CI: [2.5135%, 2.5958%]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375623"/>
          <w:sz w:val="19"/>
          <w:szCs w:val="19"/>
        </w:rPr>
        <w:t xml:space="preserve">→ Incremental Conversions: 4,343 sales directly attributable to the ad campaign, beyond what the PSA baseline would predict.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9"/>
          <w:szCs w:val="19"/>
        </w:rPr>
        <w:t xml:space="preserve">→ Power Analysis: Minimum required sample size for reliable detection was 5,588 per group. Actual PSA control group size was 23,524 — over 4x the minimum, confirming the test was adequately powered.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 FREQUENCY ANALYSIS — DOSE-RESPONSE WITH CONFOUND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Frequency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 CVR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PSA CVR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1-25 ads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0.60%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0.61%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~0pp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26-50 ads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3.54%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2.66%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+0.88pp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51-100 ads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11.63%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5.77%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+5.86pp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101-250 ads</w:t>
            </w:r>
          </w:p>
        </w:tc>
        <w:tc>
          <w:tcPr>
            <w:tcW w:type="dxa" w:w="2200"/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17.35%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11.23%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17"/>
                <w:szCs w:val="17"/>
              </w:rPr>
              <w:t xml:space="preserve">+6.13pp</w:t>
            </w:r>
          </w:p>
        </w:tc>
      </w:tr>
      <w:tr>
        <w:tc>
          <w:tcPr>
            <w:tcW w:type="dxa" w:w="27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250+ ads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15.97%</w:t>
            </w:r>
          </w:p>
        </w:tc>
        <w:tc>
          <w:tcPr>
            <w:tcW w:type="dxa" w:w="22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15.75%</w:t>
            </w:r>
          </w:p>
        </w:tc>
        <w:tc>
          <w:tcPr>
            <w:tcW w:type="dxa" w:w="1900"/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~0pp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9"/>
          <w:szCs w:val="19"/>
        </w:rPr>
        <w:t xml:space="preserve">Important caveat: Both the ad and PSA groups show conversion rising with frequency, confirming that user engagement level is a real confound — highly active users see more impressions and are independently more likely to convert, regardless of ad exposure. However, the ad group consistently outperforms PSA at every matching frequency level (51-250 ads), by 5-6 percentage points — indicating a genuine incremental ad effect beyond baseline engagement. Both groups converge at 250+ ads, suggesting ad effectiveness plateaus due to saturation.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DAY-OF-WEEK PATTERN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ad group outperformed the PSA group on every single day of the week — confirming the overall lift is consistent, not driven by one anomalous day. Monday (+1.07pp) and Tuesday (+1.60pp) showed the strongest incremental lift; Thursday showed the weakest (+0.14pp), suggesting ad spend may be more efficient early in the week. This is based on a single test period and should be validated over a longer duration before acting on it.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RECOMMENDATION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The advertising campaign drove a statistically significant, substantial lift in conversions (43.09% relative lift, p&lt;0.0000000001) generating an estimated 4,343 incremental sales. The test was adequately powered, and the result held consistently across every day of the week. Recommend continuing and scaling the campaign.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On frequency: cap ad exposure at approximately 250 impressions per user — returns plateau beyond this point in both groups, indicating budget spent on additional impressions past this threshold is unlikely to generate proportional incremental value.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On timing: consider weighting spend toward Monday and Tuesday, where incremental ad lift over baseline was strongest — though this should be validated with a longer test window before reallocating budget.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LIMITATIONS &amp; TRANSPARENCY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▸  Dataset covers a short time window (one week); day-of-week findings should be treated as directional, not conclusive, without a longer test period.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▸  Ad frequency analysis cannot fully separate causation from correlation — engagement level is a confirmed confound, addressed by comparing against the PSA control at matching frequency levels, but not eliminated entirely.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color w:val="222222"/>
          <w:sz w:val="19"/>
          <w:szCs w:val="19"/>
        </w:rPr>
        <w:t xml:space="preserve">▸  Dataset is a public research dataset; company, product, and platform details are not disclosed.</w:t>
      </w:r>
    </w:p>
    <w:p>
      <w:pPr>
        <w:pBdr>
          <w:bottom w:val="single" w:color="2E75B6" w:sz="6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 DEMONSTRATED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▸  Experimental Design Validation: Sample Ratio Mismatch (SRM) testing before trusting results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▸  Statistical Testing: Two-proportion Z-test, confidence intervals, Cohen's h power analysis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▸  BigQuery SQL: COUNTIF, window functions, CASE WHEN bucketing, multi-group comparison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▸  Python: statsmodels, scipy — significance testing, power analysis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▸  Analytical Rigor: Identified and quantified selection bias / confounding variables rather than overstating causal claims</w:t>
      </w:r>
    </w:p>
    <w:p>
      <w:pPr>
        <w:pBdr>
          <w:top w:val="single" w:color="2E75B6" w:sz="4"/>
        </w:pBdr>
        <w:spacing w:after="0" w:before="26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GitHub: github.com/adnan3624/ab-test-significance-analysis  |  LinkedIn: linkedin.com/in/adnan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2026-07-28T05:29:51.255Z</dcterms:created>
  <dcterms:modified xsi:type="dcterms:W3CDTF">2026-07-28T05:29:51.255Z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