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eg"/>
  <Default ContentType="image/jpeg" Extension="jpg"/>
  <Default ContentType="image/bmp" Extension="bmp"/>
  <Default ContentType="image/gif" Extension="gif"/>
  <Default ContentType="image/svg+xml" Extension="svg"/>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comments+xml" PartName="/word/comment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4635624" cy="2505386"/>
            <wp:effectExtent b="0" l="0" r="0" t="0"/>
            <wp:docPr id="1" name="image1.png"/>
            <a:graphic>
              <a:graphicData uri="http://schemas.openxmlformats.org/drawingml/2006/picture">
                <pic:pic>
                  <pic:nvPicPr>
                    <pic:cNvPr id="0" name="image1.png"/>
                    <pic:cNvPicPr preferRelativeResize="0"/>
                  </pic:nvPicPr>
                  <pic:blipFill>
                    <a:blip r:embed="rId7"/>
                    <a:srcRect b="12645" l="11496" r="5037" t="10902"/>
                    <a:stretch>
                      <a:fillRect/>
                    </a:stretch>
                  </pic:blipFill>
                  <pic:spPr>
                    <a:xfrm>
                      <a:off x="0" y="0"/>
                      <a:ext cx="4635624" cy="250538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Thank you for filling out the 1:1 iPad opt out form.  The district requires the form to be submitted by the student’s parent or guardian directly to the Paddock Road Elementary Principal, Quinn Mcguire, in person or via email.  The principal may be emailed at mcguire.quinn@westside66.net.</w:t>
      </w:r>
    </w:p>
    <w:p>
      <w:pPr>
        <w:sectPr>
          <w:type w:val="nextPage"/>
          <w:pgSz w:w="12240" w:h="15840" w:orient="portrait"/>
          <w:pgMar w:top="1080" w:right="1080" w:bottom="1080" w:left="1080" w:header="708" w:footer="708" w:gutter="0"/>
          <w:pgNumType/>
          <w:docGrid w:linePitch="360"/>
        </w:sectPr>
      </w:pPr>
    </w:p>
    <w:p>
      <w:pPr>
        <w:spacing w:after="80" w:line="300" w:lineRule="exact"/>
        <w:jc w:val="center"/>
      </w:pPr>
      <w:r>
        <w:rPr>
          <w:rFonts w:ascii="Arial" w:cs="Arial" w:eastAsia="Arial" w:hAnsi="Arial"/>
          <w:b/>
          <w:bCs/>
          <w:color w:val="494949"/>
          <w:sz w:val="21"/>
          <w:szCs w:val="21"/>
        </w:rPr>
        <w:t xml:space="preserve">6320R - FORM B</w:t>
      </w:r>
    </w:p>
    <w:p>
      <w:pPr>
        <w:spacing w:after="360" w:line="300" w:lineRule="exact"/>
        <w:jc w:val="center"/>
      </w:pPr>
      <w:r>
        <w:rPr>
          <w:rFonts w:ascii="Arial" w:cs="Arial" w:eastAsia="Arial" w:hAnsi="Arial"/>
          <w:b/>
          <w:bCs/>
          <w:color w:val="494949"/>
          <w:sz w:val="21"/>
          <w:szCs w:val="21"/>
        </w:rPr>
        <w:t xml:space="preserve">REQUEST TO EXCUSE STUDENT FROM PARTICIPATION</w:t>
      </w:r>
    </w:p>
    <w:p>
      <w:pPr>
        <w:spacing w:after="360" w:line="260" w:lineRule="exact"/>
        <w:jc w:val="both"/>
      </w:pPr>
      <w:r>
        <w:rPr>
          <w:rFonts w:ascii="Arial" w:cs="Arial" w:eastAsia="Arial" w:hAnsi="Arial"/>
          <w:color w:val="494949"/>
          <w:sz w:val="20"/>
          <w:szCs w:val="20"/>
        </w:rPr>
        <w:t xml:space="preserve">Board of Education Policy requires that requests by a parent/guardian to have a child excused from educational experiences be made in writing. This form is to be used when a parent/guardian wishes to request that his/her child be excused from classroom instruction, testing, or other school experiences. This form must be completed and signed by the parent/guardian for each individual event, activity and / or experience and returned to the Principal of the building where the educational material is located.</w:t>
      </w:r>
    </w:p>
    <w:p>
      <w:pPr>
        <w:tabs>
          <w:tab w:val="right" w:pos="11160" w:leader="underscore"/>
        </w:tabs>
        <w:spacing w:after="140" w:line="400" w:lineRule="exact"/>
      </w:pPr>
      <w:r>
        <w:rPr>
          <w:rFonts w:ascii="Arial" w:cs="Arial" w:eastAsia="Arial" w:hAnsi="Arial"/>
          <w:color w:val="494949"/>
          <w:sz w:val="20"/>
          <w:szCs w:val="20"/>
        </w:rPr>
        <w:t xml:space="preserve">Parent/Guardian Name: </w:t>
      </w:r>
      <w:r>
        <w:rPr>
          <w:rFonts w:ascii="Arial" w:cs="Arial" w:eastAsia="Arial" w:hAnsi="Arial"/>
          <w:color w:val="494949"/>
          <w:sz w:val="20"/>
          <w:szCs w:val="20"/>
        </w:rPr>
        <w:t xml:space="preserve">Adnan Adil</w:t>
      </w:r>
      <w:r>
        <w:tab/>
      </w:r>
    </w:p>
    <w:p>
      <w:pPr>
        <w:tabs>
          <w:tab w:val="right" w:pos="11160" w:leader="underscore"/>
        </w:tabs>
        <w:spacing w:after="140" w:line="400" w:lineRule="exact"/>
      </w:pPr>
      <w:r>
        <w:rPr>
          <w:rFonts w:ascii="Arial" w:cs="Arial" w:eastAsia="Arial" w:hAnsi="Arial"/>
          <w:color w:val="494949"/>
          <w:sz w:val="20"/>
          <w:szCs w:val="20"/>
        </w:rPr>
        <w:t xml:space="preserve">Address: </w:t>
      </w:r>
      <w:r>
        <w:rPr>
          <w:rFonts w:ascii="Arial" w:cs="Arial" w:eastAsia="Arial" w:hAnsi="Arial"/>
          <w:color w:val="494949"/>
          <w:sz w:val="20"/>
          <w:szCs w:val="20"/>
        </w:rPr>
        <w:t xml:space="preserve">ikram manzal e-11 islamabad, pakistan, flat 2-D</w:t>
      </w:r>
      <w:r>
        <w:tab/>
      </w:r>
    </w:p>
    <w:p>
      <w:pPr>
        <w:tabs>
          <w:tab w:val="right" w:pos="5918" w:leader="underscore"/>
          <w:tab w:val="right" w:pos="11160" w:leader="underscore"/>
        </w:tabs>
        <w:spacing w:after="140" w:line="400" w:lineRule="exact"/>
      </w:pPr>
      <w:r>
        <w:rPr>
          <w:rFonts w:ascii="Arial" w:cs="Arial" w:eastAsia="Arial" w:hAnsi="Arial"/>
          <w:color w:val="494949"/>
          <w:sz w:val="20"/>
          <w:szCs w:val="20"/>
        </w:rPr>
        <w:t xml:space="preserve">Home Phone: </w:t>
      </w:r>
      <w:r>
        <w:rPr>
          <w:rFonts w:ascii="Arial" w:cs="Arial" w:eastAsia="Arial" w:hAnsi="Arial"/>
          <w:color w:val="494949"/>
          <w:sz w:val="20"/>
          <w:szCs w:val="20"/>
        </w:rPr>
        <w:t xml:space="preserve">+923205099225</w:t>
      </w:r>
      <w:r>
        <w:tab/>
      </w:r>
      <w:r>
        <w:rPr>
          <w:rFonts w:ascii="Arial" w:cs="Arial" w:eastAsia="Arial" w:hAnsi="Arial"/>
          <w:color w:val="494949"/>
          <w:sz w:val="20"/>
          <w:szCs w:val="20"/>
        </w:rPr>
        <w:t xml:space="preserve"> Work Phone: </w:t>
      </w:r>
      <w:r>
        <w:rPr>
          <w:rFonts w:ascii="Arial" w:cs="Arial" w:eastAsia="Arial" w:hAnsi="Arial"/>
          <w:color w:val="494949"/>
          <w:sz w:val="20"/>
          <w:szCs w:val="20"/>
        </w:rPr>
        <w:t xml:space="preserve">020392939233</w:t>
      </w:r>
      <w:r>
        <w:tab/>
      </w:r>
    </w:p>
    <w:p>
      <w:pPr>
        <w:tabs>
          <w:tab w:val="right" w:pos="11160" w:leader="underscore"/>
        </w:tabs>
        <w:spacing w:after="140" w:line="400" w:lineRule="exact"/>
      </w:pPr>
      <w:r>
        <w:rPr>
          <w:rFonts w:ascii="Arial" w:cs="Arial" w:eastAsia="Arial" w:hAnsi="Arial"/>
          <w:color w:val="494949"/>
          <w:sz w:val="20"/>
          <w:szCs w:val="20"/>
        </w:rPr>
        <w:t xml:space="preserve">Student's Name: </w:t>
      </w:r>
      <w:r>
        <w:rPr>
          <w:rFonts w:ascii="Arial" w:cs="Arial" w:eastAsia="Arial" w:hAnsi="Arial"/>
          <w:color w:val="494949"/>
          <w:sz w:val="20"/>
          <w:szCs w:val="20"/>
        </w:rPr>
        <w:t xml:space="preserve">Test Student</w:t>
      </w:r>
      <w:r>
        <w:tab/>
      </w:r>
    </w:p>
    <w:p>
      <w:pPr>
        <w:tabs>
          <w:tab w:val="right" w:pos="11160" w:leader="underscore"/>
        </w:tabs>
        <w:spacing w:after="420" w:line="400" w:lineRule="exact"/>
      </w:pPr>
      <w:r>
        <w:rPr>
          <w:rFonts w:ascii="Arial" w:cs="Arial" w:eastAsia="Arial" w:hAnsi="Arial"/>
          <w:color w:val="494949"/>
          <w:sz w:val="20"/>
          <w:szCs w:val="20"/>
        </w:rPr>
        <w:t xml:space="preserve">School Student Attends: </w:t>
      </w:r>
      <w:r>
        <w:rPr>
          <w:rFonts w:ascii="Arial" w:cs="Arial" w:eastAsia="Arial" w:hAnsi="Arial"/>
          <w:color w:val="494949"/>
          <w:sz w:val="20"/>
          <w:szCs w:val="20"/>
        </w:rPr>
        <w:t xml:space="preserve">Paddock Road Elementary</w:t>
      </w:r>
      <w:r>
        <w:tab/>
      </w:r>
    </w:p>
    <w:p>
      <w:pPr>
        <w:spacing w:after="120" w:line="260" w:lineRule="exact"/>
      </w:pPr>
      <w:r>
        <w:rPr>
          <w:rFonts w:ascii="Arial" w:cs="Arial" w:eastAsia="Arial" w:hAnsi="Arial"/>
          <w:color w:val="494949"/>
          <w:sz w:val="20"/>
          <w:szCs w:val="20"/>
        </w:rPr>
        <w:t xml:space="preserve">1. Please describe the classroom instruction, testing or other activity for which you are requesting an excusal.</w:t>
      </w:r>
    </w:p>
    <w:p>
      <w:pPr>
        <w:spacing w:after="240" w:line="240" w:lineRule="exact"/>
      </w:pPr>
      <w:r>
        <w:rPr>
          <w:rFonts w:ascii="Arial" w:cs="Arial" w:eastAsia="Arial" w:hAnsi="Arial"/>
          <w:color w:val="494949"/>
          <w:sz w:val="20"/>
          <w:szCs w:val="20"/>
        </w:rPr>
        <w:t xml:space="preserve">I am requesting an excusal for my child from all 1:1 district-issued iPad experiences, pursuant to Nebraska Revised Statute 79-532(c) and Westside Community Schools Regulation 6320R, based on the substantial body of peer-reviewed research and documented evidence set forth below.</w:t>
      </w:r>
    </w:p>
    <w:p>
      <w:pPr>
        <w:spacing w:after="120" w:line="260" w:lineRule="exact"/>
      </w:pPr>
      <w:r>
        <w:rPr>
          <w:rFonts w:ascii="Arial" w:cs="Arial" w:eastAsia="Arial" w:hAnsi="Arial"/>
          <w:color w:val="494949"/>
          <w:sz w:val="20"/>
          <w:szCs w:val="20"/>
        </w:rPr>
        <w:t xml:space="preserve">2. If your request involves a textbook or other written material, please provide the title and author.</w:t>
      </w:r>
    </w:p>
    <w:p>
      <w:pPr>
        <w:spacing w:after="240" w:line="560" w:lineRule="exact"/>
      </w:pPr>
    </w:p>
    <w:p>
      <w:pPr>
        <w:spacing w:after="120" w:line="260" w:lineRule="exact"/>
      </w:pPr>
      <w:r>
        <w:rPr>
          <w:rFonts w:ascii="Arial" w:cs="Arial" w:eastAsia="Arial" w:hAnsi="Arial"/>
          <w:color w:val="494949"/>
          <w:sz w:val="20"/>
          <w:szCs w:val="20"/>
        </w:rPr>
        <w:t xml:space="preserve">3. Specifically describe your objection (cite pages if applicable) and explain the basis for the objection. (You may use additional paper if necessary to answer in full)</w:t>
      </w:r>
    </w:p>
    <w:p>
      <w:pPr>
        <w:spacing w:after="240" w:line="240" w:lineRule="exact"/>
      </w:pPr>
      <w:r>
        <w:rPr>
          <w:rFonts w:ascii="Arial" w:cs="Arial" w:eastAsia="Arial" w:hAnsi="Arial"/>
          <w:color w:val="494949"/>
          <w:sz w:val="20"/>
          <w:szCs w:val="20"/>
        </w:rPr>
        <w:t xml:space="preserve">See peer-reviewed research and documented evidence set forth below.</w:t>
      </w:r>
    </w:p>
    <w:p>
      <w:pPr>
        <w:spacing w:after="120" w:line="260" w:lineRule="exact"/>
      </w:pPr>
      <w:r>
        <w:rPr>
          <w:rFonts w:ascii="Arial" w:cs="Arial" w:eastAsia="Arial" w:hAnsi="Arial"/>
          <w:color w:val="494949"/>
          <w:sz w:val="20"/>
          <w:szCs w:val="20"/>
        </w:rPr>
        <w:t xml:space="preserve">4. What suggestions do you have for an alternative experience or material for your child?</w:t>
      </w:r>
    </w:p>
    <w:p>
      <w:pPr>
        <w:spacing w:after="240" w:line="240" w:lineRule="exact"/>
      </w:pPr>
      <w:r>
        <w:rPr>
          <w:rFonts w:ascii="Arial" w:cs="Arial" w:eastAsia="Arial" w:hAnsi="Arial"/>
          <w:color w:val="494949"/>
          <w:sz w:val="20"/>
          <w:szCs w:val="20"/>
        </w:rPr>
        <w:t xml:space="preserve">Please provide my child with paper-based materials, including printed textbooks, worksheets, and handwritten assignments in place of all iPad-based experiences.</w:t>
      </w:r>
    </w:p>
    <w:p>
      <w:pPr>
        <w:tabs>
          <w:tab w:val="right" w:pos="6624" w:leader="underscore"/>
          <w:tab w:val="right" w:pos="11160" w:leader="underscore"/>
        </w:tabs>
        <w:spacing w:after="0" w:before="280" w:line="680" w:lineRule="atLeast"/>
      </w:pPr>
      <w:r>
        <w:rPr>
          <w:rFonts w:ascii="Arial" w:cs="Arial" w:eastAsia="Arial" w:hAnsi="Arial"/>
          <w:color w:val="494949"/>
          <w:sz w:val="20"/>
          <w:szCs w:val="20"/>
        </w:rPr>
        <w:t xml:space="preserve">Signature:   </w:t>
      </w:r>
      <w:r>
        <w:drawing>
          <wp:inline distT="0" distB="0" distL="0" distR="0">
            <wp:extent cx="216217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62175" cy="457200"/>
                    </a:xfrm>
                    <a:prstGeom prst="rect">
                      <a:avLst/>
                    </a:prstGeom>
                  </pic:spPr>
                </pic:pic>
              </a:graphicData>
            </a:graphic>
          </wp:inline>
        </w:drawing>
      </w:r>
      <w:r>
        <w:tab/>
      </w:r>
      <w:r>
        <w:rPr>
          <w:rFonts w:ascii="Arial" w:cs="Arial" w:eastAsia="Arial" w:hAnsi="Arial"/>
          <w:color w:val="494949"/>
          <w:sz w:val="20"/>
          <w:szCs w:val="20"/>
        </w:rPr>
        <w:t xml:space="preserve"> Date: </w:t>
      </w:r>
      <w:r>
        <w:rPr>
          <w:rFonts w:ascii="Arial" w:cs="Arial" w:eastAsia="Arial" w:hAnsi="Arial"/>
          <w:color w:val="494949"/>
          <w:sz w:val="20"/>
          <w:szCs w:val="20"/>
        </w:rPr>
        <w:t xml:space="preserve">July 4, 2026</w:t>
      </w:r>
      <w:r>
        <w:tab/>
      </w:r>
    </w:p>
    <w:p>
      <w:pPr>
        <w:spacing w:line="640" w:lineRule="exact"/>
      </w:pPr>
    </w:p>
    <w:p>
      <w:pPr>
        <w:spacing w:line="280" w:lineRule="exact"/>
        <w:jc w:val="center"/>
      </w:pPr>
      <w:r>
        <w:rPr>
          <w:rFonts w:ascii="Times New Roman" w:cs="Times New Roman" w:eastAsia="Times New Roman" w:hAnsi="Times New Roman"/>
          <w:b/>
          <w:bCs/>
          <w:i/>
          <w:iCs/>
          <w:color w:val="000000"/>
          <w:sz w:val="24"/>
          <w:szCs w:val="24"/>
        </w:rPr>
        <w:t xml:space="preserve">Westside Community Schools Regulation 6320R - Form B (October 2024)</w:t>
      </w:r>
    </w:p>
    <w:p>
      <w:pPr>
        <w:sectPr w:rsidR="00404FCA" w:rsidRPr="004F5447">
          <w:type w:val="nextPage"/>
          <w:pgSz w:w="12240" w:h="15840"/>
          <w:pgMar w:top="1440" w:right="1440" w:bottom="1440" w:left="1440" w:header="708" w:footer="708" w:gutter="0"/>
          <w:cols w:space="720"/>
          <w:docGrid w:linePitch="360"/>
        </w:sectPr>
      </w:pPr>
    </w:p>
    <w:p w14:paraId="539028F9" w14:textId="77777777" w:rsidR="00404FCA" w:rsidRPr="004F5447" w:rsidRDefault="009463F5">
      <w:pPr>
        <w:spacing w:after="240"/>
        <w:jc w:val="center"/>
        <w:rPr>
          <w:rFonts w:ascii="Arial" w:hAnsi="Arial" w:cs="Arial"/>
        </w:rPr>
      </w:pPr>
      <w:r w:rsidRPr="004F5447">
        <w:rPr>
          <w:rFonts w:ascii="Arial" w:eastAsia="Calibri" w:hAnsi="Arial" w:cs="Arial"/>
          <w:b/>
          <w:bCs/>
        </w:rPr>
        <w:t>Basis for Objection to 1:1 iPad Use in the Classroom</w:t>
      </w:r>
    </w:p>
    <w:p w14:paraId="5C80BFC8" w14:textId="77777777" w:rsidR="00404FCA" w:rsidRPr="004F5447" w:rsidRDefault="009463F5">
      <w:pPr>
        <w:spacing w:after="360"/>
        <w:jc w:val="center"/>
        <w:rPr>
          <w:rFonts w:ascii="Arial" w:hAnsi="Arial" w:cs="Arial"/>
        </w:rPr>
      </w:pPr>
      <w:r w:rsidRPr="004F5447">
        <w:rPr>
          <w:rFonts w:ascii="Arial" w:eastAsia="Calibri" w:hAnsi="Arial" w:cs="Arial"/>
          <w:i/>
          <w:iCs/>
          <w:color w:val="444444"/>
        </w:rPr>
        <w:t>Submitted pursuant to Nebraska Revised Statute 79-532(c) and Westside Community Schools Regulation 6320R — Form B</w:t>
      </w:r>
    </w:p>
    <w:p w14:paraId="524A4800" w14:textId="1D26452C" w:rsidR="00404FCA" w:rsidRPr="004F5447" w:rsidRDefault="009463F5">
      <w:pPr>
        <w:spacing w:after="240"/>
        <w:jc w:val="both"/>
        <w:rPr>
          <w:rFonts w:ascii="Arial" w:hAnsi="Arial" w:cs="Arial"/>
        </w:rPr>
      </w:pPr>
      <w:r w:rsidRPr="004F5447">
        <w:rPr>
          <w:rFonts w:ascii="Arial" w:eastAsia="Calibri" w:hAnsi="Arial" w:cs="Arial"/>
        </w:rPr>
        <w:t>I am submitting this request to excuse my child from</w:t>
      </w:r>
      <w:r w:rsidR="00ED5860">
        <w:rPr>
          <w:rFonts w:ascii="Arial" w:eastAsia="Calibri" w:hAnsi="Arial" w:cs="Arial"/>
        </w:rPr>
        <w:t xml:space="preserve"> all</w:t>
      </w:r>
      <w:r w:rsidRPr="004F5447">
        <w:rPr>
          <w:rFonts w:ascii="Arial" w:eastAsia="Calibri" w:hAnsi="Arial" w:cs="Arial"/>
        </w:rPr>
        <w:t xml:space="preserve"> 1:1 iPad-based </w:t>
      </w:r>
      <w:r w:rsidR="00ED5860">
        <w:rPr>
          <w:rFonts w:ascii="Arial" w:eastAsia="Calibri" w:hAnsi="Arial" w:cs="Arial"/>
        </w:rPr>
        <w:t>experiences</w:t>
      </w:r>
      <w:r w:rsidRPr="004F5447">
        <w:rPr>
          <w:rFonts w:ascii="Arial" w:eastAsia="Calibri" w:hAnsi="Arial" w:cs="Arial"/>
        </w:rPr>
        <w:t xml:space="preserve"> at Westside Community Schools. This objection is grounded in a substantial and growing body of peer-reviewed research, independent academic studies, and findings from government health agencies. The evidence across multiple disciplines</w:t>
      </w:r>
      <w:r w:rsidR="00731977">
        <w:rPr>
          <w:rFonts w:ascii="Arial" w:eastAsia="Calibri" w:hAnsi="Arial" w:cs="Arial"/>
        </w:rPr>
        <w:t xml:space="preserve">; </w:t>
      </w:r>
      <w:r w:rsidRPr="004F5447">
        <w:rPr>
          <w:rFonts w:ascii="Arial" w:eastAsia="Calibri" w:hAnsi="Arial" w:cs="Arial"/>
        </w:rPr>
        <w:t>academic achievement, neuroscience, physical health, mental health, and child development</w:t>
      </w:r>
      <w:r w:rsidR="00731977">
        <w:rPr>
          <w:rFonts w:ascii="Arial" w:eastAsia="Calibri" w:hAnsi="Arial" w:cs="Arial"/>
        </w:rPr>
        <w:t xml:space="preserve">, </w:t>
      </w:r>
      <w:r w:rsidRPr="004F5447">
        <w:rPr>
          <w:rFonts w:ascii="Arial" w:eastAsia="Calibri" w:hAnsi="Arial" w:cs="Arial"/>
        </w:rPr>
        <w:t>consistently raises serious concerns about the use of 1:1 digital devices as the primary instructional tool for elementary-age children. Each area of concern is documented below.</w:t>
      </w:r>
    </w:p>
    <w:p w14:paraId="06B91ADE" w14:textId="77777777" w:rsidR="00404FCA" w:rsidRPr="004F5447" w:rsidRDefault="009463F5">
      <w:pPr>
        <w:spacing w:before="240" w:after="120"/>
        <w:rPr>
          <w:rFonts w:ascii="Arial" w:hAnsi="Arial" w:cs="Arial"/>
        </w:rPr>
      </w:pPr>
      <w:r w:rsidRPr="004F5447">
        <w:rPr>
          <w:rFonts w:ascii="Arial" w:eastAsia="Calibri" w:hAnsi="Arial" w:cs="Arial"/>
          <w:b/>
          <w:bCs/>
        </w:rPr>
        <w:t>1. Academic Achievement: National and Nebraska-Specific Evidence</w:t>
      </w:r>
    </w:p>
    <w:p w14:paraId="06487B96" w14:textId="77777777" w:rsidR="00404FCA" w:rsidRPr="004F5447" w:rsidRDefault="009463F5">
      <w:pPr>
        <w:spacing w:after="240"/>
        <w:jc w:val="both"/>
        <w:rPr>
          <w:rFonts w:ascii="Arial" w:hAnsi="Arial" w:cs="Arial"/>
        </w:rPr>
      </w:pPr>
      <w:r w:rsidRPr="004F5447">
        <w:rPr>
          <w:rFonts w:ascii="Arial" w:eastAsia="Calibri" w:hAnsi="Arial" w:cs="Arial"/>
        </w:rPr>
        <w:t>The National Assessment of Educational Progress (NAEP), often called the Nation's Report Card, tracks student performance across all 50 states and millions of students. The most recent data shows that 4th-grade reading scores have declined to their lowest point since 2002, with nearly 40% of 4th-grade students now performing below the NAEP Basic level. These declines are not a single national event tied to one calendar year. They track precisely with each state's own digital inflection point, the year statewide accountability systems and district-wide device programs made digital instruction the default mode of the classroom rather than a supplemental tool. Because states adopted this shift in different years, researchers were able to align NAEP results to each state's individual inflection point and test the pattern using staggered policy adoption, the same method used to establish causal relationships in other public health contexts, such as the drop in traffic fatalities that followed staggered state seatbelt laws in the 1980s. The result, presented in recent U.S. Senate testimony, is striking and consistent: in every tested grade and subject, scores rose for decades before a state crossed its digital inflection point, then reversed and began falling immediately after. Nationally, 4th-grade math scores climbed at roughly 1.07 points per year before the digital inflection point and then fell at -0.38 points per year afterward. Fourth-grade reading rose 0.27 points per year and then fell -0.80. Eighth-grade math rose 0.67 points per year and then fell -1.14. Eighth-grade reading rose 0.17 points per year and then fell -0.99, with the size of the reversal growing larger at each older grade level as digital exposure accumulates over more years of schooling. This is not a single isolated dataset that could be explained by a hidden third factor. The same reversal appears independently across dozens of states with different adoption years, different demographics, and different curricula, all pivoting at the moment each state, on its own timeline, crossed its digital inflection point. It is also not a pandemic artifact: the analysis excludes the 2022 testing cycle entirely, and the downward trend begins before COVID-19 school closures in the states that transitioned earliest. Westside Community Schools' own NSCAS data reflects this same national pattern. Math and English Language Arts scores have been flat or declining since the district's full implementation of 1:1 devices at the elementary level in 2014, the year Westside crossed its own digital inflection point. A statistician hired by our parent group to analyze all available Nebraska NSCAS data from 2017 forward confirmed these trends at both the district and school level. Source: Horvath, J.C., "When Correlation Repeats Across 50 States: The NAEP Evidence Behind My Senate Testimony," The Digital Delusion (Mar. 3, 2026), analyzing National Center for Education Statistics NAEP Long-Term Trend data.</w:t>
      </w:r>
    </w:p>
    <w:p w14:paraId="25B9E12A" w14:textId="77777777" w:rsidR="00404FCA" w:rsidRPr="004F5447" w:rsidRDefault="009463F5">
      <w:pPr>
        <w:spacing w:before="240" w:after="120"/>
        <w:rPr>
          <w:rFonts w:ascii="Arial" w:hAnsi="Arial" w:cs="Arial"/>
        </w:rPr>
      </w:pPr>
      <w:r w:rsidRPr="004F5447">
        <w:rPr>
          <w:rFonts w:ascii="Arial" w:eastAsia="Calibri" w:hAnsi="Arial" w:cs="Arial"/>
          <w:b/>
          <w:bCs/>
        </w:rPr>
        <w:t>2. EdTech Widens the Achievement Gap: NIH Peer-Reviewed Research</w:t>
      </w:r>
    </w:p>
    <w:p w14:paraId="66FFE085" w14:textId="77777777" w:rsidR="00404FCA" w:rsidRPr="004F5447" w:rsidRDefault="009463F5">
      <w:pPr>
        <w:spacing w:after="240"/>
        <w:jc w:val="both"/>
        <w:rPr>
          <w:rFonts w:ascii="Arial" w:hAnsi="Arial" w:cs="Arial"/>
        </w:rPr>
      </w:pPr>
      <w:r w:rsidRPr="004F5447">
        <w:rPr>
          <w:rFonts w:ascii="Arial" w:eastAsia="Calibri" w:hAnsi="Arial" w:cs="Arial"/>
        </w:rPr>
        <w:t>A 2022 peer-reviewed study published in the International Journal of Environmental Research and Public Health, indexed by the National Institutes of Health (NIH), analyzed a longitudinal dataset of children in K–3 American classrooms and identified two specific adverse effects of EdTech on young children's learning achievement. First, the study found a statistically significant negative effect on overall academic achievement for students in EdTech classrooms. Second, and critically, it found a gap-widening effect between higher and lower achievers. Contrary to the equity argument frequently used to justify 1:1 device programs, the evidence shows that these devices do not raise the ceiling for higher-performing students but instead lower the floor for lower-performing students. The study authors concluded that EdTech contributes to widening the achievement gap rather than closing it. Citation: Ahn, J. (2022). International Journal of Environmental Research and Public Health, 19(9), 5430. DOI: 10.3390/ijerph19095430.</w:t>
      </w:r>
    </w:p>
    <w:p w14:paraId="01554D79" w14:textId="77777777" w:rsidR="00404FCA" w:rsidRPr="004F5447" w:rsidRDefault="009463F5">
      <w:pPr>
        <w:spacing w:before="240" w:after="120"/>
        <w:rPr>
          <w:rFonts w:ascii="Arial" w:hAnsi="Arial" w:cs="Arial"/>
        </w:rPr>
      </w:pPr>
      <w:r w:rsidRPr="004F5447">
        <w:rPr>
          <w:rFonts w:ascii="Arial" w:eastAsia="Calibri" w:hAnsi="Arial" w:cs="Arial"/>
          <w:b/>
          <w:bCs/>
        </w:rPr>
        <w:lastRenderedPageBreak/>
        <w:t>3. IXL Math: Vendor-Funded Research and Independent Findings</w:t>
      </w:r>
    </w:p>
    <w:p w14:paraId="4089D7CD" w14:textId="01C9883D" w:rsidR="00404FCA" w:rsidRPr="00CB0B34" w:rsidRDefault="009463F5">
      <w:pPr>
        <w:spacing w:after="240"/>
        <w:jc w:val="both"/>
        <w:rPr>
          <w:rFonts w:ascii="Arial" w:eastAsia="Calibri" w:hAnsi="Arial" w:cs="Arial"/>
        </w:rPr>
      </w:pPr>
      <w:r w:rsidRPr="004F5447">
        <w:rPr>
          <w:rFonts w:ascii="Arial" w:eastAsia="Calibri" w:hAnsi="Arial" w:cs="Arial"/>
        </w:rPr>
        <w:t>Westside Community Schools uses IXL Math as a primary math practice platform. IXL Learning markets its product using a body of research it describes as the most comprehensive in the edtech industry. However, a review of that research reveals that every study in IXL's research portfolio was either funded by IXL directly, commissioned by IXL, or authored by IXL's own research scientists</w:t>
      </w:r>
      <w:r w:rsidR="005231D0">
        <w:rPr>
          <w:rFonts w:ascii="Arial" w:eastAsia="Calibri" w:hAnsi="Arial" w:cs="Arial"/>
        </w:rPr>
        <w:t xml:space="preserve">, </w:t>
      </w:r>
      <w:r w:rsidRPr="004F5447">
        <w:rPr>
          <w:rFonts w:ascii="Arial" w:eastAsia="Calibri" w:hAnsi="Arial" w:cs="Arial"/>
        </w:rPr>
        <w:t>including the Nebraska-specific study published in February 2025, authored by Dr. Mary Hargis Becker, whose LinkedIn profile identifies her as a Research Scientist employed by IXL Learning. The one truly independent, non-vendor-funded academic study identified</w:t>
      </w:r>
      <w:r w:rsidR="005231D0">
        <w:rPr>
          <w:rFonts w:ascii="Arial" w:eastAsia="Calibri" w:hAnsi="Arial" w:cs="Arial"/>
        </w:rPr>
        <w:t>,</w:t>
      </w:r>
      <w:r w:rsidRPr="004F5447">
        <w:rPr>
          <w:rFonts w:ascii="Arial" w:eastAsia="Calibri" w:hAnsi="Arial" w:cs="Arial"/>
        </w:rPr>
        <w:t xml:space="preserve"> a dissertation from a Title 1 middle school in New York City</w:t>
      </w:r>
      <w:r w:rsidR="005231D0">
        <w:rPr>
          <w:rFonts w:ascii="Arial" w:eastAsia="Calibri" w:hAnsi="Arial" w:cs="Arial"/>
        </w:rPr>
        <w:t xml:space="preserve">, </w:t>
      </w:r>
      <w:r w:rsidRPr="004F5447">
        <w:rPr>
          <w:rFonts w:ascii="Arial" w:eastAsia="Calibri" w:hAnsi="Arial" w:cs="Arial"/>
        </w:rPr>
        <w:t>reached the opposite conclusion. On page 99 of that 153-page study, the author reported that an independent samples t-test found no statistically significant difference in math scale scores between students who used IXL and those who did not. The null hypothesis was accepted, and the findings did not support the conclusion that IXL Math is more effective than traditional non-IXL assignments.</w:t>
      </w:r>
      <w:r w:rsidR="005A75B1">
        <w:rPr>
          <w:rFonts w:ascii="Arial" w:eastAsia="Calibri" w:hAnsi="Arial" w:cs="Arial"/>
        </w:rPr>
        <w:t xml:space="preserve">  </w:t>
      </w:r>
      <w:r w:rsidR="00D30DBD">
        <w:rPr>
          <w:rFonts w:ascii="Arial" w:eastAsia="Calibri" w:hAnsi="Arial" w:cs="Arial"/>
        </w:rPr>
        <w:t>Citation</w:t>
      </w:r>
      <w:r w:rsidR="00CB0B34">
        <w:rPr>
          <w:rFonts w:ascii="Arial" w:eastAsia="Calibri" w:hAnsi="Arial" w:cs="Arial"/>
        </w:rPr>
        <w:t xml:space="preserve">: </w:t>
      </w:r>
      <w:r w:rsidR="00CB0B34" w:rsidRPr="00CB0B34">
        <w:rPr>
          <w:rFonts w:ascii="Arial" w:eastAsia="Calibri" w:hAnsi="Arial" w:cs="Arial"/>
        </w:rPr>
        <w:t>Shawn M. Donnelly</w:t>
      </w:r>
      <w:r w:rsidR="00CB0B34">
        <w:rPr>
          <w:rFonts w:ascii="Arial" w:eastAsia="Calibri" w:hAnsi="Arial" w:cs="Arial"/>
        </w:rPr>
        <w:t xml:space="preserve"> (2021) </w:t>
      </w:r>
      <w:r w:rsidR="00CB0B34" w:rsidRPr="00CB0B34">
        <w:rPr>
          <w:rFonts w:ascii="Arial" w:eastAsia="Calibri" w:hAnsi="Arial" w:cs="Arial"/>
        </w:rPr>
        <w:t>A STUDY OF THE EFFECTIVENESS OF IXL MATH ONLINE SOFTWARE ON STUDENT ACHIEVEMENT IN AN URBAN MIDDLE SCHOOL</w:t>
      </w:r>
      <w:r w:rsidR="002B5F18">
        <w:rPr>
          <w:rFonts w:ascii="Arial" w:eastAsia="Calibri" w:hAnsi="Arial" w:cs="Arial"/>
        </w:rPr>
        <w:t xml:space="preserve">.  </w:t>
      </w:r>
      <w:r w:rsidR="002B5F18" w:rsidRPr="002B5F18">
        <w:rPr>
          <w:rFonts w:ascii="Arial" w:eastAsia="Calibri" w:hAnsi="Arial" w:cs="Arial"/>
        </w:rPr>
        <w:t>Mary Hargis Becker, Ph.D.</w:t>
      </w:r>
      <w:r w:rsidR="002B5F18">
        <w:rPr>
          <w:rFonts w:ascii="Arial" w:eastAsia="Calibri" w:hAnsi="Arial" w:cs="Arial"/>
        </w:rPr>
        <w:t xml:space="preserve"> (2025) </w:t>
      </w:r>
      <w:r w:rsidR="006F7E9F" w:rsidRPr="006F7E9F">
        <w:rPr>
          <w:rFonts w:ascii="Arial" w:eastAsia="Calibri" w:hAnsi="Arial" w:cs="Arial"/>
        </w:rPr>
        <w:t>The Impact of IXL on Math Learning in Nebraska</w:t>
      </w:r>
    </w:p>
    <w:p w14:paraId="032899D6" w14:textId="77777777" w:rsidR="00404FCA" w:rsidRPr="004F5447" w:rsidRDefault="009463F5">
      <w:pPr>
        <w:spacing w:before="240" w:after="120"/>
        <w:rPr>
          <w:rFonts w:ascii="Arial" w:hAnsi="Arial" w:cs="Arial"/>
        </w:rPr>
      </w:pPr>
      <w:r w:rsidRPr="004F5447">
        <w:rPr>
          <w:rFonts w:ascii="Arial" w:eastAsia="Calibri" w:hAnsi="Arial" w:cs="Arial"/>
          <w:b/>
          <w:bCs/>
        </w:rPr>
        <w:t>4. Handwriting vs. Typing: Neuroscience Evidence</w:t>
      </w:r>
    </w:p>
    <w:p w14:paraId="47A254D3" w14:textId="77777777" w:rsidR="00404FCA" w:rsidRPr="004F5447" w:rsidRDefault="009463F5">
      <w:pPr>
        <w:spacing w:after="240"/>
        <w:jc w:val="both"/>
        <w:rPr>
          <w:rFonts w:ascii="Arial" w:hAnsi="Arial" w:cs="Arial"/>
        </w:rPr>
      </w:pPr>
      <w:r w:rsidRPr="004F5447">
        <w:rPr>
          <w:rFonts w:ascii="Arial" w:eastAsia="Calibri" w:hAnsi="Arial" w:cs="Arial"/>
        </w:rPr>
        <w:t>A 2024 peer-reviewed study published in Frontiers in Psychology by researchers at the Norwegian University of Science and Technology used high-density EEG equipment with 256 electrodes to measure brain connectivity in 36 university students as they alternated between handwriting and typing the same words. The results showed that handwriting produced dramatically more widespread brain connectivity than typing, particularly in the parietal and central brain regions associated with memory formation, learning, and encoding new information. The study identified 32 statistically significant connectivity differences between the two conditions, all favoring handwriting. The researchers concluded that the ongoing substitution of handwriting with typing in educational settings may undermine the learning process in a negative way, and urged that children must be exposed to handwriting activities from an early age to establish the neuronal connectivity patterns that provide the brain with optimal conditions for learning. The study declared no conflicts of interest and received no industry funding. Citation: Van der Weel, F.R. and Van der Meer, A.L.H. (2024). Frontiers in Psychology, 14:1219945. DOI: 10.3389/fpsyg.2023.1219945.</w:t>
      </w:r>
    </w:p>
    <w:p w14:paraId="399CF155" w14:textId="77777777" w:rsidR="00404FCA" w:rsidRPr="004F5447" w:rsidRDefault="009463F5">
      <w:pPr>
        <w:spacing w:before="240" w:after="120"/>
        <w:rPr>
          <w:rFonts w:ascii="Arial" w:hAnsi="Arial" w:cs="Arial"/>
        </w:rPr>
      </w:pPr>
      <w:r w:rsidRPr="004F5447">
        <w:rPr>
          <w:rFonts w:ascii="Arial" w:eastAsia="Calibri" w:hAnsi="Arial" w:cs="Arial"/>
          <w:b/>
          <w:bCs/>
        </w:rPr>
        <w:t>5. Myopia and Physical Health: Documented Risk of Screen Exposure</w:t>
      </w:r>
    </w:p>
    <w:p w14:paraId="54E309B8" w14:textId="27A6C443" w:rsidR="00404FCA" w:rsidRPr="004F5447" w:rsidRDefault="009463F5">
      <w:pPr>
        <w:spacing w:after="240"/>
        <w:jc w:val="both"/>
        <w:rPr>
          <w:rFonts w:ascii="Arial" w:hAnsi="Arial" w:cs="Arial"/>
        </w:rPr>
      </w:pPr>
      <w:r w:rsidRPr="004F5447">
        <w:rPr>
          <w:rFonts w:ascii="Arial" w:eastAsia="Calibri" w:hAnsi="Arial" w:cs="Arial"/>
        </w:rPr>
        <w:t>A 2025 dose-response meta-analysis covering 45 studies and more than 335,000 children found that every additional hour of daily screen time is associated with a 21% increase in the risk of developing myopia in children. The risk increases from an odds ratio of 1.05 at one hour of daily screen time to nearly 1.97</w:t>
      </w:r>
      <w:r w:rsidR="00D93D30">
        <w:rPr>
          <w:rFonts w:ascii="Arial" w:eastAsia="Calibri" w:hAnsi="Arial" w:cs="Arial"/>
        </w:rPr>
        <w:t>,</w:t>
      </w:r>
      <w:r w:rsidRPr="004F5447">
        <w:rPr>
          <w:rFonts w:ascii="Arial" w:eastAsia="Calibri" w:hAnsi="Arial" w:cs="Arial"/>
        </w:rPr>
        <w:t xml:space="preserve"> close to double the baseline risk at four hours per day. The researchers identified a possible safety threshold of below one hour of daily screen time. Elementary students using 1:1 devices for instructional purposes routinely exceed this threshold during school hours alone, before any additional screen exposure at home is considered. Beyond myopia, research also links excessive screen time to increased sedentary behavior, reduced outdoor physical activity, and higher rates of childhood obesity. Children who spend more time on screens are significantly less likely to meet recommended guidelines for physical activity, sleep, and screen time simultaneously.</w:t>
      </w:r>
    </w:p>
    <w:p w14:paraId="24F8A865" w14:textId="77777777" w:rsidR="00404FCA" w:rsidRPr="004F5447" w:rsidRDefault="009463F5">
      <w:pPr>
        <w:spacing w:before="240" w:after="120"/>
        <w:rPr>
          <w:rFonts w:ascii="Arial" w:hAnsi="Arial" w:cs="Arial"/>
        </w:rPr>
      </w:pPr>
      <w:r w:rsidRPr="004F5447">
        <w:rPr>
          <w:rFonts w:ascii="Arial" w:eastAsia="Calibri" w:hAnsi="Arial" w:cs="Arial"/>
          <w:b/>
          <w:bCs/>
        </w:rPr>
        <w:t>6. Mental Health: Adolescent Mental Health Crisis and Screen Time</w:t>
      </w:r>
    </w:p>
    <w:p w14:paraId="7260E848" w14:textId="2D6A29DD" w:rsidR="00404FCA" w:rsidRPr="004F5447" w:rsidRDefault="009463F5">
      <w:pPr>
        <w:spacing w:after="240"/>
        <w:jc w:val="both"/>
        <w:rPr>
          <w:rFonts w:ascii="Arial" w:hAnsi="Arial" w:cs="Arial"/>
        </w:rPr>
      </w:pPr>
      <w:r w:rsidRPr="004F5447">
        <w:rPr>
          <w:rFonts w:ascii="Arial" w:eastAsia="Calibri" w:hAnsi="Arial" w:cs="Arial"/>
        </w:rPr>
        <w:t>Research compiled by NYU social psychologist Dr. Jonathan Haidt in The Anxious Generation documents that rates of depression and anxiety in young people aged 12–17 nearly doubled between 2010 and 2019, and that all four major indicators of adolescent mental health</w:t>
      </w:r>
      <w:r w:rsidR="00D93D30">
        <w:rPr>
          <w:rFonts w:ascii="Arial" w:eastAsia="Calibri" w:hAnsi="Arial" w:cs="Arial"/>
        </w:rPr>
        <w:t xml:space="preserve">, </w:t>
      </w:r>
      <w:r w:rsidRPr="004F5447">
        <w:rPr>
          <w:rFonts w:ascii="Arial" w:eastAsia="Calibri" w:hAnsi="Arial" w:cs="Arial"/>
        </w:rPr>
        <w:t>suicide, self-poisoning, major depressive episodes, and depressive symptoms moved from below the historical average before 2012 to well above it by 2017 and 2018. This synchronized shift across four independent data sources is, as the research notes, the kind of pattern rarely seen outside of major societal change, and the timing coincides directly with the period when smartphones and screen-based platforms became ubiquitous among young people. The concern is not limited to social media. Screen-based learning environments normalize device dependence, reduce opportunities for face-to-face social interaction, and displace the outdoor play and physical activity that serve as natural buffers against anxiety and depression in developing children.</w:t>
      </w:r>
    </w:p>
    <w:p w14:paraId="0ABBF7D6" w14:textId="77777777" w:rsidR="00404FCA" w:rsidRPr="004F5447" w:rsidRDefault="009463F5">
      <w:pPr>
        <w:spacing w:before="240" w:after="120"/>
        <w:rPr>
          <w:rFonts w:ascii="Arial" w:hAnsi="Arial" w:cs="Arial"/>
        </w:rPr>
      </w:pPr>
      <w:r w:rsidRPr="004F5447">
        <w:rPr>
          <w:rFonts w:ascii="Arial" w:eastAsia="Calibri" w:hAnsi="Arial" w:cs="Arial"/>
          <w:b/>
          <w:bCs/>
        </w:rPr>
        <w:lastRenderedPageBreak/>
        <w:t>7. Child Development: Attention, Executive Function, and Cognitive Cost</w:t>
      </w:r>
    </w:p>
    <w:p w14:paraId="681F92F3" w14:textId="77777777" w:rsidR="00404FCA" w:rsidRPr="004F5447" w:rsidRDefault="009463F5">
      <w:pPr>
        <w:spacing w:after="240"/>
        <w:jc w:val="both"/>
        <w:rPr>
          <w:rFonts w:ascii="Arial" w:hAnsi="Arial" w:cs="Arial"/>
        </w:rPr>
      </w:pPr>
      <w:r w:rsidRPr="004F5447">
        <w:rPr>
          <w:rFonts w:ascii="Arial" w:eastAsia="Calibri" w:hAnsi="Arial" w:cs="Arial"/>
        </w:rPr>
        <w:t>Research on child cognitive development consistently shows that sustained attention, working memory, and executive function are capacities that must be built through effortful, cognitively demanding practice during the elementary years. Digital platforms designed to minimize friction and maximize engagement actively undermine this development. Andrew Cantarutti, author of The Walled Garden education Substack, has articulated this concern precisely: tools that are convenient for teachers can be developmentally costly for students when they outsource the cognitive work that students need to do themselves. A Learning Management System that sends automatic assignment reminders teaches students that paying attention in class is optional. A platform that reads text aloud removes the effortful decoding that builds reading comprehension. A math game with limited math content replaces practice with entertainment. These are not neutral substitutions. They are trades that cost students the very capacities schools exist to develop, and the costs are borne entirely by the children, not the adults who selected the tools.</w:t>
      </w:r>
    </w:p>
    <w:p w14:paraId="1E5555B0" w14:textId="77777777" w:rsidR="00404FCA" w:rsidRPr="004F5447" w:rsidRDefault="009463F5">
      <w:pPr>
        <w:spacing w:before="240" w:after="120"/>
        <w:rPr>
          <w:rFonts w:ascii="Arial" w:hAnsi="Arial" w:cs="Arial"/>
        </w:rPr>
      </w:pPr>
      <w:r w:rsidRPr="004F5447">
        <w:rPr>
          <w:rFonts w:ascii="Arial" w:eastAsia="Calibri" w:hAnsi="Arial" w:cs="Arial"/>
          <w:b/>
          <w:bCs/>
        </w:rPr>
        <w:t>8. Digital Testing Penalty: The Massachusetts Study</w:t>
      </w:r>
    </w:p>
    <w:p w14:paraId="4AC4F982" w14:textId="44E9FFCA" w:rsidR="00404FCA" w:rsidRPr="004F5447" w:rsidRDefault="009463F5">
      <w:pPr>
        <w:spacing w:after="240"/>
        <w:jc w:val="both"/>
        <w:rPr>
          <w:rFonts w:ascii="Arial" w:hAnsi="Arial" w:cs="Arial"/>
        </w:rPr>
      </w:pPr>
      <w:r w:rsidRPr="004F5447">
        <w:rPr>
          <w:rFonts w:ascii="Arial" w:eastAsia="Calibri" w:hAnsi="Arial" w:cs="Arial"/>
        </w:rPr>
        <w:t>A peer-reviewed study published in the Economics of Education Review (2019) by researchers at the American Institutes for Research examined the rollout of computer-based testing across Massachusetts public schools in grades 3 through 8, using data from over 1.1 million student-year observations. The study administered the same exam (PARCC) simultaneously in both paper and online formats, allowing a rigorous difference-in-differences comparison of the same test delivered by different modes. The findings were unambiguous: students taking the online version of the test scored statistically significantly lower than students taking the identical test on paper a penalty of 0.10 standard deviations in math and 0.25 standard deviations in ELA. Converting these effect sizes to months of learning using the Lipsey et al. (2012) methodology, the online testing penalty ranged from 1.3 to 5.3 months in math and from 4.2 to 11.0 months in ELA within a 9-month school year</w:t>
      </w:r>
      <w:r w:rsidR="00D72597">
        <w:rPr>
          <w:rFonts w:ascii="Arial" w:eastAsia="Calibri" w:hAnsi="Arial" w:cs="Arial"/>
        </w:rPr>
        <w:t xml:space="preserve">, </w:t>
      </w:r>
      <w:r w:rsidRPr="004F5447">
        <w:rPr>
          <w:rFonts w:ascii="Arial" w:eastAsia="Calibri" w:hAnsi="Arial" w:cs="Arial"/>
        </w:rPr>
        <w:t>with 7th grade ELA students losing the equivalent of 11 months of learning simply because the test was delivered on a screen rather than on paper. The study further found that ELA mode effects were most pronounced for students at the bottom of the achievement distribution, for English language learners, and for special education students. This has direct implications for Westside Community Schools, whose students take the NSCAS assessment digitally: the device itself may be artificially depressing measured student achievement, meaning the district's already flat or declining NSCAS scores may be worse than they would be if students were tested on paper. Citation: Backes, B. &amp; Cowan, J. (2019). Is the pen mightier than the keyboard? The effect of online testing on measured student achievement. Economics of Education Review, 68, 89-103. DOI: 10.1016/j.econedurev.2018.12.007.</w:t>
      </w:r>
    </w:p>
    <w:p w14:paraId="01A4CF64" w14:textId="77777777" w:rsidR="00404FCA" w:rsidRPr="004F5447" w:rsidRDefault="009463F5">
      <w:pPr>
        <w:spacing w:before="240" w:after="120"/>
        <w:rPr>
          <w:rFonts w:ascii="Arial" w:hAnsi="Arial" w:cs="Arial"/>
        </w:rPr>
      </w:pPr>
      <w:r w:rsidRPr="004F5447">
        <w:rPr>
          <w:rFonts w:ascii="Arial" w:eastAsia="Calibri" w:hAnsi="Arial" w:cs="Arial"/>
          <w:b/>
          <w:bCs/>
        </w:rPr>
        <w:t>9. U.S. Surgeon General Advisory: Federal Recommendation for Pen and Paper</w:t>
      </w:r>
    </w:p>
    <w:p w14:paraId="2AB4D6AB" w14:textId="111B853E" w:rsidR="00404FCA" w:rsidRPr="004F5447" w:rsidRDefault="009463F5">
      <w:pPr>
        <w:spacing w:after="240"/>
        <w:jc w:val="both"/>
        <w:rPr>
          <w:rFonts w:ascii="Arial" w:eastAsia="Calibri" w:hAnsi="Arial" w:cs="Arial"/>
        </w:rPr>
      </w:pPr>
      <w:r w:rsidRPr="004F5447">
        <w:rPr>
          <w:rFonts w:ascii="Arial" w:eastAsia="Calibri" w:hAnsi="Arial" w:cs="Arial"/>
        </w:rPr>
        <w:t>In May 2026, the U.S. Department of Health and Human Services issued a Surgeon General's Advisory on children and screen time, stating that the nation cannot wait for every question to be settled before acting, and that some patterns of screen use pose real harm to children. The advisory specifically recommended that school districts prioritize pen-and-paper curricula and assign work in books or on paper whenever possible. This is the position of the federal government's top public health office. It is directly consistent with the request being made in this form, and it represents a significant shift in how the highest levels of the U.S. public health establishment view screen-based instruction in schools.</w:t>
      </w:r>
      <w:r w:rsidR="002C6821">
        <w:rPr>
          <w:rFonts w:ascii="Arial" w:eastAsia="Calibri" w:hAnsi="Arial" w:cs="Arial"/>
        </w:rPr>
        <w:t xml:space="preserve"> Citation: </w:t>
      </w:r>
      <w:r w:rsidR="009F17CA">
        <w:rPr>
          <w:rFonts w:ascii="Arial" w:eastAsia="Calibri" w:hAnsi="Arial" w:cs="Arial"/>
        </w:rPr>
        <w:t xml:space="preserve">US Public Health Services </w:t>
      </w:r>
      <w:r w:rsidR="00326BD7">
        <w:rPr>
          <w:rFonts w:ascii="Arial" w:eastAsia="Calibri" w:hAnsi="Arial" w:cs="Arial"/>
        </w:rPr>
        <w:t>(2026)</w:t>
      </w:r>
      <w:r w:rsidR="009F17CA">
        <w:rPr>
          <w:rFonts w:ascii="Arial" w:eastAsia="Calibri" w:hAnsi="Arial" w:cs="Arial"/>
        </w:rPr>
        <w:t xml:space="preserve"> </w:t>
      </w:r>
      <w:r w:rsidR="009F17CA" w:rsidRPr="002C6821">
        <w:rPr>
          <w:rFonts w:ascii="Arial" w:eastAsia="Calibri" w:hAnsi="Arial" w:cs="Arial"/>
        </w:rPr>
        <w:t>U.S. Surgeon General’s Advisory: Surgeon General’s Warning on the Harms of Screen Use</w:t>
      </w:r>
    </w:p>
    <w:p w14:paraId="31CE12AD" w14:textId="77777777" w:rsidR="004F5447" w:rsidRPr="004F5447" w:rsidRDefault="004F5447" w:rsidP="004F5447">
      <w:pPr>
        <w:spacing w:after="240"/>
        <w:jc w:val="both"/>
        <w:rPr>
          <w:rFonts w:ascii="Arial" w:hAnsi="Arial" w:cs="Arial"/>
        </w:rPr>
      </w:pPr>
      <w:r w:rsidRPr="004F5447">
        <w:rPr>
          <w:rFonts w:ascii="Arial" w:hAnsi="Arial" w:cs="Arial"/>
          <w:b/>
          <w:bCs/>
        </w:rPr>
        <w:t>10. The District's Own Admission: No Independent Research and No Data After Twenty Years</w:t>
      </w:r>
    </w:p>
    <w:p w14:paraId="18FF80FF" w14:textId="31DE199E" w:rsidR="004F5447" w:rsidRPr="004F5447" w:rsidRDefault="004F5447">
      <w:pPr>
        <w:spacing w:after="240"/>
        <w:jc w:val="both"/>
        <w:rPr>
          <w:rFonts w:ascii="Arial" w:hAnsi="Arial" w:cs="Arial"/>
        </w:rPr>
      </w:pPr>
      <w:r w:rsidRPr="004F5447">
        <w:rPr>
          <w:rFonts w:ascii="Arial" w:hAnsi="Arial" w:cs="Arial"/>
        </w:rPr>
        <w:t xml:space="preserve">In response to a formal data request submitted by our parent group, Superintendent Lucas confirmed in writing that Westside Community Schools has never commissioned or reviewed an independent study measuring the academic impact of iPad and laptop use in the classroom. The only research the District could point to was its own internal analysis of IXL Math performance, a vendor-funded study that is neither independent nor peer-reviewed, alongside anecdotal teacher-reported impressions and satisfaction surveys. The District confirmed it has no way to compare student behavioral referral rates before and after the device rollout, no identified estimate of instructional time lost annually to device-related behavioral interventions, no data connecting in-school screen time to student mental health outcomes, and no tracking of anxiety, depression, or counseling utilization rates over the two-decade life of the program. The District </w:t>
      </w:r>
      <w:r w:rsidRPr="004F5447">
        <w:rPr>
          <w:rFonts w:ascii="Arial" w:hAnsi="Arial" w:cs="Arial"/>
        </w:rPr>
        <w:lastRenderedPageBreak/>
        <w:t>further confirmed that its web filtering system only captures activity occurring inside the filtered environment, meaning it has no visibility into what students access when they circumvent the filter and no data on how often that happens. Meanwhile, the District spends approximately $1.23 million annually leasing its roughly 9,500 devices. A program of this scale and cost, sustained for twenty years, should be the most rigorously measured initiative in the District, not the least. Instead, the District has confirmed in writing that it built no independent evidence base before adopting 1:1 devices, has no outcome data to show for two decades of use, and cannot answer basic questions about how, how long, or where its own students are using the devices it requires them to carry every day.</w:t>
      </w:r>
    </w:p>
    <w:p w14:paraId="769C1F75" w14:textId="3EE65AA0" w:rsidR="00404FCA" w:rsidRPr="004F5447" w:rsidRDefault="004F5447">
      <w:pPr>
        <w:spacing w:before="240" w:after="120"/>
        <w:rPr>
          <w:rFonts w:ascii="Arial" w:hAnsi="Arial" w:cs="Arial"/>
        </w:rPr>
      </w:pPr>
      <w:r w:rsidRPr="004F5447">
        <w:rPr>
          <w:rFonts w:ascii="Arial" w:eastAsia="Calibri" w:hAnsi="Arial" w:cs="Arial"/>
          <w:b/>
          <w:bCs/>
        </w:rPr>
        <w:t xml:space="preserve">11.  </w:t>
      </w:r>
      <w:r w:rsidR="009463F5" w:rsidRPr="004F5447">
        <w:rPr>
          <w:rFonts w:ascii="Arial" w:eastAsia="Calibri" w:hAnsi="Arial" w:cs="Arial"/>
          <w:b/>
          <w:bCs/>
        </w:rPr>
        <w:t>Conclusion</w:t>
      </w:r>
    </w:p>
    <w:p w14:paraId="5E6FBFD4" w14:textId="4A09E8CF" w:rsidR="00404FCA" w:rsidRPr="004F5447" w:rsidRDefault="009463F5">
      <w:pPr>
        <w:spacing w:after="240"/>
        <w:jc w:val="both"/>
        <w:rPr>
          <w:rFonts w:ascii="Arial" w:hAnsi="Arial" w:cs="Arial"/>
        </w:rPr>
      </w:pPr>
      <w:r w:rsidRPr="004F5447">
        <w:rPr>
          <w:rFonts w:ascii="Arial" w:eastAsia="Calibri" w:hAnsi="Arial" w:cs="Arial"/>
        </w:rPr>
        <w:t xml:space="preserve">The research summarized above spans peer-reviewed neuroscience, longitudinal educational data, federal public health guidance, and independent academic study. It represents the considered view of researchers with no financial interest in the outcome. Taken together, it constitutes a substantial and documented basis for objecting to 1:1 iPad use as the primary instructional environment for my child. I respectfully request that my child be excused from 1:1 device-based </w:t>
      </w:r>
      <w:r w:rsidR="0014291C">
        <w:rPr>
          <w:rFonts w:ascii="Arial" w:eastAsia="Calibri" w:hAnsi="Arial" w:cs="Arial"/>
        </w:rPr>
        <w:t>experiences</w:t>
      </w:r>
      <w:r w:rsidRPr="004F5447">
        <w:rPr>
          <w:rFonts w:ascii="Arial" w:eastAsia="Calibri" w:hAnsi="Arial" w:cs="Arial"/>
        </w:rPr>
        <w:t xml:space="preserve"> and provided with a paper-based alternative consistent with the evidence cited above and the rights afforded to me under Nebraska Revised Statute 79-532(c) and Westside Community Schools Regulation 6320R.</w:t>
      </w:r>
    </w:p>
    <w:sectPr>
      <w:pgSz w:h="15840" w:w="12240" w:orient="portrait"/>
      <w:pgMar w:bottom="1440" w:top="1440" w:left="1440" w:right="1440" w:header="720" w:footer="720"/>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standalone="yes"?>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docDefaults><w:rPrDefault><w:rPr><w:rFonts w:ascii="Aptos" w:cs="Aptos" w:eastAsia="Aptos" w:hAnsi="Aptos"/><w:sz w:val="24"/><w:szCs w:val="24"/><w:lang w:val="en"/></w:rPr></w:rPrDefault><w:pPrDefault><w:pPr><w:spacing w:after="160" w:line="278.00000000000006" w:lineRule="auto"/></w:pPr></w:pPrDefault></w:docDefaults><w:style w:type="table" w:styleId="TableNormal" w:default="1"><w:name w:val="TableNormal"/><w:tblPr><w:tblCellMar><w:top w:w="100.0" w:type="dxa"/><w:left w:w="100.0" w:type="dxa"/><w:bottom w:w="100.0" w:type="dxa"/><w:right w:w="100.0" w:type="dxa"/></w:tblCellMar></w:tblPr></w:style><w:style w:type="paragraph" w:styleId="Normal" w:default="1"><w:name w:val="normal"/></w:style><w:style w:type="paragraph" w:styleId="Heading1"><w:name w:val="heading 1"/><w:basedOn w:val="Normal"/><w:next w:val="Normal"/><w:pPr><w:keepNext w:val="1"/><w:keepLines w:val="1"/><w:spacing w:after="80" w:before="360" w:lineRule="auto"/></w:pPr><w:rPr><w:rFonts w:ascii="Play" w:cs="Play" w:eastAsia="Play" w:hAnsi="Play"/><w:color w:val="0f4761"/><w:sz w:val="40"/><w:szCs w:val="40"/></w:rPr></w:style><w:style w:type="paragraph" w:styleId="Heading2"><w:name w:val="heading 2"/><w:basedOn w:val="Normal"/><w:next w:val="Normal"/><w:pPr><w:keepNext w:val="1"/><w:keepLines w:val="1"/><w:spacing w:after="80" w:before="160" w:lineRule="auto"/></w:pPr><w:rPr><w:rFonts w:ascii="Play" w:cs="Play" w:eastAsia="Play" w:hAnsi="Play"/><w:color w:val="0f4761"/><w:sz w:val="32"/><w:szCs w:val="32"/></w:rPr></w:style><w:style w:type="paragraph" w:styleId="Heading3"><w:name w:val="heading 3"/><w:basedOn w:val="Normal"/><w:next w:val="Normal"/><w:pPr><w:keepNext w:val="1"/><w:keepLines w:val="1"/><w:spacing w:after="80" w:before="160" w:lineRule="auto"/></w:pPr><w:rPr><w:color w:val="0f4761"/><w:sz w:val="28"/><w:szCs w:val="28"/></w:rPr></w:style><w:style w:type="paragraph" w:styleId="Heading4"><w:name w:val="heading 4"/><w:basedOn w:val="Normal"/><w:next w:val="Normal"/><w:pPr><w:keepNext w:val="1"/><w:keepLines w:val="1"/><w:spacing w:after="40" w:before="80" w:lineRule="auto"/></w:pPr><w:rPr><w:i w:val="1"/><w:iCs w:val="1"/><w:color w:val="0f4761"/></w:rPr></w:style><w:style w:type="paragraph" w:styleId="Heading5"><w:name w:val="heading 5"/><w:basedOn w:val="Normal"/><w:next w:val="Normal"/><w:pPr><w:keepNext w:val="1"/><w:keepLines w:val="1"/><w:spacing w:after="40" w:before="80" w:lineRule="auto"/></w:pPr><w:rPr><w:color w:val="0f4761"/></w:rPr></w:style><w:style w:type="paragraph" w:styleId="Heading6"><w:name w:val="heading 6"/><w:basedOn w:val="Normal"/><w:next w:val="Normal"/><w:pPr><w:keepNext w:val="1"/><w:keepLines w:val="1"/><w:spacing w:after="0" w:before="40" w:lineRule="auto"/></w:pPr><w:rPr><w:i w:val="1"/><w:iCs w:val="1"/><w:color w:val="595959"/></w:rPr></w:style><w:style w:type="paragraph" w:styleId="Title"><w:name w:val="Title"/><w:basedOn w:val="Normal"/><w:next w:val="Normal"/><w:pPr><w:spacing w:after="80" w:line="240" w:lineRule="auto"/></w:pPr><w:rPr><w:rFonts w:ascii="Play" w:cs="Play" w:eastAsia="Play" w:hAnsi="Play"/><w:sz w:val="56"/><w:szCs w:val="56"/></w:rPr></w:style><w:style w:type="paragraph" w:styleId="Subtitle"><w:name w:val="Subtitle"/><w:basedOn w:val="Normal"/><w:next w:val="Normal"/><w:pPr/><w:rPr><w:color w:val="595959"/><w:sz w:val="28"/><w:szCs w:val="28"/></w:rPr></w:style><w:styles mc:Ignorable="w14 w15"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w:docDefaults><w:rPrDefault/><w:pPrDefault/></w:docDefaults><w:style w:type="paragraph" w:styleId="p1_Title"><w:name w:val="p1_Title"/><w:basedOn w:val="Normal"/><w:next w:val="Normal"/><w:qFormat/><w:rPr><w:sz w:val="56"/><w:szCs w:val="56"/></w:rPr></w:style><w:style w:type="paragraph" w:styleId="p1_Heading1"><w:name w:val="Heading 1"/><w:basedOn w:val="Normal"/><w:next w:val="Normal"/><w:qFormat/><w:rPr><w:color w:val="2E74B5"/><w:sz w:val="32"/><w:szCs w:val="32"/></w:rPr></w:style><w:style w:type="paragraph" w:styleId="p1_Heading2"><w:name w:val="Heading 2"/><w:basedOn w:val="Normal"/><w:next w:val="Normal"/><w:qFormat/><w:rPr><w:color w:val="2E74B5"/><w:sz w:val="26"/><w:szCs w:val="26"/></w:rPr></w:style><w:style w:type="paragraph" w:styleId="p1_Heading3"><w:name w:val="Heading 3"/><w:basedOn w:val="Normal"/><w:next w:val="Normal"/><w:qFormat/><w:rPr><w:color w:val="1F4D78"/><w:sz w:val="24"/><w:szCs w:val="24"/></w:rPr></w:style><w:style w:type="paragraph" w:styleId="p1_Heading4"><w:name w:val="Heading 4"/><w:basedOn w:val="Normal"/><w:next w:val="Normal"/><w:qFormat/><w:rPr><w:i/><w:iCs/><w:color w:val="2E74B5"/></w:rPr></w:style><w:style w:type="paragraph" w:styleId="p1_Heading5"><w:name w:val="Heading 5"/><w:basedOn w:val="Normal"/><w:next w:val="Normal"/><w:qFormat/><w:rPr><w:color w:val="2E74B5"/></w:rPr></w:style><w:style w:type="paragraph" w:styleId="p1_Heading6"><w:name w:val="Heading 6"/><w:basedOn w:val="Normal"/><w:next w:val="Normal"/><w:qFormat/><w:rPr><w:color w:val="1F4D78"/></w:rPr></w:style><w:style w:type="paragraph" w:styleId="Strong"><w:name w:val="Strong"/><w:basedOn w:val="Normal"/><w:next w:val="Normal"/><w:qFormat/><w:rPr><w:b/><w:bCs/></w:rPr></w:style><w:style w:type="paragraph" w:styleId="ListParagraph"><w:name w:val="List Paragraph"/><w:basedOn w:val="Normal"/><w:qFormat/></w:style><w:style w:type="character" w:styleId="Hyperlink"><w:name w:val="Hyperlink"/><w:basedOn w:val="DefaultParagraphFont"/><w:uiPriority w:val="99"/><w:unhideWhenUsed/><w:rPr><w:color w:val="0563C1"/><w:u w:val="single"/></w:rPr></w:style><w:style w:type="character" w:styleId="FootnoteReference"><w:name w:val="footnote reference"/><w:basedOn w:val="DefaultParagraphFont"/><w:uiPriority w:val="99"/><w:semiHidden/><w:unhideWhenUsed/><w:rPr><w:vertAlign w:val="superscript"/></w:rPr></w:style><w:style w:type="paragraph" w:styleId="FootnoteText"><w:name w:val="footnote text"/><w:basedOn w:val="Normal"/><w:link w:val="FootnoteTextChar"/><w:uiPriority w:val="99"/><w:semiHidden/><w:unhideWhenUsed/><w:pPr><w:spacing w:after="0" w:line="240" w:lineRule="auto"/></w:pPr><w:rPr><w:sz w:val="20"/><w:szCs w:val="20"/></w:rPr></w:style><w:style w:type="character" w:styleId="FootnoteTextChar"><w:name w:val="Footnote Text Char"/><w:basedOn w:val="DefaultParagraphFont"/><w:link w:val="FootnoteText"/><w:uiPriority w:val="99"/><w:semiHidden/><w:unhideWhenUsed/><w:rPr><w:sz w:val="20"/><w:szCs w:val="20"/></w:rPr></w:style><w:style w:type="character" w:styleId="EndnoteReference"><w:name w:val="endnote reference"/><w:basedOn w:val="DefaultParagraphFont"/><w:uiPriority w:val="99"/><w:semiHidden/><w:unhideWhenUsed/><w:rPr><w:vertAlign w:val="superscript"/></w:rPr></w:style><w:style w:type="paragraph" w:styleId="EndnoteText"><w:name w:val="endnote text"/><w:basedOn w:val="Normal"/><w:link w:val="EndnoteTextChar"/><w:uiPriority w:val="99"/><w:semiHidden/><w:unhideWhenUsed/><w:pPr><w:spacing w:after="0" w:line="240" w:lineRule="auto"/></w:pPr><w:rPr><w:sz w:val="20"/><w:szCs w:val="20"/></w:rPr></w:style><w:style w:type="character" w:styleId="EndnoteTextChar"><w:name w:val="Endnote Text Char"/><w:basedOn w:val="DefaultParagraphFont"/><w:link w:val="EndnoteText"/><w:uiPriority w:val="99"/><w:semiHidden/><w:unhideWhenUsed/><w:rPr><w:sz w:val="20"/><w:szCs w:val="20"/></w:rPr></w:style><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w:docDefaults><w:rPrDefault><w:rPr><w:rFonts w:ascii="Times New Roman" w:eastAsia="Times New Roman" w:hAnsi="Times New Roman" w:cs="Times New Roman"/><w:lang w:val="en-US" w:eastAsia="en-US" w:bidi="ar-SA"/></w:rPr></w:rPrDefault><w:pPrDefault/></w:docDefaults><w:latentStyles w:defLockedState="0" w:defUIPriority="99" w:defSemiHidden="0" w:defUnhideWhenUsed="0" w:defQFormat="0" w:count="376"><w:lsdException w:name="Normal" w:uiPriority="0" w:qFormat="1"/><w:lsdException w:name="heading 1" w:uiPriority="9" w:qFormat="1"/><w:lsdException w:name="heading 2" w:semiHidden="1" w:uiPriority="9" w:unhideWhenUsed="1" w:qFormat="1"/><w:lsdException w:name="heading 3" w:semiHidden="1" w:uiPriority="9" w:unhideWhenUsed="1" w:qFormat="1"/><w:lsdException w:name="heading 4" w:semiHidden="1" w:uiPriority="9" w:unhideWhenUsed="1" w:qFormat="1"/><w:lsdException w:name="heading 5" w:semiHidden="1" w:uiPriority="9" w:unhideWhenUsed="1" w:qFormat="1"/><w:lsdException w:name="heading 6" w:semiHidden="1" w:uiPriority="9" w:unhideWhenUsed="1" w:qFormat="1"/><w:lsdException w:name="heading 7" w:semiHidden="1" w:uiPriority="9" w:unhideWhenUsed="1" w:qFormat="1"/><w:lsdException w:name="heading 8" w:semiHidden="1" w:uiPriority="9" w:unhideWhenUsed="1" w:qFormat="1"/><w:lsdException w:name="heading 9" w:semiHidden="1" w:uiPriority="9" w:unhideWhenUsed="1" w:qFormat="1"/><w:lsdException w:name="index 1" w:semiHidden="1" w:unhideWhenUsed="1"/><w:lsdException w:name="index 2" w:semiHidden="1" w:unhideWhenUsed="1"/><w:lsdException w:name="index 3" w:semiHidden="1" w:unhideWhenUsed="1"/><w:lsdException w:name="index 4" w:semiHidden="1" w:unhideWhenUsed="1"/><w:lsdException w:name="index 5" w:semiHidden="1" w:unhideWhenUsed="1"/><w:lsdException w:name="index 6" w:semiHidden="1" w:unhideWhenUsed="1"/><w:lsdException w:name="index 7" w:semiHidden="1" w:unhideWhenUsed="1"/><w:lsdException w:name="index 8" w:semiHidden="1" w:unhideWhenUsed="1"/><w:lsdException w:name="index 9" w:semiHidden="1" w:unhideWhenUsed="1"/><w:lsdException w:name="toc 1" w:semiHidden="1" w:uiPriority="39" w:unhideWhenUsed="1"/><w:lsdException w:name="toc 2" w:semiHidden="1" w:uiPriority="39" w:unhideWhenUsed="1"/><w:lsdException w:name="toc 3" w:semiHidden="1" w:uiPriority="39" w:unhideWhenUsed="1"/><w:lsdException w:name="toc 4" w:semiHidden="1" w:uiPriority="39" w:unhideWhenUsed="1"/><w:lsdException w:name="toc 5" w:semiHidden="1" w:uiPriority="39" w:unhideWhenUsed="1"/><w:lsdException w:name="toc 6" w:semiHidden="1" w:uiPriority="39" w:unhideWhenUsed="1"/><w:lsdException w:name="toc 7" w:semiHidden="1" w:uiPriority="39" w:unhideWhenUsed="1"/><w:lsdException w:name="toc 8" w:semiHidden="1" w:uiPriority="39" w:unhideWhenUsed="1"/><w:lsdException w:name="toc 9" w:semiHidden="1" w:uiPriority="39" w:unhideWhenUsed="1"/><w:lsdException w:name="Normal Indent" w:semiHidden="1" w:unhideWhenUsed="1"/><w:lsdException w:name="footnote text" w:semiHidden="1" w:unhideWhenUsed="1"/><w:lsdException w:name="annotation text" w:semiHidden="1" w:unhideWhenUsed="1"/><w:lsdException w:name="header" w:semiHidden="1" w:unhideWhenUsed="1"/><w:lsdException w:name="footer" w:semiHidden="1" w:unhideWhenUsed="1"/><w:lsdException w:name="index heading" w:semiHidden="1" w:unhideWhenUsed="1"/><w:lsdException w:name="caption" w:semiHidden="1" w:uiPriority="35" w:unhideWhenUsed="1" w:qFormat="1"/><w:lsdException w:name="table of figures" w:semiHidden="1" w:unhideWhenUsed="1"/><w:lsdException w:name="envelope address" w:semiHidden="1" w:unhideWhenUsed="1"/><w:lsdException w:name="envelope return" w:semiHidden="1" w:unhideWhenUsed="1"/><w:lsdException w:name="footnote reference" w:semiHidden="1" w:unhideWhenUsed="1"/><w:lsdException w:name="annotation reference" w:semiHidden="1" w:unhideWhenUsed="1"/><w:lsdException w:name="line number" w:semiHidden="1" w:unhideWhenUsed="1"/><w:lsdException w:name="page number" w:semiHidden="1" w:unhideWhenUsed="1"/><w:lsdException w:name="endnote reference" w:semiHidden="1" w:unhideWhenUsed="1"/><w:lsdException w:name="endnote text" w:semiHidden="1" w:unhideWhenUsed="1"/><w:lsdException w:name="table of authorities" w:semiHidden="1" w:unhideWhenUsed="1"/><w:lsdException w:name="macro" w:semiHidden="1" w:unhideWhenUsed="1"/><w:lsdException w:name="toa heading" w:semiHidden="1" w:unhideWhenUsed="1"/><w:lsdException w:name="List" w:semiHidden="1" w:unhideWhenUsed="1"/><w:lsdException w:name="List Bullet" w:semiHidden="1" w:unhideWhenUsed="1"/><w:lsdException w:name="List Number" w:semiHidden="1" w:unhideWhenUsed="1"/><w:lsdException w:name="List 2" w:semiHidden="1" w:unhideWhenUsed="1"/><w:lsdException w:name="List 3" w:semiHidden="1" w:unhideWhenUsed="1"/><w:lsdException w:name="List 4" w:semiHidden="1" w:unhideWhenUsed="1"/><w:lsdException w:name="List 5" w:semiHidden="1" w:unhideWhenUsed="1"/><w:lsdException w:name="List Bullet 2" w:semiHidden="1" w:unhideWhenUsed="1"/><w:lsdException w:name="List Bullet 3" w:semiHidden="1" w:unhideWhenUsed="1"/><w:lsdException w:name="List Bullet 4" w:semiHidden="1" w:unhideWhenUsed="1"/><w:lsdException w:name="List Bullet 5" w:semiHidden="1" w:unhideWhenUsed="1"/><w:lsdException w:name="List Number 2" w:semiHidden="1" w:unhideWhenUsed="1"/><w:lsdException w:name="List Number 3" w:semiHidden="1" w:unhideWhenUsed="1"/><w:lsdException w:name="List Number 4" w:semiHidden="1" w:unhideWhenUsed="1"/><w:lsdException w:name="List Number 5" w:semiHidden="1" w:unhideWhenUsed="1"/><w:lsdException w:name="Title" w:uiPriority="10" w:qFormat="1"/><w:lsdException w:name="Closing" w:semiHidden="1" w:unhideWhenUsed="1"/><w:lsdException w:name="Signature" w:semiHidden="1" w:unhideWhenUsed="1"/><w:lsdException w:name="Default Paragraph Font" w:semiHidden="1" w:uiPriority="1" w:unhideWhenUsed="1"/><w:lsdException w:name="Body Text" w:semiHidden="1" w:unhideWhenUsed="1"/><w:lsdException w:name="Body Text Indent" w:semiHidden="1" w:unhideWhenUsed="1"/><w:lsdException w:name="List Continue" w:semiHidden="1" w:unhideWhenUsed="1"/><w:lsdException w:name="List Continue 2" w:semiHidden="1" w:unhideWhenUsed="1"/><w:lsdException w:name="List Continue 3" w:semiHidden="1" w:unhideWhenUsed="1"/><w:lsdException w:name="List Continue 4" w:semiHidden="1" w:unhideWhenUsed="1"/><w:lsdException w:name="List Continue 5" w:semiHidden="1" w:unhideWhenUsed="1"/><w:lsdException w:name="Message Header" w:semiHidden="1" w:unhideWhenUsed="1"/><w:lsdException w:name="Subtitle" w:uiPriority="11" w:qFormat="1"/><w:lsdException w:name="Salutation" w:semiHidden="1" w:unhideWhenUsed="1"/><w:lsdException w:name="Date" w:semiHidden="1" w:unhideWhenUsed="1"/><w:lsdException w:name="Body Text First Indent" w:semiHidden="1" w:unhideWhenUsed="1"/><w:lsdException w:name="Body Text First Indent 2" w:semiHidden="1" w:unhideWhenUsed="1"/><w:lsdException w:name="Note Heading" w:semiHidden="1" w:unhideWhenUsed="1"/><w:lsdException w:name="Body Text 2" w:semiHidden="1" w:unhideWhenUsed="1"/><w:lsdException w:name="Body Text 3" w:semiHidden="1" w:unhideWhenUsed="1"/><w:lsdException w:name="Body Text Indent 2" w:semiHidden="1" w:unhideWhenUsed="1"/><w:lsdException w:name="Body Text Indent 3" w:semiHidden="1" w:unhideWhenUsed="1"/><w:lsdException w:name="Block Text" w:semiHidden="1" w:unhideWhenUsed="1"/><w:lsdException w:name="Hyperlink" w:semiHidden="1" w:unhideWhenUsed="1"/><w:lsdException w:name="FollowedHyperlink" w:semiHidden="1" w:unhideWhenUsed="1"/><w:lsdException w:name="Strong" w:uiPriority="22" w:qFormat="1"/><w:lsdException w:name="Emphasis" w:uiPriority="20" w:qFormat="1"/><w:lsdException w:name="Document Map" w:semiHidden="1" w:unhideWhenUsed="1"/><w:lsdException w:name="Plain Text" w:semiHidden="1" w:unhideWhenUsed="1"/><w:lsdException w:name="E-mail Signature" w:semiHidden="1" w:unhideWhenUsed="1"/><w:lsdException w:name="HTML Top of Form" w:semiHidden="1" w:unhideWhenUsed="1"/><w:lsdException w:name="HTML Bottom of Form" w:semiHidden="1" w:unhideWhenUsed="1"/><w:lsdException w:name="Normal (Web)" w:semiHidden="1" w:unhideWhenUsed="1"/><w:lsdException w:name="HTML Acronym" w:semiHidden="1" w:unhideWhenUsed="1"/><w:lsdException w:name="HTML Address" w:semiHidden="1" w:unhideWhenUsed="1"/><w:lsdException w:name="HTML Cite" w:semiHidden="1" w:unhideWhenUsed="1"/><w:lsdException w:name="HTML Code" w:semiHidden="1" w:unhideWhenUsed="1"/><w:lsdException w:name="HTML Definition" w:semiHidden="1" w:unhideWhenUsed="1"/><w:lsdException w:name="HTML Keyboard" w:semiHidden="1" w:unhideWhenUsed="1"/><w:lsdException w:name="HTML Preformatted" w:semiHidden="1" w:unhideWhenUsed="1"/><w:lsdException w:name="HTML Sample" w:semiHidden="1" w:unhideWhenUsed="1"/><w:lsdException w:name="HTML Typewriter" w:semiHidden="1" w:unhideWhenUsed="1"/><w:lsdException w:name="HTML Variable" w:semiHidden="1" w:unhideWhenUsed="1"/><w:lsdException w:name="Normal Table" w:semiHidden="1" w:unhideWhenUsed="1"/><w:lsdException w:name="annotation subject" w:semiHidden="1" w:unhideWhenUsed="1"/><w:lsdException w:name="No List" w:semiHidden="1" w:unhideWhenUsed="1"/><w:lsdException w:name="Outline List 1" w:semiHidden="1" w:unhideWhenUsed="1"/><w:lsdException w:name="Outline List 2" w:semiHidden="1" w:unhideWhenUsed="1"/><w:lsdException w:name="Outline List 3" w:semiHidden="1" w:unhideWhenUsed="1"/><w:lsdException w:name="Table Simple 1" w:semiHidden="1" w:unhideWhenUsed="1"/><w:lsdException w:name="Table Simple 2" w:semiHidden="1" w:unhideWhenUsed="1"/><w:lsdException w:name="Table Simple 3" w:semiHidden="1" w:unhideWhenUsed="1"/><w:lsdException w:name="Table Classic 1" w:semiHidden="1" w:unhideWhenUsed="1"/><w:lsdException w:name="Table Classic 2" w:semiHidden="1" w:unhideWhenUsed="1"/><w:lsdException w:name="Table Classic 3" w:semiHidden="1" w:unhideWhenUsed="1"/><w:lsdException w:name="Table Classic 4" w:semiHidden="1" w:unhideWhenUsed="1"/><w:lsdException w:name="Table Colorful 1" w:semiHidden="1" w:unhideWhenUsed="1"/><w:lsdException w:name="Table Colorful 2" w:semiHidden="1" w:unhideWhenUsed="1"/><w:lsdException w:name="Table Colorful 3" w:semiHidden="1" w:unhideWhenUsed="1"/><w:lsdException w:name="Table Columns 1" w:semiHidden="1" w:unhideWhenUsed="1"/><w:lsdException w:name="Table Columns 2" w:semiHidden="1" w:unhideWhenUsed="1"/><w:lsdException w:name="Table Columns 3" w:semiHidden="1" w:unhideWhenUsed="1"/><w:lsdException w:name="Table Columns 4" w:semiHidden="1" w:unhideWhenUsed="1"/><w:lsdException w:name="Table Columns 5" w:semiHidden="1" w:unhideWhenUsed="1"/><w:lsdException w:name="Table Grid 1" w:semiHidden="1" w:unhideWhenUsed="1"/><w:lsdException w:name="Table Grid 2" w:semiHidden="1" w:unhideWhenUsed="1"/><w:lsdException w:name="Table Grid 3" w:semiHidden="1" w:unhideWhenUsed="1"/><w:lsdException w:name="Table Grid 4" w:semiHidden="1" w:unhideWhenUsed="1"/><w:lsdException w:name="Table Grid 5" w:semiHidden="1" w:unhideWhenUsed="1"/><w:lsdException w:name="Table Grid 6" w:semiHidden="1" w:unhideWhenUsed="1"/><w:lsdException w:name="Table Grid 7" w:semiHidden="1" w:unhideWhenUsed="1"/><w:lsdException w:name="Table Grid 8" w:semiHidden="1" w:unhideWhenUsed="1"/><w:lsdException w:name="Table List 1" w:semiHidden="1" w:unhideWhenUsed="1"/><w:lsdException w:name="Table List 2" w:semiHidden="1" w:unhideWhenUsed="1"/><w:lsdException w:name="Table List 3" w:semiHidden="1" w:unhideWhenUsed="1"/><w:lsdException w:name="Table List 4" w:semiHidden="1" w:unhideWhenUsed="1"/><w:lsdException w:name="Table List 5" w:semiHidden="1" w:unhideWhenUsed="1"/><w:lsdException w:name="Table List 6" w:semiHidden="1" w:unhideWhenUsed="1"/><w:lsdException w:name="Table List 7" w:semiHidden="1" w:unhideWhenUsed="1"/><w:lsdException w:name="Table List 8" w:semiHidden="1" w:unhideWhenUsed="1"/><w:lsdException w:name="Table 3D effects 1" w:semiHidden="1" w:unhideWhenUsed="1"/><w:lsdException w:name="Table 3D effects 2" w:semiHidden="1" w:unhideWhenUsed="1"/><w:lsdException w:name="Table 3D effects 3" w:semiHidden="1" w:unhideWhenUsed="1"/><w:lsdException w:name="Table Contemporary" w:semiHidden="1" w:unhideWhenUsed="1"/><w:lsdException w:name="Table Elegant" w:semiHidden="1" w:unhideWhenUsed="1"/><w:lsdException w:name="Table Professional" w:semiHidden="1" w:unhideWhenUsed="1"/><w:lsdException w:name="Table Subtle 1" w:semiHidden="1" w:unhideWhenUsed="1"/><w:lsdException w:name="Table Subtle 2" w:semiHidden="1" w:unhideWhenUsed="1"/><w:lsdException w:name="Table Web 1" w:semiHidden="1" w:unhideWhenUsed="1"/><w:lsdException w:name="Table Web 2" w:semiHidden="1" w:unhideWhenUsed="1"/><w:lsdException w:name="Table Web 3" w:semiHidden="1" w:unhideWhenUsed="1"/><w:lsdException w:name="Balloon Text" w:semiHidden="1" w:unhideWhenUsed="1"/><w:lsdException w:name="Table Grid" w:uiPriority="39"/><w:lsdException w:name="Table Theme" w:semiHidden="1" w:unhideWhenUsed="1"/><w:lsdException w:name="Placeholder Text" w:semiHidden="1"/><w:lsdException w:name="No Spacing" w:uiPriority="1" w:qFormat="1"/><w:lsdException w:name="Light Shading" w:uiPriority="60"/><w:lsdException w:name="Light List" w:uiPriority="61"/><w:lsdException w:name="Light Grid" w:uiPriority="62"/><w:lsdException w:name="Medium Shading 1" w:uiPriority="63"/><w:lsdException w:name="Medium Shading 2" w:uiPriority="64"/><w:lsdException w:name="Medium List 1" w:uiPriority="65"/><w:lsdException w:name="Medium List 2" w:uiPriority="66"/><w:lsdException w:name="Medium Grid 1" w:uiPriority="67"/><w:lsdException w:name="Medium Grid 2" w:uiPriority="68"/><w:lsdException w:name="Medium Grid 3" w:uiPriority="69"/><w:lsdException w:name="Dark List" w:uiPriority="70"/><w:lsdException w:name="Colorful Shading" w:uiPriority="71"/><w:lsdException w:name="Colorful List" w:uiPriority="72"/><w:lsdException w:name="Colorful Grid" w:uiPriority="73"/><w:lsdException w:name="Light Shading Accent 1" w:uiPriority="60"/><w:lsdException w:name="Light List Accent 1" w:uiPriority="61"/><w:lsdException w:name="Light Grid Accent 1" w:uiPriority="62"/><w:lsdException w:name="Medium Shading 1 Accent 1" w:uiPriority="63"/><w:lsdException w:name="Medium Shading 2 Accent 1" w:uiPriority="64"/><w:lsdException w:name="Medium List 1 Accent 1" w:uiPriority="65"/><w:lsdException w:name="Revision" w:semiHidden="1"/><w:lsdException w:name="List Paragraph" w:uiPriority="34" w:qFormat="1"/><w:lsdException w:name="Quote" w:uiPriority="29" w:qFormat="1"/><w:lsdException w:name="Intense Quote" w:uiPriority="30" w:qFormat="1"/><w:lsdException w:name="Medium List 2 Accent 1" w:uiPriority="66"/><w:lsdException w:name="Medium Grid 1 Accent 1" w:uiPriority="67"/><w:lsdException w:name="Medium Grid 2 Accent 1" w:uiPriority="68"/><w:lsdException w:name="Medium Grid 3 Accent 1" w:uiPriority="69"/><w:lsdException w:name="Dark List Accent 1" w:uiPriority="70"/><w:lsdException w:name="Colorful Shading Accent 1" w:uiPriority="71"/><w:lsdException w:name="Colorful List Accent 1" w:uiPriority="72"/><w:lsdException w:name="Colorful Grid Accent 1" w:uiPriority="73"/><w:lsdException w:name="Light Shading Accent 2" w:uiPriority="60"/><w:lsdException w:name="Light List Accent 2" w:uiPriority="61"/><w:lsdException w:name="Light Grid Accent 2" w:uiPriority="62"/><w:lsdException w:name="Medium Shading 1 Accent 2" w:uiPriority="63"/><w:lsdException w:name="Medium Shading 2 Accent 2" w:uiPriority="64"/><w:lsdException w:name="Medium List 1 Accent 2" w:uiPriority="65"/><w:lsdException w:name="Medium List 2 Accent 2" w:uiPriority="66"/><w:lsdException w:name="Medium Grid 1 Accent 2" w:uiPriority="67"/><w:lsdException w:name="Medium Grid 2 Accent 2" w:uiPriority="68"/><w:lsdException w:name="Medium Grid 3 Accent 2" w:uiPriority="69"/><w:lsdException w:name="Dark List Accent 2" w:uiPriority="70"/><w:lsdException w:name="Colorful Shading Accent 2" w:uiPriority="71"/><w:lsdException w:name="Colorful List Accent 2" w:uiPriority="72"/><w:lsdException w:name="Colorful Grid Accent 2" w:uiPriority="73"/><w:lsdException w:name="Light Shading Accent 3" w:uiPriority="60"/><w:lsdException w:name="Light List Accent 3" w:uiPriority="61"/><w:lsdException w:name="Light Grid Accent 3" w:uiPriority="62"/><w:lsdException w:name="Medium Shading 1 Accent 3" w:uiPriority="63"/><w:lsdException w:name="Medium Shading 2 Accent 3" w:uiPriority="64"/><w:lsdException w:name="Medium List 1 Accent 3" w:uiPriority="65"/><w:lsdException w:name="Medium List 2 Accent 3" w:uiPriority="66"/><w:lsdException w:name="Medium Grid 1 Accent 3" w:uiPriority="67"/><w:lsdException w:name="Medium Grid 2 Accent 3" w:uiPriority="68"/><w:lsdException w:name="Medium Grid 3 Accent 3" w:uiPriority="69"/><w:lsdException w:name="Dark List Accent 3" w:uiPriority="70"/><w:lsdException w:name="Colorful Shading Accent 3" w:uiPriority="71"/><w:lsdException w:name="Colorful List Accent 3" w:uiPriority="72"/><w:lsdException w:name="Colorful Grid Accent 3" w:uiPriority="73"/><w:lsdException w:name="Light Shading Accent 4" w:uiPriority="60"/><w:lsdException w:name="Light List Accent 4" w:uiPriority="61"/><w:lsdException w:name="Light Grid Accent 4" w:uiPriority="62"/><w:lsdException w:name="Medium Shading 1 Accent 4" w:uiPriority="63"/><w:lsdException w:name="Medium Shading 2 Accent 4" w:uiPriority="64"/><w:lsdException w:name="Medium List 1 Accent 4" w:uiPriority="65"/><w:lsdException w:name="Medium List 2 Accent 4" w:uiPriority="66"/><w:lsdException w:name="Medium Grid 1 Accent 4" w:uiPriority="67"/><w:lsdException w:name="Medium Grid 2 Accent 4" w:uiPriority="68"/><w:lsdException w:name="Medium Grid 3 Accent 4" w:uiPriority="69"/><w:lsdException w:name="Dark List Accent 4" w:uiPriority="70"/><w:lsdException w:name="Colorful Shading Accent 4" w:uiPriority="71"/><w:lsdException w:name="Colorful List Accent 4" w:uiPriority="72"/><w:lsdException w:name="Colorful Grid Accent 4" w:uiPriority="73"/><w:lsdException w:name="Light Shading Accent 5" w:uiPriority="60"/><w:lsdException w:name="Light List Accent 5" w:uiPriority="61"/><w:lsdException w:name="Light Grid Accent 5" w:uiPriority="62"/><w:lsdException w:name="Medium Shading 1 Accent 5" w:uiPriority="63"/><w:lsdException w:name="Medium Shading 2 Accent 5" w:uiPriority="64"/><w:lsdException w:name="Medium List 1 Accent 5" w:uiPriority="65"/><w:lsdException w:name="Medium List 2 Accent 5" w:uiPriority="66"/><w:lsdException w:name="Medium Grid 1 Accent 5" w:uiPriority="67"/><w:lsdException w:name="Medium Grid 2 Accent 5" w:uiPriority="68"/><w:lsdException w:name="Medium Grid 3 Accent 5" w:uiPriority="69"/><w:lsdException w:name="Dark List Accent 5" w:uiPriority="70"/><w:lsdException w:name="Colorful Shading Accent 5" w:uiPriority="71"/><w:lsdException w:name="Colorful List Accent 5" w:uiPriority="72"/><w:lsdException w:name="Colorful Grid Accent 5" w:uiPriority="73"/><w:lsdException w:name="Light Shading Accent 6" w:uiPriority="60"/><w:lsdException w:name="Light List Accent 6" w:uiPriority="61"/><w:lsdException w:name="Light Grid Accent 6" w:uiPriority="62"/><w:lsdException w:name="Medium Shading 1 Accent 6" w:uiPriority="63"/><w:lsdException w:name="Medium Shading 2 Accent 6" w:uiPriority="64"/><w:lsdException w:name="Medium List 1 Accent 6" w:uiPriority="65"/><w:lsdException w:name="Medium List 2 Accent 6" w:uiPriority="66"/><w:lsdException w:name="Medium Grid 1 Accent 6" w:uiPriority="67"/><w:lsdException w:name="Medium Grid 2 Accent 6" w:uiPriority="68"/><w:lsdException w:name="Medium Grid 3 Accent 6" w:uiPriority="69"/><w:lsdException w:name="Dark List Accent 6" w:uiPriority="70"/><w:lsdException w:name="Colorful Shading Accent 6" w:uiPriority="71"/><w:lsdException w:name="Colorful List Accent 6" w:uiPriority="72"/><w:lsdException w:name="Colorful Grid Accent 6" w:uiPriority="73"/><w:lsdException w:name="Subtle Emphasis" w:uiPriority="19" w:qFormat="1"/><w:lsdException w:name="Intense Emphasis" w:uiPriority="21" w:qFormat="1"/><w:lsdException w:name="Subtle Reference" w:uiPriority="31" w:qFormat="1"/><w:lsdException w:name="Intense Reference" w:uiPriority="32" w:qFormat="1"/><w:lsdException w:name="Book Title" w:uiPriority="33" w:qFormat="1"/><w:lsdException w:name="Bibliography" w:semiHidden="1" w:uiPriority="37" w:unhideWhenUsed="1"/><w:lsdException w:name="TOC Heading" w:semiHidden="1" w:uiPriority="39" w:unhideWhenUsed="1" w:qFormat="1"/><w:lsdException w:name="Plain Table 1" w:uiPriority="41"/><w:lsdException w:name="Plain Table 2" w:uiPriority="42"/><w:lsdException w:name="Plain Table 3" w:uiPriority="43"/><w:lsdException w:name="Plain Table 4" w:uiPriority="44"/><w:lsdException w:name="Plain Table 5" w:uiPriority="45"/><w:lsdException w:name="Grid Table Light" w:uiPriority="40"/><w:lsdException w:name="Grid Table 1 Light" w:uiPriority="46"/><w:lsdException w:name="Grid Table 2" w:uiPriority="47"/><w:lsdException w:name="Grid Table 3" w:uiPriority="48"/><w:lsdException w:name="Grid Table 4" w:uiPriority="49"/><w:lsdException w:name="Grid Table 5 Dark" w:uiPriority="50"/><w:lsdException w:name="Grid Table 6 Colorful" w:uiPriority="51"/><w:lsdException w:name="Grid Table 7 Colorful" w:uiPriority="52"/><w:lsdException w:name="Grid Table 1 Light Accent 1" w:uiPriority="46"/><w:lsdException w:name="Grid Table 2 Accent 1" w:uiPriority="47"/><w:lsdException w:name="Grid Table 3 Accent 1" w:uiPriority="48"/><w:lsdException w:name="Grid Table 4 Accent 1" w:uiPriority="49"/><w:lsdException w:name="Grid Table 5 Dark Accent 1" w:uiPriority="50"/><w:lsdException w:name="Grid Table 6 Colorful Accent 1" w:uiPriority="51"/><w:lsdException w:name="Grid Table 7 Colorful Accent 1" w:uiPriority="52"/><w:lsdException w:name="Grid Table 1 Light Accent 2" w:uiPriority="46"/><w:lsdException w:name="Grid Table 2 Accent 2" w:uiPriority="47"/><w:lsdException w:name="Grid Table 3 Accent 2" w:uiPriority="48"/><w:lsdException w:name="Grid Table 4 Accent 2" w:uiPriority="49"/><w:lsdException w:name="Grid Table 5 Dark Accent 2" w:uiPriority="50"/><w:lsdException w:name="Grid Table 6 Colorful Accent 2" w:uiPriority="51"/><w:lsdException w:name="Grid Table 7 Colorful Accent 2" w:uiPriority="52"/><w:lsdException w:name="Grid Table 1 Light Accent 3" w:uiPriority="46"/><w:lsdException w:name="Grid Table 2 Accent 3" w:uiPriority="47"/><w:lsdException w:name="Grid Table 3 Accent 3" w:uiPriority="48"/><w:lsdException w:name="Grid Table 4 Accent 3" w:uiPriority="49"/><w:lsdException w:name="Grid Table 5 Dark Accent 3" w:uiPriority="50"/><w:lsdException w:name="Grid Table 6 Colorful Accent 3" w:uiPriority="51"/><w:lsdException w:name="Grid Table 7 Colorful Accent 3" w:uiPriority="52"/><w:lsdException w:name="Grid Table 1 Light Accent 4" w:uiPriority="46"/><w:lsdException w:name="Grid Table 2 Accent 4" w:uiPriority="47"/><w:lsdException w:name="Grid Table 3 Accent 4" w:uiPriority="48"/><w:lsdException w:name="Grid Table 4 Accent 4" w:uiPriority="49"/><w:lsdException w:name="Grid Table 5 Dark Accent 4" w:uiPriority="50"/><w:lsdException w:name="Grid Table 6 Colorful Accent 4" w:uiPriority="51"/><w:lsdException w:name="Grid Table 7 Colorful Accent 4" w:uiPriority="52"/><w:lsdException w:name="Grid Table 1 Light Accent 5" w:uiPriority="46"/><w:lsdException w:name="Grid Table 2 Accent 5" w:uiPriority="47"/><w:lsdException w:name="Grid Table 3 Accent 5" w:uiPriority="48"/><w:lsdException w:name="Grid Table 4 Accent 5" w:uiPriority="49"/><w:lsdException w:name="Grid Table 5 Dark Accent 5" w:uiPriority="50"/><w:lsdException w:name="Grid Table 6 Colorful Accent 5" w:uiPriority="51"/><w:lsdException w:name="Grid Table 7 Colorful Accent 5" w:uiPriority="52"/><w:lsdException w:name="Grid Table 1 Light Accent 6" w:uiPriority="46"/><w:lsdException w:name="Grid Table 2 Accent 6" w:uiPriority="47"/><w:lsdException w:name="Grid Table 3 Accent 6" w:uiPriority="48"/><w:lsdException w:name="Grid Table 4 Accent 6" w:uiPriority="49"/><w:lsdException w:name="Grid Table 5 Dark Accent 6" w:uiPriority="50"/><w:lsdException w:name="Grid Table 6 Colorful Accent 6" w:uiPriority="51"/><w:lsdException w:name="Grid Table 7 Colorful Accent 6" w:uiPriority="52"/><w:lsdException w:name="List Table 1 Light" w:uiPriority="46"/><w:lsdException w:name="List Table 2" w:uiPriority="47"/><w:lsdException w:name="List Table 3" w:uiPriority="48"/><w:lsdException w:name="List Table 4" w:uiPriority="49"/><w:lsdException w:name="List Table 5 Dark" w:uiPriority="50"/><w:lsdException w:name="List Table 6 Colorful" w:uiPriority="51"/><w:lsdException w:name="List Table 7 Colorful" w:uiPriority="52"/><w:lsdException w:name="List Table 1 Light Accent 1" w:uiPriority="46"/><w:lsdException w:name="List Table 2 Accent 1" w:uiPriority="47"/><w:lsdException w:name="List Table 3 Accent 1" w:uiPriority="48"/><w:lsdException w:name="List Table 4 Accent 1" w:uiPriority="49"/><w:lsdException w:name="List Table 5 Dark Accent 1" w:uiPriority="50"/><w:lsdException w:name="List Table 6 Colorful Accent 1" w:uiPriority="51"/><w:lsdException w:name="List Table 7 Colorful Accent 1" w:uiPriority="52"/><w:lsdException w:name="List Table 1 Light Accent 2" w:uiPriority="46"/><w:lsdException w:name="List Table 2 Accent 2" w:uiPriority="47"/><w:lsdException w:name="List Table 3 Accent 2" w:uiPriority="48"/><w:lsdException w:name="List Table 4 Accent 2" w:uiPriority="49"/><w:lsdException w:name="List Table 5 Dark Accent 2" w:uiPriority="50"/><w:lsdException w:name="List Table 6 Colorful Accent 2" w:uiPriority="51"/><w:lsdException w:name="List Table 7 Colorful Accent 2" w:uiPriority="52"/><w:lsdException w:name="List Table 1 Light Accent 3" w:uiPriority="46"/><w:lsdException w:name="List Table 2 Accent 3" w:uiPriority="47"/><w:lsdException w:name="List Table 3 Accent 3" w:uiPriority="48"/><w:lsdException w:name="List Table 4 Accent 3" w:uiPriority="49"/><w:lsdException w:name="List Table 5 Dark Accent 3" w:uiPriority="50"/><w:lsdException w:name="List Table 6 Colorful Accent 3" w:uiPriority="51"/><w:lsdException w:name="List Table 7 Colorful Accent 3" w:uiPriority="52"/><w:lsdException w:name="List Table 1 Light Accent 4" w:uiPriority="46"/><w:lsdException w:name="List Table 2 Accent 4" w:uiPriority="47"/><w:lsdException w:name="List Table 3 Accent 4" w:uiPriority="48"/><w:lsdException w:name="List Table 4 Accent 4" w:uiPriority="49"/><w:lsdException w:name="List Table 5 Dark Accent 4" w:uiPriority="50"/><w:lsdException w:name="List Table 6 Colorful Accent 4" w:uiPriority="51"/><w:lsdException w:name="List Table 7 Colorful Accent 4" w:uiPriority="52"/><w:lsdException w:name="List Table 1 Light Accent 5" w:uiPriority="46"/><w:lsdException w:name="List Table 2 Accent 5" w:uiPriority="47"/><w:lsdException w:name="List Table 3 Accent 5" w:uiPriority="48"/><w:lsdException w:name="List Table 4 Accent 5" w:uiPriority="49"/><w:lsdException w:name="List Table 5 Dark Accent 5" w:uiPriority="50"/><w:lsdException w:name="List Table 6 Colorful Accent 5" w:uiPriority="51"/><w:lsdException w:name="List Table 7 Colorful Accent 5" w:uiPriority="52"/><w:lsdException w:name="List Table 1 Light Accent 6" w:uiPriority="46"/><w:lsdException w:name="List Table 2 Accent 6" w:uiPriority="47"/><w:lsdException w:name="List Table 3 Accent 6" w:uiPriority="48"/><w:lsdException w:name="List Table 4 Accent 6" w:uiPriority="49"/><w:lsdException w:name="List Table 5 Dark Accent 6" w:uiPriority="50"/><w:lsdException w:name="List Table 6 Colorful Accent 6" w:uiPriority="51"/><w:lsdException w:name="List Table 7 Colorful Accent 6" w:uiPriority="52"/><w:lsdException w:name="Mention" w:semiHidden="1" w:unhideWhenUsed="1"/><w:lsdException w:name="Smart Hyperlink" w:semiHidden="1" w:unhideWhenUsed="1"/><w:lsdException w:name="Hashtag" w:semiHidden="1" w:unhideWhenUsed="1"/><w:lsdException w:name="Unresolved Mention" w:semiHidden="1" w:unhideWhenUsed="1"/><w:lsdException w:name="Smart Link" w:semiHidden="1" w:unhideWhenUsed="1"/></w:latentStyles><w:style w:type="paragraph" w:default="1" w:styleId="p2_Normal"><w:name w:val="p2_Normal"/><w:qFormat/></w:style><w:style w:type="paragraph" w:styleId="p2_Heading1"><w:name w:val="heading 1"/><w:uiPriority w:val="9"/><w:qFormat/><w:pPr><w:outlineLvl w:val="0"/></w:pPr><w:rPr><w:color w:val="2E74B5"/><w:sz w:val="32"/><w:szCs w:val="32"/></w:rPr></w:style><w:style w:type="paragraph" w:styleId="p2_Heading2"><w:name w:val="heading 2"/><w:uiPriority w:val="9"/><w:semiHidden/><w:unhideWhenUsed/><w:qFormat/><w:pPr><w:outlineLvl w:val="1"/></w:pPr><w:rPr><w:color w:val="2E74B5"/><w:sz w:val="26"/><w:szCs w:val="26"/></w:rPr></w:style><w:style w:type="paragraph" w:styleId="p2_Heading3"><w:name w:val="heading 3"/><w:uiPriority w:val="9"/><w:semiHidden/><w:unhideWhenUsed/><w:qFormat/><w:pPr><w:outlineLvl w:val="2"/></w:pPr><w:rPr><w:color w:val="1F4D78"/><w:sz w:val="24"/><w:szCs w:val="24"/></w:rPr></w:style><w:style w:type="paragraph" w:styleId="p2_Heading4"><w:name w:val="heading 4"/><w:uiPriority w:val="9"/><w:semiHidden/><w:unhideWhenUsed/><w:qFormat/><w:pPr><w:outlineLvl w:val="3"/></w:pPr><w:rPr><w:i/><w:iCs/><w:color w:val="2E74B5"/></w:rPr></w:style><w:style w:type="paragraph" w:styleId="p2_Heading5"><w:name w:val="heading 5"/><w:uiPriority w:val="9"/><w:semiHidden/><w:unhideWhenUsed/><w:qFormat/><w:pPr><w:outlineLvl w:val="4"/></w:pPr><w:rPr><w:color w:val="2E74B5"/></w:rPr></w:style><w:style w:type="paragraph" w:styleId="p2_Heading6"><w:name w:val="heading 6"/><w:uiPriority w:val="9"/><w:semiHidden/><w:unhideWhenUsed/><w:qFormat/><w:pPr><w:outlineLvl w:val="5"/></w:pPr><w:rPr><w:color w:val="1F4D78"/></w:rPr></w:style><w:style w:type="character" w:default="1" w:styleId="DefaultParagraphFont"><w:name w:val="Default Paragraph Font"/><w:uiPriority w:val="1"/><w:unhideWhenUsed/></w:style><w:style w:type="table" w:default="1" w:styleId="p2_TableNormal"><w:name w:val="Normal Table"/><w:uiPriority w:val="99"/><w:semiHidden/><w:unhideWhenUsed/><w:tblPr><w:tblInd w:w="0" w:type="dxa"/><w:tblCellMar><w:top w:w="0" w:type="dxa"/><w:left w:w="108" w:type="dxa"/><w:bottom w:w="0" w:type="dxa"/><w:right w:w="108" w:type="dxa"/></w:tblCellMar></w:tblPr></w:style><w:style w:type="numbering" w:default="1" w:styleId="NoList"><w:name w:val="No List"/><w:uiPriority w:val="99"/><w:semiHidden/><w:unhideWhenUsed/></w:style><w:style w:type="paragraph" w:styleId="p2_Title"><w:name w:val="p2_Title"/><w:uiPriority w:val="10"/><w:qFormat/><w:rPr><w:sz w:val="56"/><w:szCs w:val="56"/></w:rPr></w:style><w:style w:type="paragraph" w:customStyle="1" w:styleId="Strong1"><w:name w:val="Strong1"/><w:qFormat/><w:rPr><w:b/><w:bCs/></w:rPr></w:style><w:style w:type="paragraph" w:styleId="p2_ListParagraph"><w:name w:val="List Paragraph"/><w:qFormat/></w:style><w:style w:type="character" w:styleId="p2_Hyperlink"><w:name w:val="p2_Hyperlink"/><w:uiPriority w:val="99"/><w:unhideWhenUsed/><w:rPr><w:color w:val="0563C1"/><w:u w:val="single"/></w:rPr></w:style><w:style w:type="character" w:styleId="p2_FootnoteReference"><w:name w:val="footnote reference"/><w:uiPriority w:val="99"/><w:semiHidden/><w:unhideWhenUsed/><w:rPr><w:vertAlign w:val="superscript"/></w:rPr></w:style><w:style w:type="paragraph" w:styleId="p2_FootnoteText"><w:name w:val="footnote text"/><w:link w:val="p2_FootnoteTextChar"/><w:uiPriority w:val="99"/><w:semiHidden/><w:unhideWhenUsed/></w:style><w:style w:type="character" w:customStyle="1" w:styleId="p2_FootnoteTextChar"><w:name w:val="Footnote Text Char"/><w:link w:val="p2_FootnoteText"/><w:uiPriority w:val="99"/><w:semiHidden/><w:unhideWhenUsed/><w:rPr><w:sz w:val="20"/><w:szCs w:val="20"/></w:rPr></w:style><w:style w:type="character" w:styleId="p2_EndnoteReference"><w:name w:val="endnote reference"/><w:uiPriority w:val="99"/><w:semiHidden/><w:unhideWhenUsed/><w:rPr><w:vertAlign w:val="superscript"/></w:rPr></w:style><w:style w:type="paragraph" w:styleId="p2_EndnoteText"><w:name w:val="endnote text"/><w:link w:val="p2_EndnoteTextChar"/><w:uiPriority w:val="99"/><w:semiHidden/><w:unhideWhenUsed/></w:style><w:style w:type="character" w:customStyle="1" w:styleId="p2_EndnoteTextChar"><w:name w:val="Endnote Text Char"/><w:link w:val="p2_EndnoteText"/><w:uiPriority w:val="99"/><w:semiHidden/><w:unhideWhenUsed/><w:rPr><w:sz w:val="20"/><w:szCs w:val="20"/></w:rPr></w:style></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merged-2.png"/></Relationships>
</file>

<file path=word/_rels/endnotes.xml.rels><?xml version="1.0" encoding="UTF-8"?><Relationships xmlns="http://schemas.openxmlformats.org/package/2006/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32lsAzk2vv0q4P1YSZrj7Hej7w==">CgMxLjA4AHIhMWRXRlFQbFhtQ0hobXRkelBqVFB2MzdfeHVsUXRmRnA3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