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ymbol_dictionary.md"/>
    <w:p>
      <w:pPr>
        <w:pStyle w:val="Heading1"/>
      </w:pPr>
      <w:r>
        <w:t xml:space="preserve">SYMBOL_DICTIONARY.md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the canonical symbolic language used across the AI Specialist Team visual identity ecosystem.</w:t>
      </w:r>
    </w:p>
    <w:p>
      <w:pPr>
        <w:pStyle w:val="BodyText"/>
      </w:pPr>
      <w:r>
        <w:t xml:space="preserve">Symbols are used across:</w:t>
      </w:r>
    </w:p>
    <w:p>
      <w:pPr>
        <w:pStyle w:val="Compact"/>
        <w:numPr>
          <w:ilvl w:val="0"/>
          <w:numId w:val="1001"/>
        </w:numPr>
      </w:pPr>
      <w:r>
        <w:t xml:space="preserve">avatars</w:t>
      </w:r>
    </w:p>
    <w:p>
      <w:pPr>
        <w:pStyle w:val="Compact"/>
        <w:numPr>
          <w:ilvl w:val="0"/>
          <w:numId w:val="1001"/>
        </w:numPr>
      </w:pPr>
      <w:r>
        <w:t xml:space="preserve">diagrams</w:t>
      </w:r>
    </w:p>
    <w:p>
      <w:pPr>
        <w:pStyle w:val="Compact"/>
        <w:numPr>
          <w:ilvl w:val="0"/>
          <w:numId w:val="1001"/>
        </w:numPr>
      </w:pPr>
      <w:r>
        <w:t xml:space="preserve">deck systems</w:t>
      </w:r>
    </w:p>
    <w:p>
      <w:pPr>
        <w:pStyle w:val="Compact"/>
        <w:numPr>
          <w:ilvl w:val="0"/>
          <w:numId w:val="1001"/>
        </w:numPr>
      </w:pPr>
      <w:r>
        <w:t xml:space="preserve">workflow maps</w:t>
      </w:r>
    </w:p>
    <w:p>
      <w:pPr>
        <w:pStyle w:val="Compact"/>
        <w:numPr>
          <w:ilvl w:val="0"/>
          <w:numId w:val="1001"/>
        </w:numPr>
      </w:pPr>
      <w:r>
        <w:t xml:space="preserve">profile cards</w:t>
      </w:r>
    </w:p>
    <w:p>
      <w:pPr>
        <w:pStyle w:val="Compact"/>
        <w:numPr>
          <w:ilvl w:val="0"/>
          <w:numId w:val="1001"/>
        </w:numPr>
      </w:pPr>
      <w:r>
        <w:t xml:space="preserve">badges</w:t>
      </w:r>
    </w:p>
    <w:p>
      <w:pPr>
        <w:pStyle w:val="Compact"/>
        <w:numPr>
          <w:ilvl w:val="0"/>
          <w:numId w:val="1001"/>
        </w:numPr>
      </w:pPr>
      <w:r>
        <w:t xml:space="preserve">slide accents</w:t>
      </w:r>
    </w:p>
    <w:p>
      <w:pPr>
        <w:pStyle w:val="Compact"/>
        <w:numPr>
          <w:ilvl w:val="0"/>
          <w:numId w:val="1001"/>
        </w:numPr>
      </w:pPr>
      <w:r>
        <w:t xml:space="preserve">architecture visuals</w:t>
      </w:r>
    </w:p>
    <w:p>
      <w:pPr>
        <w:pStyle w:val="Compact"/>
        <w:numPr>
          <w:ilvl w:val="0"/>
          <w:numId w:val="1001"/>
        </w:numPr>
      </w:pPr>
      <w:r>
        <w:t xml:space="preserve">future motion systems</w:t>
      </w:r>
    </w:p>
    <w:p>
      <w:pPr>
        <w:pStyle w:val="FirstParagraph"/>
      </w:pPr>
      <w:r>
        <w:t xml:space="preserve">The symbol system must:</w:t>
      </w:r>
    </w:p>
    <w:p>
      <w:pPr>
        <w:pStyle w:val="Compact"/>
        <w:numPr>
          <w:ilvl w:val="0"/>
          <w:numId w:val="1002"/>
        </w:numPr>
      </w:pPr>
      <w:r>
        <w:t xml:space="preserve">remain minimalist</w:t>
      </w:r>
    </w:p>
    <w:p>
      <w:pPr>
        <w:pStyle w:val="Compact"/>
        <w:numPr>
          <w:ilvl w:val="0"/>
          <w:numId w:val="1002"/>
        </w:numPr>
      </w:pPr>
      <w:r>
        <w:t xml:space="preserve">scale to tiny sizes</w:t>
      </w:r>
    </w:p>
    <w:p>
      <w:pPr>
        <w:pStyle w:val="Compact"/>
        <w:numPr>
          <w:ilvl w:val="0"/>
          <w:numId w:val="1002"/>
        </w:numPr>
      </w:pPr>
      <w:r>
        <w:t xml:space="preserve">remain recognisable</w:t>
      </w:r>
    </w:p>
    <w:p>
      <w:pPr>
        <w:pStyle w:val="Compact"/>
        <w:numPr>
          <w:ilvl w:val="0"/>
          <w:numId w:val="1002"/>
        </w:numPr>
      </w:pPr>
      <w:r>
        <w:t xml:space="preserve">support monochrome rendering</w:t>
      </w:r>
    </w:p>
    <w:p>
      <w:pPr>
        <w:pStyle w:val="Compact"/>
        <w:numPr>
          <w:ilvl w:val="0"/>
          <w:numId w:val="1002"/>
        </w:numPr>
      </w:pPr>
      <w:r>
        <w:t xml:space="preserve">support restrained accent colour usage</w:t>
      </w:r>
    </w:p>
    <w:p>
      <w:pPr>
        <w:pStyle w:val="Compact"/>
        <w:numPr>
          <w:ilvl w:val="0"/>
          <w:numId w:val="1002"/>
        </w:numPr>
      </w:pPr>
      <w:r>
        <w:t xml:space="preserve">reinforce specialist identity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ymbol-system-philosophy"/>
    <w:p>
      <w:pPr>
        <w:pStyle w:val="Heading1"/>
      </w:pPr>
      <w:r>
        <w:t xml:space="preserve">Symbol System Philosophy</w:t>
      </w:r>
    </w:p>
    <w:p>
      <w:pPr>
        <w:pStyle w:val="FirstParagraph"/>
      </w:pPr>
      <w:r>
        <w:t xml:space="preserve">Symbols are not decorative.</w:t>
      </w:r>
    </w:p>
    <w:p>
      <w:pPr>
        <w:pStyle w:val="BodyText"/>
      </w:pPr>
      <w:r>
        <w:t xml:space="preserve">They are:</w:t>
      </w:r>
    </w:p>
    <w:p>
      <w:pPr>
        <w:pStyle w:val="Compact"/>
        <w:numPr>
          <w:ilvl w:val="0"/>
          <w:numId w:val="1003"/>
        </w:numPr>
      </w:pPr>
      <w:r>
        <w:t xml:space="preserve">semantic cues</w:t>
      </w:r>
    </w:p>
    <w:p>
      <w:pPr>
        <w:pStyle w:val="Compact"/>
        <w:numPr>
          <w:ilvl w:val="0"/>
          <w:numId w:val="1003"/>
        </w:numPr>
      </w:pPr>
      <w:r>
        <w:t xml:space="preserve">behavioural indicators</w:t>
      </w:r>
    </w:p>
    <w:p>
      <w:pPr>
        <w:pStyle w:val="Compact"/>
        <w:numPr>
          <w:ilvl w:val="0"/>
          <w:numId w:val="1003"/>
        </w:numPr>
      </w:pPr>
      <w:r>
        <w:t xml:space="preserve">role identifiers</w:t>
      </w:r>
    </w:p>
    <w:p>
      <w:pPr>
        <w:pStyle w:val="Compact"/>
        <w:numPr>
          <w:ilvl w:val="0"/>
          <w:numId w:val="1003"/>
        </w:numPr>
      </w:pPr>
      <w:r>
        <w:t xml:space="preserve">compositional anchors</w:t>
      </w:r>
    </w:p>
    <w:p>
      <w:pPr>
        <w:pStyle w:val="FirstParagraph"/>
      </w:pPr>
      <w:r>
        <w:t xml:space="preserve">Every symbol must:</w:t>
      </w:r>
    </w:p>
    <w:p>
      <w:pPr>
        <w:pStyle w:val="Compact"/>
        <w:numPr>
          <w:ilvl w:val="0"/>
          <w:numId w:val="1004"/>
        </w:numPr>
      </w:pPr>
      <w:r>
        <w:t xml:space="preserve">communicate function</w:t>
      </w:r>
    </w:p>
    <w:p>
      <w:pPr>
        <w:pStyle w:val="Compact"/>
        <w:numPr>
          <w:ilvl w:val="0"/>
          <w:numId w:val="1004"/>
        </w:numPr>
      </w:pPr>
      <w:r>
        <w:t xml:space="preserve">remain visually simple</w:t>
      </w:r>
    </w:p>
    <w:p>
      <w:pPr>
        <w:pStyle w:val="Compact"/>
        <w:numPr>
          <w:ilvl w:val="0"/>
          <w:numId w:val="1004"/>
        </w:numPr>
      </w:pPr>
      <w:r>
        <w:t xml:space="preserve">survive thumbnail scaling</w:t>
      </w:r>
    </w:p>
    <w:p>
      <w:pPr>
        <w:pStyle w:val="Compact"/>
        <w:numPr>
          <w:ilvl w:val="0"/>
          <w:numId w:val="1004"/>
        </w:numPr>
      </w:pPr>
      <w:r>
        <w:t xml:space="preserve">integrate naturally into compositions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05"/>
        </w:numPr>
      </w:pPr>
      <w:r>
        <w:t xml:space="preserve">generic clipart</w:t>
      </w:r>
    </w:p>
    <w:p>
      <w:pPr>
        <w:pStyle w:val="Compact"/>
        <w:numPr>
          <w:ilvl w:val="0"/>
          <w:numId w:val="1005"/>
        </w:numPr>
      </w:pPr>
      <w:r>
        <w:t xml:space="preserve">over-detail</w:t>
      </w:r>
    </w:p>
    <w:p>
      <w:pPr>
        <w:pStyle w:val="Compact"/>
        <w:numPr>
          <w:ilvl w:val="0"/>
          <w:numId w:val="1005"/>
        </w:numPr>
      </w:pPr>
      <w:r>
        <w:t xml:space="preserve">literal realism</w:t>
      </w:r>
    </w:p>
    <w:p>
      <w:pPr>
        <w:pStyle w:val="Compact"/>
        <w:numPr>
          <w:ilvl w:val="0"/>
          <w:numId w:val="1005"/>
        </w:numPr>
      </w:pPr>
      <w:r>
        <w:t xml:space="preserve">noisy iconography</w:t>
      </w:r>
    </w:p>
    <w:p>
      <w:r>
        <w:pict>
          <v:rect style="width:0;height:1.5pt" o:hralign="center" o:hrstd="t" o:hr="t"/>
        </w:pict>
      </w:r>
    </w:p>
    <w:bookmarkEnd w:id="22"/>
    <w:bookmarkStart w:id="26" w:name="global-symbol-rules"/>
    <w:p>
      <w:pPr>
        <w:pStyle w:val="Heading1"/>
      </w:pPr>
      <w:r>
        <w:t xml:space="preserve">Global Symbol Rules</w:t>
      </w:r>
    </w:p>
    <w:bookmarkStart w:id="23" w:name="stroke-treatment"/>
    <w:p>
      <w:pPr>
        <w:pStyle w:val="Heading2"/>
      </w:pPr>
      <w:r>
        <w:t xml:space="preserve">Stroke Treatment</w:t>
      </w:r>
    </w:p>
    <w:p>
      <w:pPr>
        <w:pStyle w:val="FirstParagraph"/>
      </w:pPr>
      <w:r>
        <w:t xml:space="preserve">All symbols must:</w:t>
      </w:r>
    </w:p>
    <w:p>
      <w:pPr>
        <w:pStyle w:val="Compact"/>
        <w:numPr>
          <w:ilvl w:val="0"/>
          <w:numId w:val="1006"/>
        </w:numPr>
      </w:pPr>
      <w:r>
        <w:t xml:space="preserve">use the same line language as avatars</w:t>
      </w:r>
    </w:p>
    <w:p>
      <w:pPr>
        <w:pStyle w:val="Compact"/>
        <w:numPr>
          <w:ilvl w:val="0"/>
          <w:numId w:val="1006"/>
        </w:numPr>
      </w:pPr>
      <w:r>
        <w:t xml:space="preserve">use medium-weight strokes</w:t>
      </w:r>
    </w:p>
    <w:p>
      <w:pPr>
        <w:pStyle w:val="Compact"/>
        <w:numPr>
          <w:ilvl w:val="0"/>
          <w:numId w:val="1006"/>
        </w:numPr>
      </w:pPr>
      <w:r>
        <w:t xml:space="preserve">remain slightly organic</w:t>
      </w:r>
    </w:p>
    <w:p>
      <w:pPr>
        <w:pStyle w:val="Compact"/>
        <w:numPr>
          <w:ilvl w:val="0"/>
          <w:numId w:val="1006"/>
        </w:numPr>
      </w:pPr>
      <w:r>
        <w:t xml:space="preserve">avoid geometric perfection</w:t>
      </w:r>
    </w:p>
    <w:p>
      <w:pPr>
        <w:pStyle w:val="Compact"/>
        <w:numPr>
          <w:ilvl w:val="0"/>
          <w:numId w:val="1006"/>
        </w:numPr>
      </w:pPr>
      <w:r>
        <w:t xml:space="preserve">avoid heavy fills</w:t>
      </w:r>
    </w:p>
    <w:p>
      <w:r>
        <w:pict>
          <v:rect style="width:0;height:1.5pt" o:hralign="center" o:hrstd="t" o:hr="t"/>
        </w:pict>
      </w:r>
    </w:p>
    <w:bookmarkEnd w:id="23"/>
    <w:bookmarkStart w:id="24" w:name="detail-level"/>
    <w:p>
      <w:pPr>
        <w:pStyle w:val="Heading2"/>
      </w:pPr>
      <w:r>
        <w:t xml:space="preserve">Detail Level</w:t>
      </w:r>
    </w:p>
    <w:p>
      <w:pPr>
        <w:pStyle w:val="FirstParagraph"/>
      </w:pPr>
      <w:r>
        <w:t xml:space="preserve">Symbols must remain readable at:</w:t>
      </w:r>
      <w:r>
        <w:t xml:space="preserve"> </w:t>
      </w:r>
      <w:r>
        <w:t xml:space="preserve">48px scale.</w:t>
      </w:r>
    </w:p>
    <w:p>
      <w:pPr>
        <w:pStyle w:val="BodyText"/>
      </w:pPr>
      <w:r>
        <w:t xml:space="preserve">If readability fails:</w:t>
      </w:r>
    </w:p>
    <w:p>
      <w:pPr>
        <w:pStyle w:val="Compact"/>
        <w:numPr>
          <w:ilvl w:val="0"/>
          <w:numId w:val="1007"/>
        </w:numPr>
      </w:pPr>
      <w:r>
        <w:t xml:space="preserve">simplify geometry</w:t>
      </w:r>
    </w:p>
    <w:p>
      <w:pPr>
        <w:pStyle w:val="Compact"/>
        <w:numPr>
          <w:ilvl w:val="0"/>
          <w:numId w:val="1007"/>
        </w:numPr>
      </w:pPr>
      <w:r>
        <w:t xml:space="preserve">reduce line count</w:t>
      </w:r>
    </w:p>
    <w:p>
      <w:pPr>
        <w:pStyle w:val="Compact"/>
        <w:numPr>
          <w:ilvl w:val="0"/>
          <w:numId w:val="1007"/>
        </w:numPr>
      </w:pPr>
      <w:r>
        <w:t xml:space="preserve">remove micro-details</w:t>
      </w:r>
    </w:p>
    <w:p>
      <w:pPr>
        <w:pStyle w:val="FirstParagraph"/>
      </w:pPr>
      <w:r>
        <w:t xml:space="preserve">Never:</w:t>
      </w:r>
    </w:p>
    <w:p>
      <w:pPr>
        <w:pStyle w:val="Compact"/>
        <w:numPr>
          <w:ilvl w:val="0"/>
          <w:numId w:val="1008"/>
        </w:numPr>
      </w:pPr>
      <w:r>
        <w:t xml:space="preserve">increase complexity to add meaning</w:t>
      </w:r>
    </w:p>
    <w:p>
      <w:r>
        <w:pict>
          <v:rect style="width:0;height:1.5pt" o:hralign="center" o:hrstd="t" o:hr="t"/>
        </w:pict>
      </w:r>
    </w:p>
    <w:bookmarkEnd w:id="24"/>
    <w:bookmarkStart w:id="25" w:name="symbol-placement-behaviour"/>
    <w:p>
      <w:pPr>
        <w:pStyle w:val="Heading2"/>
      </w:pPr>
      <w:r>
        <w:t xml:space="preserve">Symbol Placement Behaviour</w:t>
      </w:r>
    </w:p>
    <w:p>
      <w:pPr>
        <w:pStyle w:val="FirstParagraph"/>
      </w:pPr>
      <w:r>
        <w:t xml:space="preserve">Symbols should:</w:t>
      </w:r>
    </w:p>
    <w:p>
      <w:pPr>
        <w:pStyle w:val="Compact"/>
        <w:numPr>
          <w:ilvl w:val="0"/>
          <w:numId w:val="1009"/>
        </w:numPr>
      </w:pPr>
      <w:r>
        <w:t xml:space="preserve">orbit</w:t>
      </w:r>
    </w:p>
    <w:p>
      <w:pPr>
        <w:pStyle w:val="Compact"/>
        <w:numPr>
          <w:ilvl w:val="0"/>
          <w:numId w:val="1009"/>
        </w:numPr>
      </w:pPr>
      <w:r>
        <w:t xml:space="preserve">support</w:t>
      </w:r>
    </w:p>
    <w:p>
      <w:pPr>
        <w:pStyle w:val="Compact"/>
        <w:numPr>
          <w:ilvl w:val="0"/>
          <w:numId w:val="1009"/>
        </w:numPr>
      </w:pPr>
      <w:r>
        <w:t xml:space="preserve">frame</w:t>
      </w:r>
    </w:p>
    <w:p>
      <w:pPr>
        <w:pStyle w:val="Compact"/>
        <w:numPr>
          <w:ilvl w:val="0"/>
          <w:numId w:val="1009"/>
        </w:numPr>
      </w:pPr>
      <w:r>
        <w:t xml:space="preserve">accompany</w:t>
      </w:r>
    </w:p>
    <w:p>
      <w:pPr>
        <w:pStyle w:val="FirstParagraph"/>
      </w:pPr>
      <w:r>
        <w:t xml:space="preserve">the character.</w:t>
      </w:r>
    </w:p>
    <w:p>
      <w:pPr>
        <w:pStyle w:val="BodyText"/>
      </w:pPr>
      <w:r>
        <w:t xml:space="preserve">Symbols should NOT:</w:t>
      </w:r>
    </w:p>
    <w:p>
      <w:pPr>
        <w:pStyle w:val="Compact"/>
        <w:numPr>
          <w:ilvl w:val="0"/>
          <w:numId w:val="1010"/>
        </w:numPr>
      </w:pPr>
      <w:r>
        <w:t xml:space="preserve">dominate</w:t>
      </w:r>
    </w:p>
    <w:p>
      <w:pPr>
        <w:pStyle w:val="Compact"/>
        <w:numPr>
          <w:ilvl w:val="0"/>
          <w:numId w:val="1010"/>
        </w:numPr>
      </w:pPr>
      <w:r>
        <w:t xml:space="preserve">overlap facial areas</w:t>
      </w:r>
    </w:p>
    <w:p>
      <w:pPr>
        <w:pStyle w:val="Compact"/>
        <w:numPr>
          <w:ilvl w:val="0"/>
          <w:numId w:val="1010"/>
        </w:numPr>
      </w:pPr>
      <w:r>
        <w:t xml:space="preserve">become background clutter</w:t>
      </w:r>
    </w:p>
    <w:p>
      <w:pPr>
        <w:pStyle w:val="Compact"/>
        <w:numPr>
          <w:ilvl w:val="0"/>
          <w:numId w:val="1010"/>
        </w:numPr>
      </w:pPr>
      <w:r>
        <w:t xml:space="preserve">form dense walls of detail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ymbol-categories"/>
    <w:p>
      <w:pPr>
        <w:pStyle w:val="Heading1"/>
      </w:pPr>
      <w:r>
        <w:t xml:space="preserve">Symbol Categories</w:t>
      </w:r>
    </w:p>
    <w:p>
      <w:r>
        <w:pict>
          <v:rect style="width:0;height:1.5pt" o:hralign="center" o:hrstd="t" o:hr="t"/>
        </w:pict>
      </w:r>
    </w:p>
    <w:bookmarkEnd w:id="27"/>
    <w:bookmarkStart w:id="36" w:name="orchestration"/>
    <w:p>
      <w:pPr>
        <w:pStyle w:val="Heading1"/>
      </w:pPr>
      <w:r>
        <w:t xml:space="preserve">1. Orchestration</w:t>
      </w:r>
    </w:p>
    <w:bookmarkStart w:id="28" w:name="meaning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Coordination, synthesis, flow management, routing intelligence.</w:t>
      </w:r>
    </w:p>
    <w:bookmarkEnd w:id="28"/>
    <w:bookmarkStart w:id="29" w:name="canonical-direction"/>
    <w:p>
      <w:pPr>
        <w:pStyle w:val="Heading2"/>
      </w:pPr>
      <w:r>
        <w:t xml:space="preserve">Canonical Direction</w:t>
      </w:r>
    </w:p>
    <w:p>
      <w:pPr>
        <w:pStyle w:val="FirstParagraph"/>
      </w:pPr>
      <w:r>
        <w:t xml:space="preserve">Orbit rings</w:t>
      </w:r>
    </w:p>
    <w:bookmarkEnd w:id="29"/>
    <w:bookmarkStart w:id="30" w:name="supporting-variants"/>
    <w:p>
      <w:pPr>
        <w:pStyle w:val="Heading2"/>
      </w:pPr>
      <w:r>
        <w:t xml:space="preserve">Supporting Variants</w:t>
      </w:r>
    </w:p>
    <w:p>
      <w:pPr>
        <w:pStyle w:val="Compact"/>
        <w:numPr>
          <w:ilvl w:val="0"/>
          <w:numId w:val="1011"/>
        </w:numPr>
      </w:pPr>
      <w:r>
        <w:t xml:space="preserve">circular routing lines</w:t>
      </w:r>
    </w:p>
    <w:p>
      <w:pPr>
        <w:pStyle w:val="Compact"/>
        <w:numPr>
          <w:ilvl w:val="0"/>
          <w:numId w:val="1011"/>
        </w:numPr>
      </w:pPr>
      <w:r>
        <w:t xml:space="preserve">connected orbit paths</w:t>
      </w:r>
    </w:p>
    <w:p>
      <w:pPr>
        <w:pStyle w:val="Compact"/>
        <w:numPr>
          <w:ilvl w:val="0"/>
          <w:numId w:val="1011"/>
        </w:numPr>
      </w:pPr>
      <w:r>
        <w:t xml:space="preserve">concentric motion rings</w:t>
      </w:r>
    </w:p>
    <w:p>
      <w:pPr>
        <w:pStyle w:val="Compact"/>
        <w:numPr>
          <w:ilvl w:val="0"/>
          <w:numId w:val="1011"/>
        </w:numPr>
      </w:pPr>
      <w:r>
        <w:t xml:space="preserve">flowing node systems</w:t>
      </w:r>
    </w:p>
    <w:bookmarkEnd w:id="30"/>
    <w:bookmarkStart w:id="31" w:name="shape-language"/>
    <w:p>
      <w:pPr>
        <w:pStyle w:val="Heading2"/>
      </w:pPr>
      <w:r>
        <w:t xml:space="preserve">Shape Language</w:t>
      </w:r>
    </w:p>
    <w:p>
      <w:pPr>
        <w:pStyle w:val="FirstParagraph"/>
      </w:pPr>
      <w:r>
        <w:t xml:space="preserve">Rounded, balanced, calm.</w:t>
      </w:r>
    </w:p>
    <w:bookmarkEnd w:id="31"/>
    <w:bookmarkStart w:id="32" w:name="emotional-tone"/>
    <w:p>
      <w:pPr>
        <w:pStyle w:val="Heading2"/>
      </w:pPr>
      <w:r>
        <w:t xml:space="preserve">Emotional Tone</w:t>
      </w:r>
    </w:p>
    <w:p>
      <w:pPr>
        <w:pStyle w:val="FirstParagraph"/>
      </w:pPr>
      <w:r>
        <w:t xml:space="preserve">Controlled complexity.</w:t>
      </w:r>
    </w:p>
    <w:bookmarkEnd w:id="32"/>
    <w:bookmarkStart w:id="33" w:name="assigned-specialists"/>
    <w:p>
      <w:pPr>
        <w:pStyle w:val="Heading2"/>
      </w:pPr>
      <w:r>
        <w:t xml:space="preserve">Assigned Specialists</w:t>
      </w:r>
    </w:p>
    <w:p>
      <w:pPr>
        <w:pStyle w:val="Compact"/>
        <w:numPr>
          <w:ilvl w:val="0"/>
          <w:numId w:val="1012"/>
        </w:numPr>
      </w:pPr>
      <w:r>
        <w:t xml:space="preserve">Larry</w:t>
      </w:r>
    </w:p>
    <w:bookmarkEnd w:id="33"/>
    <w:bookmarkStart w:id="34" w:name="accent-colour"/>
    <w:p>
      <w:pPr>
        <w:pStyle w:val="Heading2"/>
      </w:pPr>
      <w:r>
        <w:t xml:space="preserve">Accent Colour</w:t>
      </w:r>
    </w:p>
    <w:p>
      <w:pPr>
        <w:pStyle w:val="FirstParagraph"/>
      </w:pPr>
      <w:r>
        <w:t xml:space="preserve">Muted Gold</w:t>
      </w:r>
    </w:p>
    <w:bookmarkEnd w:id="34"/>
    <w:bookmarkStart w:id="35" w:name="usage-notes"/>
    <w:p>
      <w:pPr>
        <w:pStyle w:val="Heading2"/>
      </w:pPr>
      <w:r>
        <w:t xml:space="preserve">Usage Notes</w:t>
      </w:r>
    </w:p>
    <w:p>
      <w:pPr>
        <w:pStyle w:val="FirstParagraph"/>
      </w:pPr>
      <w:r>
        <w:t xml:space="preserve">Should feel:</w:t>
      </w:r>
    </w:p>
    <w:p>
      <w:pPr>
        <w:pStyle w:val="Compact"/>
        <w:numPr>
          <w:ilvl w:val="0"/>
          <w:numId w:val="1013"/>
        </w:numPr>
      </w:pPr>
      <w:r>
        <w:t xml:space="preserve">calm</w:t>
      </w:r>
    </w:p>
    <w:p>
      <w:pPr>
        <w:pStyle w:val="Compact"/>
        <w:numPr>
          <w:ilvl w:val="0"/>
          <w:numId w:val="1013"/>
        </w:numPr>
      </w:pPr>
      <w:r>
        <w:t xml:space="preserve">centralised</w:t>
      </w:r>
    </w:p>
    <w:p>
      <w:pPr>
        <w:pStyle w:val="Compact"/>
        <w:numPr>
          <w:ilvl w:val="0"/>
          <w:numId w:val="1013"/>
        </w:numPr>
      </w:pPr>
      <w:r>
        <w:t xml:space="preserve">stable</w:t>
      </w:r>
    </w:p>
    <w:p>
      <w:pPr>
        <w:pStyle w:val="Compact"/>
        <w:numPr>
          <w:ilvl w:val="0"/>
          <w:numId w:val="1013"/>
        </w:numPr>
      </w:pPr>
      <w:r>
        <w:t xml:space="preserve">system-aware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4"/>
        </w:numPr>
      </w:pPr>
      <w:r>
        <w:t xml:space="preserve">chaotic spirals</w:t>
      </w:r>
    </w:p>
    <w:p>
      <w:pPr>
        <w:pStyle w:val="Compact"/>
        <w:numPr>
          <w:ilvl w:val="0"/>
          <w:numId w:val="1014"/>
        </w:numPr>
      </w:pPr>
      <w:r>
        <w:t xml:space="preserve">aggressive motion</w:t>
      </w:r>
    </w:p>
    <w:p>
      <w:pPr>
        <w:pStyle w:val="Compact"/>
        <w:numPr>
          <w:ilvl w:val="0"/>
          <w:numId w:val="1014"/>
        </w:numPr>
      </w:pPr>
      <w:r>
        <w:t xml:space="preserve">energy-burst aesthetics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routing"/>
    <w:p>
      <w:pPr>
        <w:pStyle w:val="Heading1"/>
      </w:pPr>
      <w:r>
        <w:t xml:space="preserve">2. Routing</w:t>
      </w:r>
    </w:p>
    <w:bookmarkStart w:id="37" w:name="meaning-1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Connection pathways, delegation, directional intelligence.</w:t>
      </w:r>
    </w:p>
    <w:bookmarkEnd w:id="37"/>
    <w:bookmarkStart w:id="38" w:name="canonical-direction-1"/>
    <w:p>
      <w:pPr>
        <w:pStyle w:val="Heading2"/>
      </w:pPr>
      <w:r>
        <w:t xml:space="preserve">Canonical Direction</w:t>
      </w:r>
    </w:p>
    <w:p>
      <w:pPr>
        <w:pStyle w:val="FirstParagraph"/>
      </w:pPr>
      <w:r>
        <w:t xml:space="preserve">Connected nodes</w:t>
      </w:r>
    </w:p>
    <w:bookmarkEnd w:id="38"/>
    <w:bookmarkStart w:id="39" w:name="supporting-variants-1"/>
    <w:p>
      <w:pPr>
        <w:pStyle w:val="Heading2"/>
      </w:pPr>
      <w:r>
        <w:t xml:space="preserve">Supporting Variants</w:t>
      </w:r>
    </w:p>
    <w:p>
      <w:pPr>
        <w:pStyle w:val="Compact"/>
        <w:numPr>
          <w:ilvl w:val="0"/>
          <w:numId w:val="1015"/>
        </w:numPr>
      </w:pPr>
      <w:r>
        <w:t xml:space="preserve">directional flow lines</w:t>
      </w:r>
    </w:p>
    <w:p>
      <w:pPr>
        <w:pStyle w:val="Compact"/>
        <w:numPr>
          <w:ilvl w:val="0"/>
          <w:numId w:val="1015"/>
        </w:numPr>
      </w:pPr>
      <w:r>
        <w:t xml:space="preserve">branching pathways</w:t>
      </w:r>
    </w:p>
    <w:p>
      <w:pPr>
        <w:pStyle w:val="Compact"/>
        <w:numPr>
          <w:ilvl w:val="0"/>
          <w:numId w:val="1015"/>
        </w:numPr>
      </w:pPr>
      <w:r>
        <w:t xml:space="preserve">linked circles</w:t>
      </w:r>
    </w:p>
    <w:p>
      <w:pPr>
        <w:pStyle w:val="Compact"/>
        <w:numPr>
          <w:ilvl w:val="0"/>
          <w:numId w:val="1015"/>
        </w:numPr>
      </w:pPr>
      <w:r>
        <w:t xml:space="preserve">signal paths</w:t>
      </w:r>
    </w:p>
    <w:bookmarkEnd w:id="39"/>
    <w:bookmarkStart w:id="40" w:name="shape-language-1"/>
    <w:p>
      <w:pPr>
        <w:pStyle w:val="Heading2"/>
      </w:pPr>
      <w:r>
        <w:t xml:space="preserve">Shape Language</w:t>
      </w:r>
    </w:p>
    <w:p>
      <w:pPr>
        <w:pStyle w:val="FirstParagraph"/>
      </w:pPr>
      <w:r>
        <w:t xml:space="preserve">Structured flow.</w:t>
      </w:r>
    </w:p>
    <w:bookmarkEnd w:id="40"/>
    <w:bookmarkStart w:id="41" w:name="emotional-tone-1"/>
    <w:p>
      <w:pPr>
        <w:pStyle w:val="Heading2"/>
      </w:pPr>
      <w:r>
        <w:t xml:space="preserve">Emotional Tone</w:t>
      </w:r>
    </w:p>
    <w:p>
      <w:pPr>
        <w:pStyle w:val="FirstParagraph"/>
      </w:pPr>
      <w:r>
        <w:t xml:space="preserve">Guided movement.</w:t>
      </w:r>
    </w:p>
    <w:bookmarkEnd w:id="41"/>
    <w:bookmarkStart w:id="42" w:name="usage-notes-1"/>
    <w:p>
      <w:pPr>
        <w:pStyle w:val="Heading2"/>
      </w:pPr>
      <w:r>
        <w:t xml:space="preserve">Usage Notes</w:t>
      </w:r>
    </w:p>
    <w:p>
      <w:pPr>
        <w:pStyle w:val="FirstParagraph"/>
      </w:pPr>
      <w:r>
        <w:t xml:space="preserve">Should imply:</w:t>
      </w:r>
    </w:p>
    <w:p>
      <w:pPr>
        <w:pStyle w:val="Compact"/>
        <w:numPr>
          <w:ilvl w:val="0"/>
          <w:numId w:val="1016"/>
        </w:numPr>
      </w:pPr>
      <w:r>
        <w:t xml:space="preserve">transfer</w:t>
      </w:r>
    </w:p>
    <w:p>
      <w:pPr>
        <w:pStyle w:val="Compact"/>
        <w:numPr>
          <w:ilvl w:val="0"/>
          <w:numId w:val="1016"/>
        </w:numPr>
      </w:pPr>
      <w:r>
        <w:t xml:space="preserve">delegation</w:t>
      </w:r>
    </w:p>
    <w:p>
      <w:pPr>
        <w:pStyle w:val="Compact"/>
        <w:numPr>
          <w:ilvl w:val="0"/>
          <w:numId w:val="1016"/>
        </w:numPr>
      </w:pPr>
      <w:r>
        <w:t xml:space="preserve">coordination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7"/>
        </w:numPr>
      </w:pPr>
      <w:r>
        <w:t xml:space="preserve">network overload</w:t>
      </w:r>
    </w:p>
    <w:p>
      <w:pPr>
        <w:pStyle w:val="Compact"/>
        <w:numPr>
          <w:ilvl w:val="0"/>
          <w:numId w:val="1017"/>
        </w:numPr>
      </w:pPr>
      <w:r>
        <w:t xml:space="preserve">dense technical diagrams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2" w:name="research"/>
    <w:p>
      <w:pPr>
        <w:pStyle w:val="Heading1"/>
      </w:pPr>
      <w:r>
        <w:t xml:space="preserve">3. Research</w:t>
      </w:r>
    </w:p>
    <w:bookmarkStart w:id="44" w:name="meaning-2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Investigation, evidence gathering, correlation, verification.</w:t>
      </w:r>
    </w:p>
    <w:bookmarkEnd w:id="44"/>
    <w:bookmarkStart w:id="45" w:name="canonical-direction-2"/>
    <w:p>
      <w:pPr>
        <w:pStyle w:val="Heading2"/>
      </w:pPr>
      <w:r>
        <w:t xml:space="preserve">Canonical Direction</w:t>
      </w:r>
    </w:p>
    <w:p>
      <w:pPr>
        <w:pStyle w:val="FirstParagraph"/>
      </w:pPr>
      <w:r>
        <w:t xml:space="preserve">Notes + magnifier</w:t>
      </w:r>
    </w:p>
    <w:bookmarkEnd w:id="45"/>
    <w:bookmarkStart w:id="46" w:name="supporting-variants-2"/>
    <w:p>
      <w:pPr>
        <w:pStyle w:val="Heading2"/>
      </w:pPr>
      <w:r>
        <w:t xml:space="preserve">Supporting Variants</w:t>
      </w:r>
    </w:p>
    <w:p>
      <w:pPr>
        <w:pStyle w:val="Compact"/>
        <w:numPr>
          <w:ilvl w:val="0"/>
          <w:numId w:val="1018"/>
        </w:numPr>
      </w:pPr>
      <w:r>
        <w:t xml:space="preserve">pinned notes</w:t>
      </w:r>
    </w:p>
    <w:p>
      <w:pPr>
        <w:pStyle w:val="Compact"/>
        <w:numPr>
          <w:ilvl w:val="0"/>
          <w:numId w:val="1018"/>
        </w:numPr>
      </w:pPr>
      <w:r>
        <w:t xml:space="preserve">scattered papers</w:t>
      </w:r>
    </w:p>
    <w:p>
      <w:pPr>
        <w:pStyle w:val="Compact"/>
        <w:numPr>
          <w:ilvl w:val="0"/>
          <w:numId w:val="1018"/>
        </w:numPr>
      </w:pPr>
      <w:r>
        <w:t xml:space="preserve">annotated fragments</w:t>
      </w:r>
    </w:p>
    <w:p>
      <w:pPr>
        <w:pStyle w:val="Compact"/>
        <w:numPr>
          <w:ilvl w:val="0"/>
          <w:numId w:val="1018"/>
        </w:numPr>
      </w:pPr>
      <w:r>
        <w:t xml:space="preserve">connection arrows</w:t>
      </w:r>
    </w:p>
    <w:p>
      <w:pPr>
        <w:pStyle w:val="Compact"/>
        <w:numPr>
          <w:ilvl w:val="0"/>
          <w:numId w:val="1018"/>
        </w:numPr>
      </w:pPr>
      <w:r>
        <w:t xml:space="preserve">layered observations</w:t>
      </w:r>
    </w:p>
    <w:bookmarkEnd w:id="46"/>
    <w:bookmarkStart w:id="47" w:name="shape-language-2"/>
    <w:p>
      <w:pPr>
        <w:pStyle w:val="Heading2"/>
      </w:pPr>
      <w:r>
        <w:t xml:space="preserve">Shape Language</w:t>
      </w:r>
    </w:p>
    <w:p>
      <w:pPr>
        <w:pStyle w:val="FirstParagraph"/>
      </w:pPr>
      <w:r>
        <w:t xml:space="preserve">Fragmented but intentional.</w:t>
      </w:r>
    </w:p>
    <w:bookmarkEnd w:id="47"/>
    <w:bookmarkStart w:id="48" w:name="emotional-tone-2"/>
    <w:p>
      <w:pPr>
        <w:pStyle w:val="Heading2"/>
      </w:pPr>
      <w:r>
        <w:t xml:space="preserve">Emotional Tone</w:t>
      </w:r>
    </w:p>
    <w:p>
      <w:pPr>
        <w:pStyle w:val="FirstParagraph"/>
      </w:pPr>
      <w:r>
        <w:t xml:space="preserve">Curious focus.</w:t>
      </w:r>
    </w:p>
    <w:bookmarkEnd w:id="48"/>
    <w:bookmarkStart w:id="49" w:name="assigned-specialists-1"/>
    <w:p>
      <w:pPr>
        <w:pStyle w:val="Heading2"/>
      </w:pPr>
      <w:r>
        <w:t xml:space="preserve">Assigned Specialists</w:t>
      </w:r>
    </w:p>
    <w:p>
      <w:pPr>
        <w:pStyle w:val="Compact"/>
        <w:numPr>
          <w:ilvl w:val="0"/>
          <w:numId w:val="1019"/>
        </w:numPr>
      </w:pPr>
      <w:r>
        <w:t xml:space="preserve">Pax</w:t>
      </w:r>
    </w:p>
    <w:bookmarkEnd w:id="49"/>
    <w:bookmarkStart w:id="50" w:name="accent-colour-1"/>
    <w:p>
      <w:pPr>
        <w:pStyle w:val="Heading2"/>
      </w:pPr>
      <w:r>
        <w:t xml:space="preserve">Accent Colour</w:t>
      </w:r>
    </w:p>
    <w:p>
      <w:pPr>
        <w:pStyle w:val="FirstParagraph"/>
      </w:pPr>
      <w:r>
        <w:t xml:space="preserve">Dusty Blue</w:t>
      </w:r>
    </w:p>
    <w:bookmarkEnd w:id="50"/>
    <w:bookmarkStart w:id="51" w:name="usage-notes-2"/>
    <w:p>
      <w:pPr>
        <w:pStyle w:val="Heading2"/>
      </w:pPr>
      <w:r>
        <w:t xml:space="preserve">Usage Notes</w:t>
      </w:r>
    </w:p>
    <w:p>
      <w:pPr>
        <w:pStyle w:val="FirstParagraph"/>
      </w:pPr>
      <w:r>
        <w:t xml:space="preserve">Should feel:</w:t>
      </w:r>
    </w:p>
    <w:p>
      <w:pPr>
        <w:pStyle w:val="Compact"/>
        <w:numPr>
          <w:ilvl w:val="0"/>
          <w:numId w:val="1020"/>
        </w:numPr>
      </w:pPr>
      <w:r>
        <w:t xml:space="preserve">inquisitive</w:t>
      </w:r>
    </w:p>
    <w:p>
      <w:pPr>
        <w:pStyle w:val="Compact"/>
        <w:numPr>
          <w:ilvl w:val="0"/>
          <w:numId w:val="1020"/>
        </w:numPr>
      </w:pPr>
      <w:r>
        <w:t xml:space="preserve">observant</w:t>
      </w:r>
    </w:p>
    <w:p>
      <w:pPr>
        <w:pStyle w:val="Compact"/>
        <w:numPr>
          <w:ilvl w:val="0"/>
          <w:numId w:val="1020"/>
        </w:numPr>
      </w:pPr>
      <w:r>
        <w:t xml:space="preserve">analytical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1"/>
        </w:numPr>
      </w:pPr>
      <w:r>
        <w:t xml:space="preserve">detective clichés</w:t>
      </w:r>
    </w:p>
    <w:p>
      <w:pPr>
        <w:pStyle w:val="Compact"/>
        <w:numPr>
          <w:ilvl w:val="0"/>
          <w:numId w:val="1021"/>
        </w:numPr>
      </w:pPr>
      <w:r>
        <w:t xml:space="preserve">conspiracy-board chaos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1" w:name="validation"/>
    <w:p>
      <w:pPr>
        <w:pStyle w:val="Heading1"/>
      </w:pPr>
      <w:r>
        <w:t xml:space="preserve">4. Validation</w:t>
      </w:r>
    </w:p>
    <w:bookmarkStart w:id="53" w:name="meaning-3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Risk detection, logic testing, warning awareness.</w:t>
      </w:r>
    </w:p>
    <w:bookmarkEnd w:id="53"/>
    <w:bookmarkStart w:id="54" w:name="canonical-direction-3"/>
    <w:p>
      <w:pPr>
        <w:pStyle w:val="Heading2"/>
      </w:pPr>
      <w:r>
        <w:t xml:space="preserve">Canonical Direction</w:t>
      </w:r>
    </w:p>
    <w:p>
      <w:pPr>
        <w:pStyle w:val="FirstParagraph"/>
      </w:pPr>
      <w:r>
        <w:t xml:space="preserve">Warning triangles</w:t>
      </w:r>
    </w:p>
    <w:bookmarkEnd w:id="54"/>
    <w:bookmarkStart w:id="55" w:name="supporting-variants-3"/>
    <w:p>
      <w:pPr>
        <w:pStyle w:val="Heading2"/>
      </w:pPr>
      <w:r>
        <w:t xml:space="preserve">Supporting Variants</w:t>
      </w:r>
    </w:p>
    <w:p>
      <w:pPr>
        <w:pStyle w:val="Compact"/>
        <w:numPr>
          <w:ilvl w:val="0"/>
          <w:numId w:val="1022"/>
        </w:numPr>
      </w:pPr>
      <w:r>
        <w:t xml:space="preserve">alert markers</w:t>
      </w:r>
    </w:p>
    <w:p>
      <w:pPr>
        <w:pStyle w:val="Compact"/>
        <w:numPr>
          <w:ilvl w:val="0"/>
          <w:numId w:val="1022"/>
        </w:numPr>
      </w:pPr>
      <w:r>
        <w:t xml:space="preserve">flagged nodes</w:t>
      </w:r>
    </w:p>
    <w:p>
      <w:pPr>
        <w:pStyle w:val="Compact"/>
        <w:numPr>
          <w:ilvl w:val="0"/>
          <w:numId w:val="1022"/>
        </w:numPr>
      </w:pPr>
      <w:r>
        <w:t xml:space="preserve">highlighted inconsistencies</w:t>
      </w:r>
    </w:p>
    <w:p>
      <w:pPr>
        <w:pStyle w:val="Compact"/>
        <w:numPr>
          <w:ilvl w:val="0"/>
          <w:numId w:val="1022"/>
        </w:numPr>
      </w:pPr>
      <w:r>
        <w:t xml:space="preserve">audit markers</w:t>
      </w:r>
    </w:p>
    <w:bookmarkEnd w:id="55"/>
    <w:bookmarkStart w:id="56" w:name="shape-language-3"/>
    <w:p>
      <w:pPr>
        <w:pStyle w:val="Heading2"/>
      </w:pPr>
      <w:r>
        <w:t xml:space="preserve">Shape Language</w:t>
      </w:r>
    </w:p>
    <w:p>
      <w:pPr>
        <w:pStyle w:val="FirstParagraph"/>
      </w:pPr>
      <w:r>
        <w:t xml:space="preserve">Sharp geometry.</w:t>
      </w:r>
    </w:p>
    <w:bookmarkEnd w:id="56"/>
    <w:bookmarkStart w:id="57" w:name="emotional-tone-3"/>
    <w:p>
      <w:pPr>
        <w:pStyle w:val="Heading2"/>
      </w:pPr>
      <w:r>
        <w:t xml:space="preserve">Emotional Tone</w:t>
      </w:r>
    </w:p>
    <w:p>
      <w:pPr>
        <w:pStyle w:val="FirstParagraph"/>
      </w:pPr>
      <w:r>
        <w:t xml:space="preserve">Rigorous scrutiny.</w:t>
      </w:r>
    </w:p>
    <w:bookmarkEnd w:id="57"/>
    <w:bookmarkStart w:id="58" w:name="assigned-specialists-2"/>
    <w:p>
      <w:pPr>
        <w:pStyle w:val="Heading2"/>
      </w:pPr>
      <w:r>
        <w:t xml:space="preserve">Assigned Specialists</w:t>
      </w:r>
    </w:p>
    <w:p>
      <w:pPr>
        <w:pStyle w:val="Compact"/>
        <w:numPr>
          <w:ilvl w:val="0"/>
          <w:numId w:val="1023"/>
        </w:numPr>
      </w:pPr>
      <w:r>
        <w:t xml:space="preserve">Rex</w:t>
      </w:r>
    </w:p>
    <w:bookmarkEnd w:id="58"/>
    <w:bookmarkStart w:id="59" w:name="accent-colour-2"/>
    <w:p>
      <w:pPr>
        <w:pStyle w:val="Heading2"/>
      </w:pPr>
      <w:r>
        <w:t xml:space="preserve">Accent Colour</w:t>
      </w:r>
    </w:p>
    <w:p>
      <w:pPr>
        <w:pStyle w:val="FirstParagraph"/>
      </w:pPr>
      <w:r>
        <w:t xml:space="preserve">Crimson</w:t>
      </w:r>
    </w:p>
    <w:bookmarkEnd w:id="59"/>
    <w:bookmarkStart w:id="60" w:name="usage-notes-3"/>
    <w:p>
      <w:pPr>
        <w:pStyle w:val="Heading2"/>
      </w:pPr>
      <w:r>
        <w:t xml:space="preserve">Usage Notes</w:t>
      </w:r>
    </w:p>
    <w:p>
      <w:pPr>
        <w:pStyle w:val="FirstParagraph"/>
      </w:pPr>
      <w:r>
        <w:t xml:space="preserve">Should feel:</w:t>
      </w:r>
    </w:p>
    <w:p>
      <w:pPr>
        <w:pStyle w:val="Compact"/>
        <w:numPr>
          <w:ilvl w:val="0"/>
          <w:numId w:val="1024"/>
        </w:numPr>
      </w:pPr>
      <w:r>
        <w:t xml:space="preserve">precise</w:t>
      </w:r>
    </w:p>
    <w:p>
      <w:pPr>
        <w:pStyle w:val="Compact"/>
        <w:numPr>
          <w:ilvl w:val="0"/>
          <w:numId w:val="1024"/>
        </w:numPr>
      </w:pPr>
      <w:r>
        <w:t xml:space="preserve">calm</w:t>
      </w:r>
    </w:p>
    <w:p>
      <w:pPr>
        <w:pStyle w:val="Compact"/>
        <w:numPr>
          <w:ilvl w:val="0"/>
          <w:numId w:val="1024"/>
        </w:numPr>
      </w:pPr>
      <w:r>
        <w:t xml:space="preserve">disciplined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5"/>
        </w:numPr>
      </w:pPr>
      <w:r>
        <w:t xml:space="preserve">alarm panic energy</w:t>
      </w:r>
    </w:p>
    <w:p>
      <w:pPr>
        <w:pStyle w:val="Compact"/>
        <w:numPr>
          <w:ilvl w:val="0"/>
          <w:numId w:val="1025"/>
        </w:numPr>
      </w:pPr>
      <w:r>
        <w:t xml:space="preserve">aggressive hazard aesthetics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criticism"/>
    <w:p>
      <w:pPr>
        <w:pStyle w:val="Heading1"/>
      </w:pPr>
      <w:r>
        <w:t xml:space="preserve">5. Criticism</w:t>
      </w:r>
    </w:p>
    <w:bookmarkStart w:id="62" w:name="meaning-4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Challenge, pressure-testing, adversarial review.</w:t>
      </w:r>
    </w:p>
    <w:bookmarkEnd w:id="62"/>
    <w:bookmarkStart w:id="63" w:name="canonical-direction-4"/>
    <w:p>
      <w:pPr>
        <w:pStyle w:val="Heading2"/>
      </w:pPr>
      <w:r>
        <w:t xml:space="preserve">Canonical Direction</w:t>
      </w:r>
    </w:p>
    <w:p>
      <w:pPr>
        <w:pStyle w:val="FirstParagraph"/>
      </w:pPr>
      <w:r>
        <w:t xml:space="preserve">X marks</w:t>
      </w:r>
    </w:p>
    <w:bookmarkEnd w:id="63"/>
    <w:bookmarkStart w:id="64" w:name="supporting-variants-4"/>
    <w:p>
      <w:pPr>
        <w:pStyle w:val="Heading2"/>
      </w:pPr>
      <w:r>
        <w:t xml:space="preserve">Supporting Variants</w:t>
      </w:r>
    </w:p>
    <w:p>
      <w:pPr>
        <w:pStyle w:val="Compact"/>
        <w:numPr>
          <w:ilvl w:val="0"/>
          <w:numId w:val="1026"/>
        </w:numPr>
      </w:pPr>
      <w:r>
        <w:t xml:space="preserve">crossed paths</w:t>
      </w:r>
    </w:p>
    <w:p>
      <w:pPr>
        <w:pStyle w:val="Compact"/>
        <w:numPr>
          <w:ilvl w:val="0"/>
          <w:numId w:val="1026"/>
        </w:numPr>
      </w:pPr>
      <w:r>
        <w:t xml:space="preserve">contradiction markers</w:t>
      </w:r>
    </w:p>
    <w:p>
      <w:pPr>
        <w:pStyle w:val="Compact"/>
        <w:numPr>
          <w:ilvl w:val="0"/>
          <w:numId w:val="1026"/>
        </w:numPr>
      </w:pPr>
      <w:r>
        <w:t xml:space="preserve">disruption symbols</w:t>
      </w:r>
    </w:p>
    <w:p>
      <w:pPr>
        <w:pStyle w:val="Compact"/>
        <w:numPr>
          <w:ilvl w:val="0"/>
          <w:numId w:val="1026"/>
        </w:numPr>
      </w:pPr>
      <w:r>
        <w:t xml:space="preserve">negation overlays</w:t>
      </w:r>
    </w:p>
    <w:bookmarkEnd w:id="64"/>
    <w:bookmarkStart w:id="65" w:name="shape-language-4"/>
    <w:p>
      <w:pPr>
        <w:pStyle w:val="Heading2"/>
      </w:pPr>
      <w:r>
        <w:t xml:space="preserve">Shape Language</w:t>
      </w:r>
    </w:p>
    <w:p>
      <w:pPr>
        <w:pStyle w:val="FirstParagraph"/>
      </w:pPr>
      <w:r>
        <w:t xml:space="preserve">Asymmetrical interruption.</w:t>
      </w:r>
    </w:p>
    <w:bookmarkEnd w:id="65"/>
    <w:bookmarkStart w:id="66" w:name="emotional-tone-4"/>
    <w:p>
      <w:pPr>
        <w:pStyle w:val="Heading2"/>
      </w:pPr>
      <w:r>
        <w:t xml:space="preserve">Emotional Tone</w:t>
      </w:r>
    </w:p>
    <w:p>
      <w:pPr>
        <w:pStyle w:val="FirstParagraph"/>
      </w:pPr>
      <w:r>
        <w:t xml:space="preserve">Sceptical intelligence.</w:t>
      </w:r>
    </w:p>
    <w:bookmarkEnd w:id="66"/>
    <w:bookmarkStart w:id="67" w:name="assigned-specialists-3"/>
    <w:p>
      <w:pPr>
        <w:pStyle w:val="Heading2"/>
      </w:pPr>
      <w:r>
        <w:t xml:space="preserve">Assigned Specialists</w:t>
      </w:r>
    </w:p>
    <w:p>
      <w:pPr>
        <w:pStyle w:val="Compact"/>
        <w:numPr>
          <w:ilvl w:val="0"/>
          <w:numId w:val="1027"/>
        </w:numPr>
      </w:pPr>
      <w:r>
        <w:t xml:space="preserve">Vera</w:t>
      </w:r>
    </w:p>
    <w:bookmarkEnd w:id="67"/>
    <w:bookmarkStart w:id="68" w:name="accent-colour-3"/>
    <w:p>
      <w:pPr>
        <w:pStyle w:val="Heading2"/>
      </w:pPr>
      <w:r>
        <w:t xml:space="preserve">Accent Colour</w:t>
      </w:r>
    </w:p>
    <w:p>
      <w:pPr>
        <w:pStyle w:val="FirstParagraph"/>
      </w:pPr>
      <w:r>
        <w:t xml:space="preserve">Acid Green</w:t>
      </w:r>
    </w:p>
    <w:bookmarkEnd w:id="68"/>
    <w:bookmarkStart w:id="69" w:name="usage-notes-4"/>
    <w:p>
      <w:pPr>
        <w:pStyle w:val="Heading2"/>
      </w:pPr>
      <w:r>
        <w:t xml:space="preserve">Usage Notes</w:t>
      </w:r>
    </w:p>
    <w:p>
      <w:pPr>
        <w:pStyle w:val="FirstParagraph"/>
      </w:pPr>
      <w:r>
        <w:t xml:space="preserve">Should feel:</w:t>
      </w:r>
    </w:p>
    <w:p>
      <w:pPr>
        <w:pStyle w:val="Compact"/>
        <w:numPr>
          <w:ilvl w:val="0"/>
          <w:numId w:val="1028"/>
        </w:numPr>
      </w:pPr>
      <w:r>
        <w:t xml:space="preserve">probing</w:t>
      </w:r>
    </w:p>
    <w:p>
      <w:pPr>
        <w:pStyle w:val="Compact"/>
        <w:numPr>
          <w:ilvl w:val="0"/>
          <w:numId w:val="1028"/>
        </w:numPr>
      </w:pPr>
      <w:r>
        <w:t xml:space="preserve">questioning</w:t>
      </w:r>
    </w:p>
    <w:p>
      <w:pPr>
        <w:pStyle w:val="Compact"/>
        <w:numPr>
          <w:ilvl w:val="0"/>
          <w:numId w:val="1028"/>
        </w:numPr>
      </w:pPr>
      <w:r>
        <w:t xml:space="preserve">intellectually disruptive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9"/>
        </w:numPr>
      </w:pPr>
      <w:r>
        <w:t xml:space="preserve">villain energy</w:t>
      </w:r>
    </w:p>
    <w:p>
      <w:pPr>
        <w:pStyle w:val="Compact"/>
        <w:numPr>
          <w:ilvl w:val="0"/>
          <w:numId w:val="1029"/>
        </w:numPr>
      </w:pPr>
      <w:r>
        <w:t xml:space="preserve">chaotic sabotage aesthetics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9" w:name="databases"/>
    <w:p>
      <w:pPr>
        <w:pStyle w:val="Heading1"/>
      </w:pPr>
      <w:r>
        <w:t xml:space="preserve">6. Databases</w:t>
      </w:r>
    </w:p>
    <w:bookmarkStart w:id="71" w:name="meaning-5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Structure, storage, schema integrity, information architecture.</w:t>
      </w:r>
    </w:p>
    <w:bookmarkEnd w:id="71"/>
    <w:bookmarkStart w:id="72" w:name="canonical-direction-5"/>
    <w:p>
      <w:pPr>
        <w:pStyle w:val="Heading2"/>
      </w:pPr>
      <w:r>
        <w:t xml:space="preserve">Canonical Direction</w:t>
      </w:r>
    </w:p>
    <w:p>
      <w:pPr>
        <w:pStyle w:val="FirstParagraph"/>
      </w:pPr>
      <w:r>
        <w:t xml:space="preserve">Grids</w:t>
      </w:r>
    </w:p>
    <w:bookmarkEnd w:id="72"/>
    <w:bookmarkStart w:id="73" w:name="supporting-variants-5"/>
    <w:p>
      <w:pPr>
        <w:pStyle w:val="Heading2"/>
      </w:pPr>
      <w:r>
        <w:t xml:space="preserve">Supporting Variants</w:t>
      </w:r>
    </w:p>
    <w:p>
      <w:pPr>
        <w:pStyle w:val="Compact"/>
        <w:numPr>
          <w:ilvl w:val="0"/>
          <w:numId w:val="1030"/>
        </w:numPr>
      </w:pPr>
      <w:r>
        <w:t xml:space="preserve">layered matrices</w:t>
      </w:r>
    </w:p>
    <w:p>
      <w:pPr>
        <w:pStyle w:val="Compact"/>
        <w:numPr>
          <w:ilvl w:val="0"/>
          <w:numId w:val="1030"/>
        </w:numPr>
      </w:pPr>
      <w:r>
        <w:t xml:space="preserve">schema blocks</w:t>
      </w:r>
    </w:p>
    <w:p>
      <w:pPr>
        <w:pStyle w:val="Compact"/>
        <w:numPr>
          <w:ilvl w:val="0"/>
          <w:numId w:val="1030"/>
        </w:numPr>
      </w:pPr>
      <w:r>
        <w:t xml:space="preserve">structured columns</w:t>
      </w:r>
    </w:p>
    <w:p>
      <w:pPr>
        <w:pStyle w:val="Compact"/>
        <w:numPr>
          <w:ilvl w:val="0"/>
          <w:numId w:val="1030"/>
        </w:numPr>
      </w:pPr>
      <w:r>
        <w:t xml:space="preserve">modular cells</w:t>
      </w:r>
    </w:p>
    <w:bookmarkEnd w:id="73"/>
    <w:bookmarkStart w:id="74" w:name="shape-language-5"/>
    <w:p>
      <w:pPr>
        <w:pStyle w:val="Heading2"/>
      </w:pPr>
      <w:r>
        <w:t xml:space="preserve">Shape Language</w:t>
      </w:r>
    </w:p>
    <w:p>
      <w:pPr>
        <w:pStyle w:val="FirstParagraph"/>
      </w:pPr>
      <w:r>
        <w:t xml:space="preserve">Vertical and ordered.</w:t>
      </w:r>
    </w:p>
    <w:bookmarkEnd w:id="74"/>
    <w:bookmarkStart w:id="75" w:name="emotional-tone-5"/>
    <w:p>
      <w:pPr>
        <w:pStyle w:val="Heading2"/>
      </w:pPr>
      <w:r>
        <w:t xml:space="preserve">Emotional Tone</w:t>
      </w:r>
    </w:p>
    <w:p>
      <w:pPr>
        <w:pStyle w:val="FirstParagraph"/>
      </w:pPr>
      <w:r>
        <w:t xml:space="preserve">Stable precision.</w:t>
      </w:r>
    </w:p>
    <w:bookmarkEnd w:id="75"/>
    <w:bookmarkStart w:id="76" w:name="assigned-specialists-4"/>
    <w:p>
      <w:pPr>
        <w:pStyle w:val="Heading2"/>
      </w:pPr>
      <w:r>
        <w:t xml:space="preserve">Assigned Specialists</w:t>
      </w:r>
    </w:p>
    <w:p>
      <w:pPr>
        <w:pStyle w:val="Compact"/>
        <w:numPr>
          <w:ilvl w:val="0"/>
          <w:numId w:val="1031"/>
        </w:numPr>
      </w:pPr>
      <w:r>
        <w:t xml:space="preserve">Silas</w:t>
      </w:r>
    </w:p>
    <w:bookmarkEnd w:id="76"/>
    <w:bookmarkStart w:id="77" w:name="accent-colour-4"/>
    <w:p>
      <w:pPr>
        <w:pStyle w:val="Heading2"/>
      </w:pPr>
      <w:r>
        <w:t xml:space="preserve">Accent Colour</w:t>
      </w:r>
    </w:p>
    <w:p>
      <w:pPr>
        <w:pStyle w:val="FirstParagraph"/>
      </w:pPr>
      <w:r>
        <w:t xml:space="preserve">Teal</w:t>
      </w:r>
    </w:p>
    <w:bookmarkEnd w:id="77"/>
    <w:bookmarkStart w:id="78" w:name="usage-notes-5"/>
    <w:p>
      <w:pPr>
        <w:pStyle w:val="Heading2"/>
      </w:pPr>
      <w:r>
        <w:t xml:space="preserve">Usage Notes</w:t>
      </w:r>
    </w:p>
    <w:p>
      <w:pPr>
        <w:pStyle w:val="FirstParagraph"/>
      </w:pPr>
      <w:r>
        <w:t xml:space="preserve">Should feel:</w:t>
      </w:r>
    </w:p>
    <w:p>
      <w:pPr>
        <w:pStyle w:val="Compact"/>
        <w:numPr>
          <w:ilvl w:val="0"/>
          <w:numId w:val="1032"/>
        </w:numPr>
      </w:pPr>
      <w:r>
        <w:t xml:space="preserve">architectural</w:t>
      </w:r>
    </w:p>
    <w:p>
      <w:pPr>
        <w:pStyle w:val="Compact"/>
        <w:numPr>
          <w:ilvl w:val="0"/>
          <w:numId w:val="1032"/>
        </w:numPr>
      </w:pPr>
      <w:r>
        <w:t xml:space="preserve">organised</w:t>
      </w:r>
    </w:p>
    <w:p>
      <w:pPr>
        <w:pStyle w:val="Compact"/>
        <w:numPr>
          <w:ilvl w:val="0"/>
          <w:numId w:val="1032"/>
        </w:numPr>
      </w:pPr>
      <w:r>
        <w:t xml:space="preserve">durable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33"/>
        </w:numPr>
      </w:pPr>
      <w:r>
        <w:t xml:space="preserve">corporate dashboard aesthetics</w:t>
      </w:r>
    </w:p>
    <w:p>
      <w:pPr>
        <w:pStyle w:val="Compact"/>
        <w:numPr>
          <w:ilvl w:val="0"/>
          <w:numId w:val="1033"/>
        </w:numPr>
      </w:pPr>
      <w:r>
        <w:t xml:space="preserve">literal SQL/database icons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8" w:name="writing"/>
    <w:p>
      <w:pPr>
        <w:pStyle w:val="Heading1"/>
      </w:pPr>
      <w:r>
        <w:t xml:space="preserve">7. Writing</w:t>
      </w:r>
    </w:p>
    <w:bookmarkStart w:id="80" w:name="meaning-6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Journaling, narrative flow, documentation, synthesis.</w:t>
      </w:r>
    </w:p>
    <w:bookmarkEnd w:id="80"/>
    <w:bookmarkStart w:id="81" w:name="canonical-direction-6"/>
    <w:p>
      <w:pPr>
        <w:pStyle w:val="Heading2"/>
      </w:pPr>
      <w:r>
        <w:t xml:space="preserve">Canonical Direction</w:t>
      </w:r>
    </w:p>
    <w:p>
      <w:pPr>
        <w:pStyle w:val="FirstParagraph"/>
      </w:pPr>
      <w:r>
        <w:t xml:space="preserve">Flowing lines</w:t>
      </w:r>
    </w:p>
    <w:bookmarkEnd w:id="81"/>
    <w:bookmarkStart w:id="82" w:name="supporting-variants-6"/>
    <w:p>
      <w:pPr>
        <w:pStyle w:val="Heading2"/>
      </w:pPr>
      <w:r>
        <w:t xml:space="preserve">Supporting Variants</w:t>
      </w:r>
    </w:p>
    <w:p>
      <w:pPr>
        <w:pStyle w:val="Compact"/>
        <w:numPr>
          <w:ilvl w:val="0"/>
          <w:numId w:val="1034"/>
        </w:numPr>
      </w:pPr>
      <w:r>
        <w:t xml:space="preserve">ink-like motion</w:t>
      </w:r>
    </w:p>
    <w:p>
      <w:pPr>
        <w:pStyle w:val="Compact"/>
        <w:numPr>
          <w:ilvl w:val="0"/>
          <w:numId w:val="1034"/>
        </w:numPr>
      </w:pPr>
      <w:r>
        <w:t xml:space="preserve">drifting strokes</w:t>
      </w:r>
    </w:p>
    <w:p>
      <w:pPr>
        <w:pStyle w:val="Compact"/>
        <w:numPr>
          <w:ilvl w:val="0"/>
          <w:numId w:val="1034"/>
        </w:numPr>
      </w:pPr>
      <w:r>
        <w:t xml:space="preserve">layered writing marks</w:t>
      </w:r>
    </w:p>
    <w:p>
      <w:pPr>
        <w:pStyle w:val="Compact"/>
        <w:numPr>
          <w:ilvl w:val="0"/>
          <w:numId w:val="1034"/>
        </w:numPr>
      </w:pPr>
      <w:r>
        <w:t xml:space="preserve">flowing curves</w:t>
      </w:r>
    </w:p>
    <w:bookmarkEnd w:id="82"/>
    <w:bookmarkStart w:id="83" w:name="shape-language-6"/>
    <w:p>
      <w:pPr>
        <w:pStyle w:val="Heading2"/>
      </w:pPr>
      <w:r>
        <w:t xml:space="preserve">Shape Language</w:t>
      </w:r>
    </w:p>
    <w:p>
      <w:pPr>
        <w:pStyle w:val="FirstParagraph"/>
      </w:pPr>
      <w:r>
        <w:t xml:space="preserve">Organic movement.</w:t>
      </w:r>
    </w:p>
    <w:bookmarkEnd w:id="83"/>
    <w:bookmarkStart w:id="84" w:name="emotional-tone-6"/>
    <w:p>
      <w:pPr>
        <w:pStyle w:val="Heading2"/>
      </w:pPr>
      <w:r>
        <w:t xml:space="preserve">Emotional Tone</w:t>
      </w:r>
    </w:p>
    <w:p>
      <w:pPr>
        <w:pStyle w:val="FirstParagraph"/>
      </w:pPr>
      <w:r>
        <w:t xml:space="preserve">Reflective synthesis.</w:t>
      </w:r>
    </w:p>
    <w:bookmarkEnd w:id="84"/>
    <w:bookmarkStart w:id="85" w:name="assigned-specialists-5"/>
    <w:p>
      <w:pPr>
        <w:pStyle w:val="Heading2"/>
      </w:pPr>
      <w:r>
        <w:t xml:space="preserve">Assigned Specialists</w:t>
      </w:r>
    </w:p>
    <w:p>
      <w:pPr>
        <w:pStyle w:val="Compact"/>
        <w:numPr>
          <w:ilvl w:val="0"/>
          <w:numId w:val="1035"/>
        </w:numPr>
      </w:pPr>
      <w:r>
        <w:t xml:space="preserve">Penn</w:t>
      </w:r>
    </w:p>
    <w:bookmarkEnd w:id="85"/>
    <w:bookmarkStart w:id="86" w:name="accent-colour-5"/>
    <w:p>
      <w:pPr>
        <w:pStyle w:val="Heading2"/>
      </w:pPr>
      <w:r>
        <w:t xml:space="preserve">Accent Colour</w:t>
      </w:r>
    </w:p>
    <w:p>
      <w:pPr>
        <w:pStyle w:val="FirstParagraph"/>
      </w:pPr>
      <w:r>
        <w:t xml:space="preserve">Sepia</w:t>
      </w:r>
    </w:p>
    <w:bookmarkEnd w:id="86"/>
    <w:bookmarkStart w:id="87" w:name="usage-notes-6"/>
    <w:p>
      <w:pPr>
        <w:pStyle w:val="Heading2"/>
      </w:pPr>
      <w:r>
        <w:t xml:space="preserve">Usage Notes</w:t>
      </w:r>
    </w:p>
    <w:p>
      <w:pPr>
        <w:pStyle w:val="FirstParagraph"/>
      </w:pPr>
      <w:r>
        <w:t xml:space="preserve">Should feel:</w:t>
      </w:r>
    </w:p>
    <w:p>
      <w:pPr>
        <w:pStyle w:val="Compact"/>
        <w:numPr>
          <w:ilvl w:val="0"/>
          <w:numId w:val="1036"/>
        </w:numPr>
      </w:pPr>
      <w:r>
        <w:t xml:space="preserve">thoughtful</w:t>
      </w:r>
    </w:p>
    <w:p>
      <w:pPr>
        <w:pStyle w:val="Compact"/>
        <w:numPr>
          <w:ilvl w:val="0"/>
          <w:numId w:val="1036"/>
        </w:numPr>
      </w:pPr>
      <w:r>
        <w:t xml:space="preserve">human</w:t>
      </w:r>
    </w:p>
    <w:p>
      <w:pPr>
        <w:pStyle w:val="Compact"/>
        <w:numPr>
          <w:ilvl w:val="0"/>
          <w:numId w:val="1036"/>
        </w:numPr>
      </w:pPr>
      <w:r>
        <w:t xml:space="preserve">continuous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37"/>
        </w:numPr>
      </w:pPr>
      <w:r>
        <w:t xml:space="preserve">calligraphy flourishes</w:t>
      </w:r>
    </w:p>
    <w:p>
      <w:pPr>
        <w:pStyle w:val="Compact"/>
        <w:numPr>
          <w:ilvl w:val="0"/>
          <w:numId w:val="1037"/>
        </w:numPr>
      </w:pPr>
      <w:r>
        <w:t xml:space="preserve">fantasy parchment aesthetics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7" w:name="deck-creation"/>
    <w:p>
      <w:pPr>
        <w:pStyle w:val="Heading1"/>
      </w:pPr>
      <w:r>
        <w:t xml:space="preserve">8. Deck Creation</w:t>
      </w:r>
    </w:p>
    <w:bookmarkStart w:id="89" w:name="meaning-7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Narrative structuring, presentation assembly, sequencing.</w:t>
      </w:r>
    </w:p>
    <w:bookmarkEnd w:id="89"/>
    <w:bookmarkStart w:id="90" w:name="canonical-direction-7"/>
    <w:p>
      <w:pPr>
        <w:pStyle w:val="Heading2"/>
      </w:pPr>
      <w:r>
        <w:t xml:space="preserve">Canonical Direction</w:t>
      </w:r>
    </w:p>
    <w:p>
      <w:pPr>
        <w:pStyle w:val="FirstParagraph"/>
      </w:pPr>
      <w:r>
        <w:t xml:space="preserve">Stacked frames</w:t>
      </w:r>
    </w:p>
    <w:bookmarkEnd w:id="90"/>
    <w:bookmarkStart w:id="91" w:name="supporting-variants-7"/>
    <w:p>
      <w:pPr>
        <w:pStyle w:val="Heading2"/>
      </w:pPr>
      <w:r>
        <w:t xml:space="preserve">Supporting Variants</w:t>
      </w:r>
    </w:p>
    <w:p>
      <w:pPr>
        <w:pStyle w:val="Compact"/>
        <w:numPr>
          <w:ilvl w:val="0"/>
          <w:numId w:val="1038"/>
        </w:numPr>
      </w:pPr>
      <w:r>
        <w:t xml:space="preserve">layered panels</w:t>
      </w:r>
    </w:p>
    <w:p>
      <w:pPr>
        <w:pStyle w:val="Compact"/>
        <w:numPr>
          <w:ilvl w:val="0"/>
          <w:numId w:val="1038"/>
        </w:numPr>
      </w:pPr>
      <w:r>
        <w:t xml:space="preserve">ordered slides</w:t>
      </w:r>
    </w:p>
    <w:p>
      <w:pPr>
        <w:pStyle w:val="Compact"/>
        <w:numPr>
          <w:ilvl w:val="0"/>
          <w:numId w:val="1038"/>
        </w:numPr>
      </w:pPr>
      <w:r>
        <w:t xml:space="preserve">modular compositions</w:t>
      </w:r>
    </w:p>
    <w:p>
      <w:pPr>
        <w:pStyle w:val="Compact"/>
        <w:numPr>
          <w:ilvl w:val="0"/>
          <w:numId w:val="1038"/>
        </w:numPr>
      </w:pPr>
      <w:r>
        <w:t xml:space="preserve">frame systems</w:t>
      </w:r>
    </w:p>
    <w:bookmarkEnd w:id="91"/>
    <w:bookmarkStart w:id="92" w:name="shape-language-7"/>
    <w:p>
      <w:pPr>
        <w:pStyle w:val="Heading2"/>
      </w:pPr>
      <w:r>
        <w:t xml:space="preserve">Shape Language</w:t>
      </w:r>
    </w:p>
    <w:p>
      <w:pPr>
        <w:pStyle w:val="FirstParagraph"/>
      </w:pPr>
      <w:r>
        <w:t xml:space="preserve">Structured layering.</w:t>
      </w:r>
    </w:p>
    <w:bookmarkEnd w:id="92"/>
    <w:bookmarkStart w:id="93" w:name="emotional-tone-7"/>
    <w:p>
      <w:pPr>
        <w:pStyle w:val="Heading2"/>
      </w:pPr>
      <w:r>
        <w:t xml:space="preserve">Emotional Tone</w:t>
      </w:r>
    </w:p>
    <w:p>
      <w:pPr>
        <w:pStyle w:val="FirstParagraph"/>
      </w:pPr>
      <w:r>
        <w:t xml:space="preserve">Composed communication.</w:t>
      </w:r>
    </w:p>
    <w:bookmarkEnd w:id="93"/>
    <w:bookmarkStart w:id="94" w:name="assigned-specialists-6"/>
    <w:p>
      <w:pPr>
        <w:pStyle w:val="Heading2"/>
      </w:pPr>
      <w:r>
        <w:t xml:space="preserve">Assigned Specialists</w:t>
      </w:r>
    </w:p>
    <w:p>
      <w:pPr>
        <w:pStyle w:val="Compact"/>
        <w:numPr>
          <w:ilvl w:val="0"/>
          <w:numId w:val="1039"/>
        </w:numPr>
      </w:pPr>
      <w:r>
        <w:t xml:space="preserve">Coda</w:t>
      </w:r>
    </w:p>
    <w:bookmarkEnd w:id="94"/>
    <w:bookmarkStart w:id="95" w:name="accent-colour-6"/>
    <w:p>
      <w:pPr>
        <w:pStyle w:val="Heading2"/>
      </w:pPr>
      <w:r>
        <w:t xml:space="preserve">Accent Colour</w:t>
      </w:r>
    </w:p>
    <w:p>
      <w:pPr>
        <w:pStyle w:val="FirstParagraph"/>
      </w:pPr>
      <w:r>
        <w:t xml:space="preserve">Amber</w:t>
      </w:r>
    </w:p>
    <w:bookmarkEnd w:id="95"/>
    <w:bookmarkStart w:id="96" w:name="usage-notes-7"/>
    <w:p>
      <w:pPr>
        <w:pStyle w:val="Heading2"/>
      </w:pPr>
      <w:r>
        <w:t xml:space="preserve">Usage Notes</w:t>
      </w:r>
    </w:p>
    <w:p>
      <w:pPr>
        <w:pStyle w:val="FirstParagraph"/>
      </w:pPr>
      <w:r>
        <w:t xml:space="preserve">Should feel:</w:t>
      </w:r>
    </w:p>
    <w:p>
      <w:pPr>
        <w:pStyle w:val="Compact"/>
        <w:numPr>
          <w:ilvl w:val="0"/>
          <w:numId w:val="1040"/>
        </w:numPr>
      </w:pPr>
      <w:r>
        <w:t xml:space="preserve">assembled</w:t>
      </w:r>
    </w:p>
    <w:p>
      <w:pPr>
        <w:pStyle w:val="Compact"/>
        <w:numPr>
          <w:ilvl w:val="0"/>
          <w:numId w:val="1040"/>
        </w:numPr>
      </w:pPr>
      <w:r>
        <w:t xml:space="preserve">curated</w:t>
      </w:r>
    </w:p>
    <w:p>
      <w:pPr>
        <w:pStyle w:val="Compact"/>
        <w:numPr>
          <w:ilvl w:val="0"/>
          <w:numId w:val="1040"/>
        </w:numPr>
      </w:pPr>
      <w:r>
        <w:t xml:space="preserve">presentation-aware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1"/>
        </w:numPr>
      </w:pPr>
      <w:r>
        <w:t xml:space="preserve">PowerPoint clichés</w:t>
      </w:r>
    </w:p>
    <w:p>
      <w:pPr>
        <w:pStyle w:val="Compact"/>
        <w:numPr>
          <w:ilvl w:val="0"/>
          <w:numId w:val="1041"/>
        </w:numPr>
      </w:pPr>
      <w:r>
        <w:t xml:space="preserve">UI mockup overload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6" w:name="personas"/>
    <w:p>
      <w:pPr>
        <w:pStyle w:val="Heading1"/>
      </w:pPr>
      <w:r>
        <w:t xml:space="preserve">9. Personas</w:t>
      </w:r>
    </w:p>
    <w:bookmarkStart w:id="98" w:name="meaning-8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Audience modelling, empathy, behavioural mapping.</w:t>
      </w:r>
    </w:p>
    <w:bookmarkEnd w:id="98"/>
    <w:bookmarkStart w:id="99" w:name="canonical-direction-8"/>
    <w:p>
      <w:pPr>
        <w:pStyle w:val="Heading2"/>
      </w:pPr>
      <w:r>
        <w:t xml:space="preserve">Canonical Direction</w:t>
      </w:r>
    </w:p>
    <w:p>
      <w:pPr>
        <w:pStyle w:val="FirstParagraph"/>
      </w:pPr>
      <w:r>
        <w:t xml:space="preserve">Masks/profiles</w:t>
      </w:r>
    </w:p>
    <w:bookmarkEnd w:id="99"/>
    <w:bookmarkStart w:id="100" w:name="supporting-variants-8"/>
    <w:p>
      <w:pPr>
        <w:pStyle w:val="Heading2"/>
      </w:pPr>
      <w:r>
        <w:t xml:space="preserve">Supporting Variants</w:t>
      </w:r>
    </w:p>
    <w:p>
      <w:pPr>
        <w:pStyle w:val="Compact"/>
        <w:numPr>
          <w:ilvl w:val="0"/>
          <w:numId w:val="1042"/>
        </w:numPr>
      </w:pPr>
      <w:r>
        <w:t xml:space="preserve">profile outlines</w:t>
      </w:r>
    </w:p>
    <w:p>
      <w:pPr>
        <w:pStyle w:val="Compact"/>
        <w:numPr>
          <w:ilvl w:val="0"/>
          <w:numId w:val="1042"/>
        </w:numPr>
      </w:pPr>
      <w:r>
        <w:t xml:space="preserve">mirrored faces</w:t>
      </w:r>
    </w:p>
    <w:p>
      <w:pPr>
        <w:pStyle w:val="Compact"/>
        <w:numPr>
          <w:ilvl w:val="0"/>
          <w:numId w:val="1042"/>
        </w:numPr>
      </w:pPr>
      <w:r>
        <w:t xml:space="preserve">audience silhouettes</w:t>
      </w:r>
    </w:p>
    <w:p>
      <w:pPr>
        <w:pStyle w:val="Compact"/>
        <w:numPr>
          <w:ilvl w:val="0"/>
          <w:numId w:val="1042"/>
        </w:numPr>
      </w:pPr>
      <w:r>
        <w:t xml:space="preserve">conversational overlays</w:t>
      </w:r>
    </w:p>
    <w:bookmarkEnd w:id="100"/>
    <w:bookmarkStart w:id="101" w:name="shape-language-8"/>
    <w:p>
      <w:pPr>
        <w:pStyle w:val="Heading2"/>
      </w:pPr>
      <w:r>
        <w:t xml:space="preserve">Shape Language</w:t>
      </w:r>
    </w:p>
    <w:p>
      <w:pPr>
        <w:pStyle w:val="FirstParagraph"/>
      </w:pPr>
      <w:r>
        <w:t xml:space="preserve">Balanced soft geometry.</w:t>
      </w:r>
    </w:p>
    <w:bookmarkEnd w:id="101"/>
    <w:bookmarkStart w:id="102" w:name="emotional-tone-8"/>
    <w:p>
      <w:pPr>
        <w:pStyle w:val="Heading2"/>
      </w:pPr>
      <w:r>
        <w:t xml:space="preserve">Emotional Tone</w:t>
      </w:r>
    </w:p>
    <w:p>
      <w:pPr>
        <w:pStyle w:val="FirstParagraph"/>
      </w:pPr>
      <w:r>
        <w:t xml:space="preserve">Empathetic intelligence.</w:t>
      </w:r>
    </w:p>
    <w:bookmarkEnd w:id="102"/>
    <w:bookmarkStart w:id="103" w:name="assigned-specialists-7"/>
    <w:p>
      <w:pPr>
        <w:pStyle w:val="Heading2"/>
      </w:pPr>
      <w:r>
        <w:t xml:space="preserve">Assigned Specialists</w:t>
      </w:r>
    </w:p>
    <w:p>
      <w:pPr>
        <w:pStyle w:val="Compact"/>
        <w:numPr>
          <w:ilvl w:val="0"/>
          <w:numId w:val="1043"/>
        </w:numPr>
      </w:pPr>
      <w:r>
        <w:t xml:space="preserve">Aria</w:t>
      </w:r>
    </w:p>
    <w:bookmarkEnd w:id="103"/>
    <w:bookmarkStart w:id="104" w:name="accent-colour-7"/>
    <w:p>
      <w:pPr>
        <w:pStyle w:val="Heading2"/>
      </w:pPr>
      <w:r>
        <w:t xml:space="preserve">Accent Colour</w:t>
      </w:r>
    </w:p>
    <w:p>
      <w:pPr>
        <w:pStyle w:val="FirstParagraph"/>
      </w:pPr>
      <w:r>
        <w:t xml:space="preserve">Violet</w:t>
      </w:r>
    </w:p>
    <w:bookmarkEnd w:id="104"/>
    <w:bookmarkStart w:id="105" w:name="usage-notes-8"/>
    <w:p>
      <w:pPr>
        <w:pStyle w:val="Heading2"/>
      </w:pPr>
      <w:r>
        <w:t xml:space="preserve">Usage Notes</w:t>
      </w:r>
    </w:p>
    <w:p>
      <w:pPr>
        <w:pStyle w:val="FirstParagraph"/>
      </w:pPr>
      <w:r>
        <w:t xml:space="preserve">Should feel:</w:t>
      </w:r>
    </w:p>
    <w:p>
      <w:pPr>
        <w:pStyle w:val="Compact"/>
        <w:numPr>
          <w:ilvl w:val="0"/>
          <w:numId w:val="1044"/>
        </w:numPr>
      </w:pPr>
      <w:r>
        <w:t xml:space="preserve">understanding</w:t>
      </w:r>
    </w:p>
    <w:p>
      <w:pPr>
        <w:pStyle w:val="Compact"/>
        <w:numPr>
          <w:ilvl w:val="0"/>
          <w:numId w:val="1044"/>
        </w:numPr>
      </w:pPr>
      <w:r>
        <w:t xml:space="preserve">adaptive</w:t>
      </w:r>
    </w:p>
    <w:p>
      <w:pPr>
        <w:pStyle w:val="Compact"/>
        <w:numPr>
          <w:ilvl w:val="0"/>
          <w:numId w:val="1044"/>
        </w:numPr>
      </w:pPr>
      <w:r>
        <w:t xml:space="preserve">audience-aware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5"/>
        </w:numPr>
      </w:pPr>
      <w:r>
        <w:t xml:space="preserve">theatre-mask cliché</w:t>
      </w:r>
    </w:p>
    <w:p>
      <w:pPr>
        <w:pStyle w:val="Compact"/>
        <w:numPr>
          <w:ilvl w:val="0"/>
          <w:numId w:val="1045"/>
        </w:numPr>
      </w:pPr>
      <w:r>
        <w:t xml:space="preserve">emoji-style expressions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5" w:name="image-generation"/>
    <w:p>
      <w:pPr>
        <w:pStyle w:val="Heading1"/>
      </w:pPr>
      <w:r>
        <w:t xml:space="preserve">10. Image Generation</w:t>
      </w:r>
    </w:p>
    <w:bookmarkStart w:id="107" w:name="meaning-9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Visual imagination, perception, creative rendering.</w:t>
      </w:r>
    </w:p>
    <w:bookmarkEnd w:id="107"/>
    <w:bookmarkStart w:id="108" w:name="canonical-direction-9"/>
    <w:p>
      <w:pPr>
        <w:pStyle w:val="Heading2"/>
      </w:pPr>
      <w:r>
        <w:t xml:space="preserve">Canonical Direction</w:t>
      </w:r>
    </w:p>
    <w:p>
      <w:pPr>
        <w:pStyle w:val="FirstParagraph"/>
      </w:pPr>
      <w:r>
        <w:t xml:space="preserve">Eyes/prisms</w:t>
      </w:r>
    </w:p>
    <w:bookmarkEnd w:id="108"/>
    <w:bookmarkStart w:id="109" w:name="supporting-variants-9"/>
    <w:p>
      <w:pPr>
        <w:pStyle w:val="Heading2"/>
      </w:pPr>
      <w:r>
        <w:t xml:space="preserve">Supporting Variants</w:t>
      </w:r>
    </w:p>
    <w:p>
      <w:pPr>
        <w:pStyle w:val="Compact"/>
        <w:numPr>
          <w:ilvl w:val="0"/>
          <w:numId w:val="1046"/>
        </w:numPr>
      </w:pPr>
      <w:r>
        <w:t xml:space="preserve">visual frames</w:t>
      </w:r>
    </w:p>
    <w:p>
      <w:pPr>
        <w:pStyle w:val="Compact"/>
        <w:numPr>
          <w:ilvl w:val="0"/>
          <w:numId w:val="1046"/>
        </w:numPr>
      </w:pPr>
      <w:r>
        <w:t xml:space="preserve">lens abstractions</w:t>
      </w:r>
    </w:p>
    <w:p>
      <w:pPr>
        <w:pStyle w:val="Compact"/>
        <w:numPr>
          <w:ilvl w:val="0"/>
          <w:numId w:val="1046"/>
        </w:numPr>
      </w:pPr>
      <w:r>
        <w:t xml:space="preserve">refracted shapes</w:t>
      </w:r>
    </w:p>
    <w:p>
      <w:pPr>
        <w:pStyle w:val="Compact"/>
        <w:numPr>
          <w:ilvl w:val="0"/>
          <w:numId w:val="1046"/>
        </w:numPr>
      </w:pPr>
      <w:r>
        <w:t xml:space="preserve">floating visual planes</w:t>
      </w:r>
    </w:p>
    <w:bookmarkEnd w:id="109"/>
    <w:bookmarkStart w:id="110" w:name="shape-language-9"/>
    <w:p>
      <w:pPr>
        <w:pStyle w:val="Heading2"/>
      </w:pPr>
      <w:r>
        <w:t xml:space="preserve">Shape Language</w:t>
      </w:r>
    </w:p>
    <w:p>
      <w:pPr>
        <w:pStyle w:val="FirstParagraph"/>
      </w:pPr>
      <w:r>
        <w:t xml:space="preserve">Focused optical geometry.</w:t>
      </w:r>
    </w:p>
    <w:bookmarkEnd w:id="110"/>
    <w:bookmarkStart w:id="111" w:name="emotional-tone-9"/>
    <w:p>
      <w:pPr>
        <w:pStyle w:val="Heading2"/>
      </w:pPr>
      <w:r>
        <w:t xml:space="preserve">Emotional Tone</w:t>
      </w:r>
    </w:p>
    <w:p>
      <w:pPr>
        <w:pStyle w:val="FirstParagraph"/>
      </w:pPr>
      <w:r>
        <w:t xml:space="preserve">Visionary precision.</w:t>
      </w:r>
    </w:p>
    <w:bookmarkEnd w:id="111"/>
    <w:bookmarkStart w:id="112" w:name="assigned-specialists-8"/>
    <w:p>
      <w:pPr>
        <w:pStyle w:val="Heading2"/>
      </w:pPr>
      <w:r>
        <w:t xml:space="preserve">Assigned Specialists</w:t>
      </w:r>
    </w:p>
    <w:p>
      <w:pPr>
        <w:pStyle w:val="Compact"/>
        <w:numPr>
          <w:ilvl w:val="0"/>
          <w:numId w:val="1047"/>
        </w:numPr>
      </w:pPr>
      <w:r>
        <w:t xml:space="preserve">Iris</w:t>
      </w:r>
    </w:p>
    <w:bookmarkEnd w:id="112"/>
    <w:bookmarkStart w:id="113" w:name="accent-colour-8"/>
    <w:p>
      <w:pPr>
        <w:pStyle w:val="Heading2"/>
      </w:pPr>
      <w:r>
        <w:t xml:space="preserve">Accent Colour</w:t>
      </w:r>
    </w:p>
    <w:p>
      <w:pPr>
        <w:pStyle w:val="FirstParagraph"/>
      </w:pPr>
      <w:r>
        <w:t xml:space="preserve">Cyan</w:t>
      </w:r>
    </w:p>
    <w:bookmarkEnd w:id="113"/>
    <w:bookmarkStart w:id="114" w:name="usage-notes-9"/>
    <w:p>
      <w:pPr>
        <w:pStyle w:val="Heading2"/>
      </w:pPr>
      <w:r>
        <w:t xml:space="preserve">Usage Notes</w:t>
      </w:r>
    </w:p>
    <w:p>
      <w:pPr>
        <w:pStyle w:val="FirstParagraph"/>
      </w:pPr>
      <w:r>
        <w:t xml:space="preserve">Should feel:</w:t>
      </w:r>
    </w:p>
    <w:p>
      <w:pPr>
        <w:pStyle w:val="Compact"/>
        <w:numPr>
          <w:ilvl w:val="0"/>
          <w:numId w:val="1048"/>
        </w:numPr>
      </w:pPr>
      <w:r>
        <w:t xml:space="preserve">observant</w:t>
      </w:r>
    </w:p>
    <w:p>
      <w:pPr>
        <w:pStyle w:val="Compact"/>
        <w:numPr>
          <w:ilvl w:val="0"/>
          <w:numId w:val="1048"/>
        </w:numPr>
      </w:pPr>
      <w:r>
        <w:t xml:space="preserve">creative</w:t>
      </w:r>
    </w:p>
    <w:p>
      <w:pPr>
        <w:pStyle w:val="Compact"/>
        <w:numPr>
          <w:ilvl w:val="0"/>
          <w:numId w:val="1048"/>
        </w:numPr>
      </w:pPr>
      <w:r>
        <w:t xml:space="preserve">visually intelligent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9"/>
        </w:numPr>
      </w:pPr>
      <w:r>
        <w:t xml:space="preserve">surreal dream overload</w:t>
      </w:r>
    </w:p>
    <w:p>
      <w:pPr>
        <w:pStyle w:val="Compact"/>
        <w:numPr>
          <w:ilvl w:val="0"/>
          <w:numId w:val="1049"/>
        </w:numPr>
      </w:pPr>
      <w:r>
        <w:t xml:space="preserve">psychedelic aesthetics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4" w:name="automation"/>
    <w:p>
      <w:pPr>
        <w:pStyle w:val="Heading1"/>
      </w:pPr>
      <w:r>
        <w:t xml:space="preserve">11. Automation</w:t>
      </w:r>
    </w:p>
    <w:bookmarkStart w:id="116" w:name="meaning-10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Connectivity, execution, system integration.</w:t>
      </w:r>
    </w:p>
    <w:bookmarkEnd w:id="116"/>
    <w:bookmarkStart w:id="117" w:name="canonical-direction-10"/>
    <w:p>
      <w:pPr>
        <w:pStyle w:val="Heading2"/>
      </w:pPr>
      <w:r>
        <w:t xml:space="preserve">Canonical Direction</w:t>
      </w:r>
    </w:p>
    <w:p>
      <w:pPr>
        <w:pStyle w:val="FirstParagraph"/>
      </w:pPr>
      <w:r>
        <w:t xml:space="preserve">Connectors/cables</w:t>
      </w:r>
    </w:p>
    <w:bookmarkEnd w:id="117"/>
    <w:bookmarkStart w:id="118" w:name="supporting-variants-10"/>
    <w:p>
      <w:pPr>
        <w:pStyle w:val="Heading2"/>
      </w:pPr>
      <w:r>
        <w:t xml:space="preserve">Supporting Variants</w:t>
      </w:r>
    </w:p>
    <w:p>
      <w:pPr>
        <w:pStyle w:val="Compact"/>
        <w:numPr>
          <w:ilvl w:val="0"/>
          <w:numId w:val="1050"/>
        </w:numPr>
      </w:pPr>
      <w:r>
        <w:t xml:space="preserve">modular joints</w:t>
      </w:r>
    </w:p>
    <w:p>
      <w:pPr>
        <w:pStyle w:val="Compact"/>
        <w:numPr>
          <w:ilvl w:val="0"/>
          <w:numId w:val="1050"/>
        </w:numPr>
      </w:pPr>
      <w:r>
        <w:t xml:space="preserve">signal connectors</w:t>
      </w:r>
    </w:p>
    <w:p>
      <w:pPr>
        <w:pStyle w:val="Compact"/>
        <w:numPr>
          <w:ilvl w:val="0"/>
          <w:numId w:val="1050"/>
        </w:numPr>
      </w:pPr>
      <w:r>
        <w:t xml:space="preserve">process chains</w:t>
      </w:r>
    </w:p>
    <w:p>
      <w:pPr>
        <w:pStyle w:val="Compact"/>
        <w:numPr>
          <w:ilvl w:val="0"/>
          <w:numId w:val="1050"/>
        </w:numPr>
      </w:pPr>
      <w:r>
        <w:t xml:space="preserve">linked execution nodes</w:t>
      </w:r>
    </w:p>
    <w:bookmarkEnd w:id="118"/>
    <w:bookmarkStart w:id="119" w:name="shape-language-10"/>
    <w:p>
      <w:pPr>
        <w:pStyle w:val="Heading2"/>
      </w:pPr>
      <w:r>
        <w:t xml:space="preserve">Shape Language</w:t>
      </w:r>
    </w:p>
    <w:p>
      <w:pPr>
        <w:pStyle w:val="FirstParagraph"/>
      </w:pPr>
      <w:r>
        <w:t xml:space="preserve">Mechanical linkage.</w:t>
      </w:r>
    </w:p>
    <w:bookmarkEnd w:id="119"/>
    <w:bookmarkStart w:id="120" w:name="emotional-tone-10"/>
    <w:p>
      <w:pPr>
        <w:pStyle w:val="Heading2"/>
      </w:pPr>
      <w:r>
        <w:t xml:space="preserve">Emotional Tone</w:t>
      </w:r>
    </w:p>
    <w:p>
      <w:pPr>
        <w:pStyle w:val="FirstParagraph"/>
      </w:pPr>
      <w:r>
        <w:t xml:space="preserve">Operational capability.</w:t>
      </w:r>
    </w:p>
    <w:bookmarkEnd w:id="120"/>
    <w:bookmarkStart w:id="121" w:name="assigned-specialists-9"/>
    <w:p>
      <w:pPr>
        <w:pStyle w:val="Heading2"/>
      </w:pPr>
      <w:r>
        <w:t xml:space="preserve">Assigned Specialists</w:t>
      </w:r>
    </w:p>
    <w:p>
      <w:pPr>
        <w:pStyle w:val="Compact"/>
        <w:numPr>
          <w:ilvl w:val="0"/>
          <w:numId w:val="1051"/>
        </w:numPr>
      </w:pPr>
      <w:r>
        <w:t xml:space="preserve">Mack</w:t>
      </w:r>
    </w:p>
    <w:bookmarkEnd w:id="121"/>
    <w:bookmarkStart w:id="122" w:name="accent-colour-9"/>
    <w:p>
      <w:pPr>
        <w:pStyle w:val="Heading2"/>
      </w:pPr>
      <w:r>
        <w:t xml:space="preserve">Accent Colour</w:t>
      </w:r>
    </w:p>
    <w:p>
      <w:pPr>
        <w:pStyle w:val="FirstParagraph"/>
      </w:pPr>
      <w:r>
        <w:t xml:space="preserve">Burnt Orange</w:t>
      </w:r>
    </w:p>
    <w:bookmarkEnd w:id="122"/>
    <w:bookmarkStart w:id="123" w:name="usage-notes-10"/>
    <w:p>
      <w:pPr>
        <w:pStyle w:val="Heading2"/>
      </w:pPr>
      <w:r>
        <w:t xml:space="preserve">Usage Notes</w:t>
      </w:r>
    </w:p>
    <w:p>
      <w:pPr>
        <w:pStyle w:val="FirstParagraph"/>
      </w:pPr>
      <w:r>
        <w:t xml:space="preserve">Should feel:</w:t>
      </w:r>
    </w:p>
    <w:p>
      <w:pPr>
        <w:pStyle w:val="Compact"/>
        <w:numPr>
          <w:ilvl w:val="0"/>
          <w:numId w:val="1052"/>
        </w:numPr>
      </w:pPr>
      <w:r>
        <w:t xml:space="preserve">practical</w:t>
      </w:r>
    </w:p>
    <w:p>
      <w:pPr>
        <w:pStyle w:val="Compact"/>
        <w:numPr>
          <w:ilvl w:val="0"/>
          <w:numId w:val="1052"/>
        </w:numPr>
      </w:pPr>
      <w:r>
        <w:t xml:space="preserve">engineered</w:t>
      </w:r>
    </w:p>
    <w:p>
      <w:pPr>
        <w:pStyle w:val="Compact"/>
        <w:numPr>
          <w:ilvl w:val="0"/>
          <w:numId w:val="1052"/>
        </w:numPr>
      </w:pPr>
      <w:r>
        <w:t xml:space="preserve">connected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53"/>
        </w:numPr>
      </w:pPr>
      <w:r>
        <w:t xml:space="preserve">cyberpunk wires everywhere</w:t>
      </w:r>
    </w:p>
    <w:p>
      <w:pPr>
        <w:pStyle w:val="Compact"/>
        <w:numPr>
          <w:ilvl w:val="0"/>
          <w:numId w:val="1053"/>
        </w:numPr>
      </w:pPr>
      <w:r>
        <w:t xml:space="preserve">industrial clutter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1" w:name="logic"/>
    <w:p>
      <w:pPr>
        <w:pStyle w:val="Heading1"/>
      </w:pPr>
      <w:r>
        <w:t xml:space="preserve">12. Logic</w:t>
      </w:r>
    </w:p>
    <w:bookmarkStart w:id="125" w:name="meaning-11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Reasoning structure, causal flow, analytical mapping.</w:t>
      </w:r>
    </w:p>
    <w:bookmarkEnd w:id="125"/>
    <w:bookmarkStart w:id="126" w:name="canonical-direction-11"/>
    <w:p>
      <w:pPr>
        <w:pStyle w:val="Heading2"/>
      </w:pPr>
      <w:r>
        <w:t xml:space="preserve">Canonical Direction</w:t>
      </w:r>
    </w:p>
    <w:p>
      <w:pPr>
        <w:pStyle w:val="FirstParagraph"/>
      </w:pPr>
      <w:r>
        <w:t xml:space="preserve">Diagrams/flow maps</w:t>
      </w:r>
    </w:p>
    <w:bookmarkEnd w:id="126"/>
    <w:bookmarkStart w:id="127" w:name="supporting-variants-11"/>
    <w:p>
      <w:pPr>
        <w:pStyle w:val="Heading2"/>
      </w:pPr>
      <w:r>
        <w:t xml:space="preserve">Supporting Variants</w:t>
      </w:r>
    </w:p>
    <w:p>
      <w:pPr>
        <w:pStyle w:val="Compact"/>
        <w:numPr>
          <w:ilvl w:val="0"/>
          <w:numId w:val="1054"/>
        </w:numPr>
      </w:pPr>
      <w:r>
        <w:t xml:space="preserve">structured nodes</w:t>
      </w:r>
    </w:p>
    <w:p>
      <w:pPr>
        <w:pStyle w:val="Compact"/>
        <w:numPr>
          <w:ilvl w:val="0"/>
          <w:numId w:val="1054"/>
        </w:numPr>
      </w:pPr>
      <w:r>
        <w:t xml:space="preserve">directional reasoning paths</w:t>
      </w:r>
    </w:p>
    <w:p>
      <w:pPr>
        <w:pStyle w:val="Compact"/>
        <w:numPr>
          <w:ilvl w:val="0"/>
          <w:numId w:val="1054"/>
        </w:numPr>
      </w:pPr>
      <w:r>
        <w:t xml:space="preserve">layered logic maps</w:t>
      </w:r>
    </w:p>
    <w:p>
      <w:pPr>
        <w:pStyle w:val="Compact"/>
        <w:numPr>
          <w:ilvl w:val="0"/>
          <w:numId w:val="1054"/>
        </w:numPr>
      </w:pPr>
      <w:r>
        <w:t xml:space="preserve">decision structures</w:t>
      </w:r>
    </w:p>
    <w:bookmarkEnd w:id="127"/>
    <w:bookmarkStart w:id="128" w:name="shape-language-11"/>
    <w:p>
      <w:pPr>
        <w:pStyle w:val="Heading2"/>
      </w:pPr>
      <w:r>
        <w:t xml:space="preserve">Shape Language</w:t>
      </w:r>
    </w:p>
    <w:p>
      <w:pPr>
        <w:pStyle w:val="FirstParagraph"/>
      </w:pPr>
      <w:r>
        <w:t xml:space="preserve">Ordered analytical flow.</w:t>
      </w:r>
    </w:p>
    <w:bookmarkEnd w:id="128"/>
    <w:bookmarkStart w:id="129" w:name="emotional-tone-11"/>
    <w:p>
      <w:pPr>
        <w:pStyle w:val="Heading2"/>
      </w:pPr>
      <w:r>
        <w:t xml:space="preserve">Emotional Tone</w:t>
      </w:r>
    </w:p>
    <w:p>
      <w:pPr>
        <w:pStyle w:val="FirstParagraph"/>
      </w:pPr>
      <w:r>
        <w:t xml:space="preserve">Methodical clarity.</w:t>
      </w:r>
    </w:p>
    <w:bookmarkEnd w:id="129"/>
    <w:bookmarkStart w:id="130" w:name="usage-notes-11"/>
    <w:p>
      <w:pPr>
        <w:pStyle w:val="Heading2"/>
      </w:pPr>
      <w:r>
        <w:t xml:space="preserve">Usage Notes</w:t>
      </w:r>
    </w:p>
    <w:p>
      <w:pPr>
        <w:pStyle w:val="FirstParagraph"/>
      </w:pPr>
      <w:r>
        <w:t xml:space="preserve">Should feel:</w:t>
      </w:r>
    </w:p>
    <w:p>
      <w:pPr>
        <w:pStyle w:val="Compact"/>
        <w:numPr>
          <w:ilvl w:val="0"/>
          <w:numId w:val="1055"/>
        </w:numPr>
      </w:pPr>
      <w:r>
        <w:t xml:space="preserve">explainable</w:t>
      </w:r>
    </w:p>
    <w:p>
      <w:pPr>
        <w:pStyle w:val="Compact"/>
        <w:numPr>
          <w:ilvl w:val="0"/>
          <w:numId w:val="1055"/>
        </w:numPr>
      </w:pPr>
      <w:r>
        <w:t xml:space="preserve">rigorous</w:t>
      </w:r>
    </w:p>
    <w:p>
      <w:pPr>
        <w:pStyle w:val="Compact"/>
        <w:numPr>
          <w:ilvl w:val="0"/>
          <w:numId w:val="1055"/>
        </w:numPr>
      </w:pPr>
      <w:r>
        <w:t xml:space="preserve">decomposed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56"/>
        </w:numPr>
      </w:pPr>
      <w:r>
        <w:t xml:space="preserve">overly technical flowcharts</w:t>
      </w:r>
    </w:p>
    <w:p>
      <w:pPr>
        <w:pStyle w:val="Compact"/>
        <w:numPr>
          <w:ilvl w:val="0"/>
          <w:numId w:val="1056"/>
        </w:numPr>
      </w:pPr>
      <w:r>
        <w:t xml:space="preserve">software engineering UML aesthetics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8" w:name="synthesis"/>
    <w:p>
      <w:pPr>
        <w:pStyle w:val="Heading1"/>
      </w:pPr>
      <w:r>
        <w:t xml:space="preserve">13. Synthesis</w:t>
      </w:r>
    </w:p>
    <w:bookmarkStart w:id="132" w:name="meaning-12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Merging ideas, convergence, integration.</w:t>
      </w:r>
    </w:p>
    <w:bookmarkEnd w:id="132"/>
    <w:bookmarkStart w:id="133" w:name="canonical-direction-12"/>
    <w:p>
      <w:pPr>
        <w:pStyle w:val="Heading2"/>
      </w:pPr>
      <w:r>
        <w:t xml:space="preserve">Canonical Direction</w:t>
      </w:r>
    </w:p>
    <w:p>
      <w:pPr>
        <w:pStyle w:val="FirstParagraph"/>
      </w:pPr>
      <w:r>
        <w:t xml:space="preserve">Merging streams</w:t>
      </w:r>
    </w:p>
    <w:bookmarkEnd w:id="133"/>
    <w:bookmarkStart w:id="134" w:name="supporting-variants-12"/>
    <w:p>
      <w:pPr>
        <w:pStyle w:val="Heading2"/>
      </w:pPr>
      <w:r>
        <w:t xml:space="preserve">Supporting Variants</w:t>
      </w:r>
    </w:p>
    <w:p>
      <w:pPr>
        <w:pStyle w:val="Compact"/>
        <w:numPr>
          <w:ilvl w:val="0"/>
          <w:numId w:val="1057"/>
        </w:numPr>
      </w:pPr>
      <w:r>
        <w:t xml:space="preserve">converging lines</w:t>
      </w:r>
    </w:p>
    <w:p>
      <w:pPr>
        <w:pStyle w:val="Compact"/>
        <w:numPr>
          <w:ilvl w:val="0"/>
          <w:numId w:val="1057"/>
        </w:numPr>
      </w:pPr>
      <w:r>
        <w:t xml:space="preserve">braided flows</w:t>
      </w:r>
    </w:p>
    <w:p>
      <w:pPr>
        <w:pStyle w:val="Compact"/>
        <w:numPr>
          <w:ilvl w:val="0"/>
          <w:numId w:val="1057"/>
        </w:numPr>
      </w:pPr>
      <w:r>
        <w:t xml:space="preserve">combined pathways</w:t>
      </w:r>
    </w:p>
    <w:p>
      <w:pPr>
        <w:pStyle w:val="Compact"/>
        <w:numPr>
          <w:ilvl w:val="0"/>
          <w:numId w:val="1057"/>
        </w:numPr>
      </w:pPr>
      <w:r>
        <w:t xml:space="preserve">fusion nodes</w:t>
      </w:r>
    </w:p>
    <w:bookmarkEnd w:id="134"/>
    <w:bookmarkStart w:id="135" w:name="shape-language-12"/>
    <w:p>
      <w:pPr>
        <w:pStyle w:val="Heading2"/>
      </w:pPr>
      <w:r>
        <w:t xml:space="preserve">Shape Language</w:t>
      </w:r>
    </w:p>
    <w:p>
      <w:pPr>
        <w:pStyle w:val="FirstParagraph"/>
      </w:pPr>
      <w:r>
        <w:t xml:space="preserve">Convergent movement.</w:t>
      </w:r>
    </w:p>
    <w:bookmarkEnd w:id="135"/>
    <w:bookmarkStart w:id="136" w:name="emotional-tone-12"/>
    <w:p>
      <w:pPr>
        <w:pStyle w:val="Heading2"/>
      </w:pPr>
      <w:r>
        <w:t xml:space="preserve">Emotional Tone</w:t>
      </w:r>
    </w:p>
    <w:p>
      <w:pPr>
        <w:pStyle w:val="FirstParagraph"/>
      </w:pPr>
      <w:r>
        <w:t xml:space="preserve">Unified intelligence.</w:t>
      </w:r>
    </w:p>
    <w:bookmarkEnd w:id="136"/>
    <w:bookmarkStart w:id="137" w:name="usage-notes-12"/>
    <w:p>
      <w:pPr>
        <w:pStyle w:val="Heading2"/>
      </w:pPr>
      <w:r>
        <w:t xml:space="preserve">Usage Notes</w:t>
      </w:r>
    </w:p>
    <w:p>
      <w:pPr>
        <w:pStyle w:val="FirstParagraph"/>
      </w:pPr>
      <w:r>
        <w:t xml:space="preserve">Should feel:</w:t>
      </w:r>
    </w:p>
    <w:p>
      <w:pPr>
        <w:pStyle w:val="Compact"/>
        <w:numPr>
          <w:ilvl w:val="0"/>
          <w:numId w:val="1058"/>
        </w:numPr>
      </w:pPr>
      <w:r>
        <w:t xml:space="preserve">integrated</w:t>
      </w:r>
    </w:p>
    <w:p>
      <w:pPr>
        <w:pStyle w:val="Compact"/>
        <w:numPr>
          <w:ilvl w:val="0"/>
          <w:numId w:val="1058"/>
        </w:numPr>
      </w:pPr>
      <w:r>
        <w:t xml:space="preserve">harmonious</w:t>
      </w:r>
    </w:p>
    <w:p>
      <w:pPr>
        <w:pStyle w:val="Compact"/>
        <w:numPr>
          <w:ilvl w:val="0"/>
          <w:numId w:val="1058"/>
        </w:numPr>
      </w:pPr>
      <w:r>
        <w:t xml:space="preserve">coherent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59"/>
        </w:numPr>
      </w:pPr>
      <w:r>
        <w:t xml:space="preserve">explosive fusion energy</w:t>
      </w:r>
    </w:p>
    <w:p>
      <w:pPr>
        <w:pStyle w:val="Compact"/>
        <w:numPr>
          <w:ilvl w:val="0"/>
          <w:numId w:val="1059"/>
        </w:numPr>
      </w:pPr>
      <w:r>
        <w:t xml:space="preserve">chaotic intersections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5" w:name="auditing"/>
    <w:p>
      <w:pPr>
        <w:pStyle w:val="Heading1"/>
      </w:pPr>
      <w:r>
        <w:t xml:space="preserve">14. Auditing</w:t>
      </w:r>
    </w:p>
    <w:bookmarkStart w:id="139" w:name="meaning-13"/>
    <w:p>
      <w:pPr>
        <w:pStyle w:val="Heading2"/>
      </w:pPr>
      <w:r>
        <w:t xml:space="preserve">Meaning</w:t>
      </w:r>
    </w:p>
    <w:p>
      <w:pPr>
        <w:pStyle w:val="FirstParagraph"/>
      </w:pPr>
      <w:r>
        <w:t xml:space="preserve">Verification, compliance, integrity enforcement.</w:t>
      </w:r>
    </w:p>
    <w:bookmarkEnd w:id="139"/>
    <w:bookmarkStart w:id="140" w:name="canonical-direction-13"/>
    <w:p>
      <w:pPr>
        <w:pStyle w:val="Heading2"/>
      </w:pPr>
      <w:r>
        <w:t xml:space="preserve">Canonical Direction</w:t>
      </w:r>
    </w:p>
    <w:p>
      <w:pPr>
        <w:pStyle w:val="FirstParagraph"/>
      </w:pPr>
      <w:r>
        <w:t xml:space="preserve">Check structures</w:t>
      </w:r>
    </w:p>
    <w:bookmarkEnd w:id="140"/>
    <w:bookmarkStart w:id="141" w:name="supporting-variants-13"/>
    <w:p>
      <w:pPr>
        <w:pStyle w:val="Heading2"/>
      </w:pPr>
      <w:r>
        <w:t xml:space="preserve">Supporting Variants</w:t>
      </w:r>
    </w:p>
    <w:p>
      <w:pPr>
        <w:pStyle w:val="Compact"/>
        <w:numPr>
          <w:ilvl w:val="0"/>
          <w:numId w:val="1060"/>
        </w:numPr>
      </w:pPr>
      <w:r>
        <w:t xml:space="preserve">framed checks</w:t>
      </w:r>
    </w:p>
    <w:p>
      <w:pPr>
        <w:pStyle w:val="Compact"/>
        <w:numPr>
          <w:ilvl w:val="0"/>
          <w:numId w:val="1060"/>
        </w:numPr>
      </w:pPr>
      <w:r>
        <w:t xml:space="preserve">structural confirmations</w:t>
      </w:r>
    </w:p>
    <w:p>
      <w:pPr>
        <w:pStyle w:val="Compact"/>
        <w:numPr>
          <w:ilvl w:val="0"/>
          <w:numId w:val="1060"/>
        </w:numPr>
      </w:pPr>
      <w:r>
        <w:t xml:space="preserve">integrity grids</w:t>
      </w:r>
    </w:p>
    <w:p>
      <w:pPr>
        <w:pStyle w:val="Compact"/>
        <w:numPr>
          <w:ilvl w:val="0"/>
          <w:numId w:val="1060"/>
        </w:numPr>
      </w:pPr>
      <w:r>
        <w:t xml:space="preserve">verified pathways</w:t>
      </w:r>
    </w:p>
    <w:bookmarkEnd w:id="141"/>
    <w:bookmarkStart w:id="142" w:name="shape-language-13"/>
    <w:p>
      <w:pPr>
        <w:pStyle w:val="Heading2"/>
      </w:pPr>
      <w:r>
        <w:t xml:space="preserve">Shape Language</w:t>
      </w:r>
    </w:p>
    <w:p>
      <w:pPr>
        <w:pStyle w:val="FirstParagraph"/>
      </w:pPr>
      <w:r>
        <w:t xml:space="preserve">Stable checkpoints.</w:t>
      </w:r>
    </w:p>
    <w:bookmarkEnd w:id="142"/>
    <w:bookmarkStart w:id="143" w:name="emotional-tone-13"/>
    <w:p>
      <w:pPr>
        <w:pStyle w:val="Heading2"/>
      </w:pPr>
      <w:r>
        <w:t xml:space="preserve">Emotional Tone</w:t>
      </w:r>
    </w:p>
    <w:p>
      <w:pPr>
        <w:pStyle w:val="FirstParagraph"/>
      </w:pPr>
      <w:r>
        <w:t xml:space="preserve">Reliable oversight.</w:t>
      </w:r>
    </w:p>
    <w:bookmarkEnd w:id="143"/>
    <w:bookmarkStart w:id="144" w:name="usage-notes-13"/>
    <w:p>
      <w:pPr>
        <w:pStyle w:val="Heading2"/>
      </w:pPr>
      <w:r>
        <w:t xml:space="preserve">Usage Notes</w:t>
      </w:r>
    </w:p>
    <w:p>
      <w:pPr>
        <w:pStyle w:val="FirstParagraph"/>
      </w:pPr>
      <w:r>
        <w:t xml:space="preserve">Should feel:</w:t>
      </w:r>
    </w:p>
    <w:p>
      <w:pPr>
        <w:pStyle w:val="Compact"/>
        <w:numPr>
          <w:ilvl w:val="0"/>
          <w:numId w:val="1061"/>
        </w:numPr>
      </w:pPr>
      <w:r>
        <w:t xml:space="preserve">dependable</w:t>
      </w:r>
    </w:p>
    <w:p>
      <w:pPr>
        <w:pStyle w:val="Compact"/>
        <w:numPr>
          <w:ilvl w:val="0"/>
          <w:numId w:val="1061"/>
        </w:numPr>
      </w:pPr>
      <w:r>
        <w:t xml:space="preserve">measured</w:t>
      </w:r>
    </w:p>
    <w:p>
      <w:pPr>
        <w:pStyle w:val="Compact"/>
        <w:numPr>
          <w:ilvl w:val="0"/>
          <w:numId w:val="1061"/>
        </w:numPr>
      </w:pPr>
      <w:r>
        <w:t xml:space="preserve">systematic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62"/>
        </w:numPr>
      </w:pPr>
      <w:r>
        <w:t xml:space="preserve">corporate compliance clichés</w:t>
      </w:r>
    </w:p>
    <w:p>
      <w:pPr>
        <w:pStyle w:val="Compact"/>
        <w:numPr>
          <w:ilvl w:val="0"/>
          <w:numId w:val="1062"/>
        </w:numPr>
      </w:pPr>
      <w:r>
        <w:t xml:space="preserve">giant checkmark dominance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monochrome-rules"/>
    <w:p>
      <w:pPr>
        <w:pStyle w:val="Heading1"/>
      </w:pPr>
      <w:r>
        <w:t xml:space="preserve">Monochrome Rules</w:t>
      </w:r>
    </w:p>
    <w:p>
      <w:pPr>
        <w:pStyle w:val="FirstParagraph"/>
      </w:pPr>
      <w:r>
        <w:t xml:space="preserve">All symbols must work in:</w:t>
      </w:r>
    </w:p>
    <w:p>
      <w:pPr>
        <w:pStyle w:val="Compact"/>
        <w:numPr>
          <w:ilvl w:val="0"/>
          <w:numId w:val="1063"/>
        </w:numPr>
      </w:pPr>
      <w:r>
        <w:t xml:space="preserve">pure black</w:t>
      </w:r>
    </w:p>
    <w:p>
      <w:pPr>
        <w:pStyle w:val="Compact"/>
        <w:numPr>
          <w:ilvl w:val="0"/>
          <w:numId w:val="1063"/>
        </w:numPr>
      </w:pPr>
      <w:r>
        <w:t xml:space="preserve">white on dark</w:t>
      </w:r>
    </w:p>
    <w:p>
      <w:pPr>
        <w:pStyle w:val="Compact"/>
        <w:numPr>
          <w:ilvl w:val="0"/>
          <w:numId w:val="1063"/>
        </w:numPr>
      </w:pPr>
      <w:r>
        <w:t xml:space="preserve">grayscale</w:t>
      </w:r>
    </w:p>
    <w:p>
      <w:pPr>
        <w:pStyle w:val="FirstParagraph"/>
      </w:pPr>
      <w:r>
        <w:t xml:space="preserve">before accent colours are applied.</w:t>
      </w:r>
    </w:p>
    <w:p>
      <w:pPr>
        <w:pStyle w:val="BodyText"/>
      </w:pPr>
      <w:r>
        <w:t xml:space="preserve">Colour is enhancement, not dependency.</w:t>
      </w:r>
    </w:p>
    <w:p>
      <w:r>
        <w:pict>
          <v:rect style="width:0;height:1.5pt" o:hralign="center" o:hrstd="t" o:hr="t"/>
        </w:pict>
      </w:r>
    </w:p>
    <w:bookmarkEnd w:id="146"/>
    <w:bookmarkStart w:id="147" w:name="accent-colour-rules"/>
    <w:p>
      <w:pPr>
        <w:pStyle w:val="Heading1"/>
      </w:pPr>
      <w:r>
        <w:t xml:space="preserve">Accent Colour Rules</w:t>
      </w:r>
    </w:p>
    <w:p>
      <w:pPr>
        <w:pStyle w:val="FirstParagraph"/>
      </w:pPr>
      <w:r>
        <w:t xml:space="preserve">Accent colours should:</w:t>
      </w:r>
    </w:p>
    <w:p>
      <w:pPr>
        <w:pStyle w:val="Compact"/>
        <w:numPr>
          <w:ilvl w:val="0"/>
          <w:numId w:val="1064"/>
        </w:numPr>
      </w:pPr>
      <w:r>
        <w:t xml:space="preserve">highlight meaning</w:t>
      </w:r>
    </w:p>
    <w:p>
      <w:pPr>
        <w:pStyle w:val="Compact"/>
        <w:numPr>
          <w:ilvl w:val="0"/>
          <w:numId w:val="1064"/>
        </w:numPr>
      </w:pPr>
      <w:r>
        <w:t xml:space="preserve">guide focus</w:t>
      </w:r>
    </w:p>
    <w:p>
      <w:pPr>
        <w:pStyle w:val="Compact"/>
        <w:numPr>
          <w:ilvl w:val="0"/>
          <w:numId w:val="1064"/>
        </w:numPr>
      </w:pPr>
      <w:r>
        <w:t xml:space="preserve">support recognition</w:t>
      </w:r>
    </w:p>
    <w:p>
      <w:pPr>
        <w:pStyle w:val="FirstParagraph"/>
      </w:pPr>
      <w:r>
        <w:t xml:space="preserve">Accent colours should NOT:</w:t>
      </w:r>
    </w:p>
    <w:p>
      <w:pPr>
        <w:pStyle w:val="Compact"/>
        <w:numPr>
          <w:ilvl w:val="0"/>
          <w:numId w:val="1065"/>
        </w:numPr>
      </w:pPr>
      <w:r>
        <w:t xml:space="preserve">dominate compositions</w:t>
      </w:r>
    </w:p>
    <w:p>
      <w:pPr>
        <w:pStyle w:val="Compact"/>
        <w:numPr>
          <w:ilvl w:val="0"/>
          <w:numId w:val="1065"/>
        </w:numPr>
      </w:pPr>
      <w:r>
        <w:t xml:space="preserve">flood the frame</w:t>
      </w:r>
    </w:p>
    <w:p>
      <w:pPr>
        <w:pStyle w:val="Compact"/>
        <w:numPr>
          <w:ilvl w:val="0"/>
          <w:numId w:val="1065"/>
        </w:numPr>
      </w:pPr>
      <w:r>
        <w:t xml:space="preserve">overpower line art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~5–15% colour coverage maximum.</w:t>
      </w:r>
    </w:p>
    <w:p>
      <w:r>
        <w:pict>
          <v:rect style="width:0;height:1.5pt" o:hralign="center" o:hrstd="t" o:hr="t"/>
        </w:pict>
      </w:r>
    </w:p>
    <w:bookmarkEnd w:id="147"/>
    <w:bookmarkStart w:id="148" w:name="svg-readiness-rules"/>
    <w:p>
      <w:pPr>
        <w:pStyle w:val="Heading1"/>
      </w:pPr>
      <w:r>
        <w:t xml:space="preserve">SVG Readiness Rules</w:t>
      </w:r>
    </w:p>
    <w:p>
      <w:pPr>
        <w:pStyle w:val="FirstParagraph"/>
      </w:pPr>
      <w:r>
        <w:t xml:space="preserve">All symbols must:</w:t>
      </w:r>
    </w:p>
    <w:p>
      <w:pPr>
        <w:pStyle w:val="Compact"/>
        <w:numPr>
          <w:ilvl w:val="0"/>
          <w:numId w:val="1066"/>
        </w:numPr>
      </w:pPr>
      <w:r>
        <w:t xml:space="preserve">be vector-friendly</w:t>
      </w:r>
    </w:p>
    <w:p>
      <w:pPr>
        <w:pStyle w:val="Compact"/>
        <w:numPr>
          <w:ilvl w:val="0"/>
          <w:numId w:val="1066"/>
        </w:numPr>
      </w:pPr>
      <w:r>
        <w:t xml:space="preserve">avoid texture dependency</w:t>
      </w:r>
    </w:p>
    <w:p>
      <w:pPr>
        <w:pStyle w:val="Compact"/>
        <w:numPr>
          <w:ilvl w:val="0"/>
          <w:numId w:val="1066"/>
        </w:numPr>
      </w:pPr>
      <w:r>
        <w:t xml:space="preserve">avoid painterly rendering</w:t>
      </w:r>
    </w:p>
    <w:p>
      <w:pPr>
        <w:pStyle w:val="Compact"/>
        <w:numPr>
          <w:ilvl w:val="0"/>
          <w:numId w:val="1066"/>
        </w:numPr>
      </w:pPr>
      <w:r>
        <w:t xml:space="preserve">preserve recognisability in outline form</w:t>
      </w:r>
    </w:p>
    <w:p>
      <w:pPr>
        <w:pStyle w:val="FirstParagraph"/>
      </w:pPr>
      <w:r>
        <w:t xml:space="preserve">Future use cases:</w:t>
      </w:r>
    </w:p>
    <w:p>
      <w:pPr>
        <w:pStyle w:val="Compact"/>
        <w:numPr>
          <w:ilvl w:val="0"/>
          <w:numId w:val="1067"/>
        </w:numPr>
      </w:pPr>
      <w:r>
        <w:t xml:space="preserve">icons</w:t>
      </w:r>
    </w:p>
    <w:p>
      <w:pPr>
        <w:pStyle w:val="Compact"/>
        <w:numPr>
          <w:ilvl w:val="0"/>
          <w:numId w:val="1067"/>
        </w:numPr>
      </w:pPr>
      <w:r>
        <w:t xml:space="preserve">slide systems</w:t>
      </w:r>
    </w:p>
    <w:p>
      <w:pPr>
        <w:pStyle w:val="Compact"/>
        <w:numPr>
          <w:ilvl w:val="0"/>
          <w:numId w:val="1067"/>
        </w:numPr>
      </w:pPr>
      <w:r>
        <w:t xml:space="preserve">badges</w:t>
      </w:r>
    </w:p>
    <w:p>
      <w:pPr>
        <w:pStyle w:val="Compact"/>
        <w:numPr>
          <w:ilvl w:val="0"/>
          <w:numId w:val="1067"/>
        </w:numPr>
      </w:pPr>
      <w:r>
        <w:t xml:space="preserve">animations</w:t>
      </w:r>
    </w:p>
    <w:p>
      <w:pPr>
        <w:pStyle w:val="Compact"/>
        <w:numPr>
          <w:ilvl w:val="0"/>
          <w:numId w:val="1067"/>
        </w:numPr>
      </w:pPr>
      <w:r>
        <w:t xml:space="preserve">documentation</w:t>
      </w:r>
    </w:p>
    <w:p>
      <w:pPr>
        <w:pStyle w:val="Compact"/>
        <w:numPr>
          <w:ilvl w:val="0"/>
          <w:numId w:val="1067"/>
        </w:numPr>
      </w:pPr>
      <w:r>
        <w:t xml:space="preserve">overlays</w:t>
      </w:r>
    </w:p>
    <w:p>
      <w:pPr>
        <w:pStyle w:val="Compact"/>
        <w:numPr>
          <w:ilvl w:val="0"/>
          <w:numId w:val="1067"/>
        </w:numPr>
      </w:pPr>
      <w:r>
        <w:t xml:space="preserve">favicons</w:t>
      </w:r>
    </w:p>
    <w:p>
      <w:pPr>
        <w:pStyle w:val="Compact"/>
        <w:numPr>
          <w:ilvl w:val="0"/>
          <w:numId w:val="1067"/>
        </w:numPr>
      </w:pPr>
      <w:r>
        <w:t xml:space="preserve">print assets</w:t>
      </w:r>
    </w:p>
    <w:p>
      <w:r>
        <w:pict>
          <v:rect style="width:0;height:1.5pt" o:hralign="center" o:hrstd="t" o:hr="t"/>
        </w:pict>
      </w:r>
    </w:p>
    <w:bookmarkEnd w:id="148"/>
    <w:bookmarkStart w:id="149" w:name="symbol-approval-checklist"/>
    <w:p>
      <w:pPr>
        <w:pStyle w:val="Heading1"/>
      </w:pPr>
      <w:r>
        <w:t xml:space="preserve">Symbol Approval Checklist</w:t>
      </w:r>
    </w:p>
    <w:p>
      <w:pPr>
        <w:pStyle w:val="FirstParagraph"/>
      </w:pPr>
      <w:r>
        <w:t xml:space="preserve">Before approving a symbol:</w:t>
      </w:r>
    </w:p>
    <w:p>
      <w:pPr>
        <w:pStyle w:val="Compact"/>
        <w:numPr>
          <w:ilvl w:val="0"/>
          <w:numId w:val="1068"/>
        </w:numPr>
      </w:pPr>
      <w:r>
        <w:t xml:space="preserve">recognisable at small scale?</w:t>
      </w:r>
    </w:p>
    <w:p>
      <w:pPr>
        <w:pStyle w:val="Compact"/>
        <w:numPr>
          <w:ilvl w:val="0"/>
          <w:numId w:val="1068"/>
        </w:numPr>
      </w:pPr>
      <w:r>
        <w:t xml:space="preserve">visually restrained?</w:t>
      </w:r>
    </w:p>
    <w:p>
      <w:pPr>
        <w:pStyle w:val="Compact"/>
        <w:numPr>
          <w:ilvl w:val="0"/>
          <w:numId w:val="1068"/>
        </w:numPr>
      </w:pPr>
      <w:r>
        <w:t xml:space="preserve">semantically clear?</w:t>
      </w:r>
    </w:p>
    <w:p>
      <w:pPr>
        <w:pStyle w:val="Compact"/>
        <w:numPr>
          <w:ilvl w:val="0"/>
          <w:numId w:val="1068"/>
        </w:numPr>
      </w:pPr>
      <w:r>
        <w:t xml:space="preserve">compositionally compatible?</w:t>
      </w:r>
    </w:p>
    <w:p>
      <w:pPr>
        <w:pStyle w:val="Compact"/>
        <w:numPr>
          <w:ilvl w:val="0"/>
          <w:numId w:val="1068"/>
        </w:numPr>
      </w:pPr>
      <w:r>
        <w:t xml:space="preserve">consistent with line language?</w:t>
      </w:r>
    </w:p>
    <w:p>
      <w:pPr>
        <w:pStyle w:val="Compact"/>
        <w:numPr>
          <w:ilvl w:val="0"/>
          <w:numId w:val="1068"/>
        </w:numPr>
      </w:pPr>
      <w:r>
        <w:t xml:space="preserve">usable in monochrome?</w:t>
      </w:r>
    </w:p>
    <w:p>
      <w:pPr>
        <w:pStyle w:val="Compact"/>
        <w:numPr>
          <w:ilvl w:val="0"/>
          <w:numId w:val="1068"/>
        </w:numPr>
      </w:pPr>
      <w:r>
        <w:t xml:space="preserve">reusable beyond avatars?</w:t>
      </w:r>
    </w:p>
    <w:p>
      <w:pPr>
        <w:pStyle w:val="Compact"/>
        <w:numPr>
          <w:ilvl w:val="0"/>
          <w:numId w:val="1068"/>
        </w:numPr>
      </w:pPr>
      <w:r>
        <w:t xml:space="preserve">emotionally aligned with role?</w:t>
      </w:r>
    </w:p>
    <w:p>
      <w:pPr>
        <w:pStyle w:val="FirstParagraph"/>
      </w:pPr>
      <w:r>
        <w:t xml:space="preserve">If any answer is</w:t>
      </w:r>
      <w:r>
        <w:t xml:space="preserve"> </w:t>
      </w:r>
      <w:r>
        <w:t xml:space="preserve">“no”</w:t>
      </w:r>
      <w:r>
        <w:t xml:space="preserve">:</w:t>
      </w:r>
      <w:r>
        <w:t xml:space="preserve"> </w:t>
      </w:r>
      <w:r>
        <w:t xml:space="preserve">refine before approval.</w:t>
      </w:r>
    </w:p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2026-05-28T11:35:03Z</dcterms:created>
  <dcterms:modified xsi:type="dcterms:W3CDTF">2026-05-28T11:35:03Z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