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Knowing When the Model Doesn't Know: A Systematic Review of Uncertainty-Aware and Trustworthy Large Language Models in Education</w:t>
      </w:r>
    </w:p>
    <w:p>
      <w:pPr>
        <w:jc w:val="center"/>
      </w:pPr>
      <w:r>
        <w:rPr>
          <w:i/>
        </w:rPr>
        <w:t>Review protocol (version 1.0, 25 October 2026)</w:t>
      </w:r>
    </w:p>
    <w:p>
      <w:pPr>
        <w:jc w:val="center"/>
      </w:pPr>
      <w:r>
        <w:t>Muhammad Adnan (corresponding), Muhammad Irfan Uddin, Muhammad Hamad Hassan</w:t>
      </w:r>
    </w:p>
    <w:p>
      <w:pPr>
        <w:pStyle w:val="Heading1"/>
      </w:pPr>
      <w:r>
        <w:rPr>
          <w:rFonts w:ascii="Times New Roman" w:hAnsi="Times New Roman"/>
          <w:color w:val="1D2B4F"/>
        </w:rPr>
        <w:t>1. Background and rationale</w:t>
      </w:r>
    </w:p>
    <w:p>
      <w:pPr>
        <w:spacing w:after="80"/>
      </w:pPr>
      <w:r>
        <w:t>Large language models (LLMs) are increasingly used to grade work, give feedback, tutor students and generate learning materials. Their errors are often delivered with high fluency and apparent confidence, which can mislead learners and teachers. General surveys of uncertainty estimation and hallucination in LLMs exist, and surveys of LLMs in education exist, but no systematic review has examined how educational LLM systems measure uncertainty, what they do with it, and whether this helps teachers and learners. This review addresses that gap.</w:t>
      </w:r>
    </w:p>
    <w:p>
      <w:pPr>
        <w:pStyle w:val="Heading1"/>
      </w:pPr>
      <w:r>
        <w:rPr>
          <w:rFonts w:ascii="Times New Roman" w:hAnsi="Times New Roman"/>
          <w:color w:val="1D2B4F"/>
        </w:rPr>
        <w:t>2. Review questions</w:t>
      </w:r>
    </w:p>
    <w:p>
      <w:pPr>
        <w:pStyle w:val="ListBullet"/>
        <w:spacing w:after="80"/>
      </w:pPr>
      <w:r>
        <w:t>RQ1 (Where): In which educational tasks is LLM uncertainty addressed (scoring and grading, feedback, tutoring and question answering, error diagnosis and knowledge tracing, item and content generation, learning analytics and advising)?</w:t>
      </w:r>
    </w:p>
    <w:p>
      <w:pPr>
        <w:pStyle w:val="ListBullet"/>
        <w:spacing w:after="80"/>
      </w:pPr>
      <w:r>
        <w:t>RQ2 (How): Which methods are used to quantify uncertainty (verbalised confidence, token probabilities and entropy, sampling consistency and semantic entropy, ensembles, conformal prediction, calibration, retrieval-based verification, disagreement among LLM judges)?</w:t>
      </w:r>
    </w:p>
    <w:p>
      <w:pPr>
        <w:pStyle w:val="ListBullet"/>
        <w:spacing w:after="80"/>
      </w:pPr>
      <w:r>
        <w:t>RQ3 (Then what): What is done with uncertainty (display, abstention, deferral to a human, clarifying questions, verification, thresholds), and who is in the loop?</w:t>
      </w:r>
    </w:p>
    <w:p>
      <w:pPr>
        <w:pStyle w:val="ListBullet"/>
        <w:spacing w:after="80"/>
      </w:pPr>
      <w:r>
        <w:t>RQ4 (Evidence): How are these systems evaluated (technical measures such as calibration error, AUROC, coverage and selective risk; human measures such as trust, reliance and workload; learning outcomes)?</w:t>
      </w:r>
    </w:p>
    <w:p>
      <w:pPr>
        <w:pStyle w:val="ListBullet"/>
        <w:spacing w:after="80"/>
      </w:pPr>
      <w:r>
        <w:t>RQ5 (Gaps): What risks (for example unequal uncertainty across learner groups, over- or under-reliance) and open problems remain, and what research agenda follows?</w:t>
      </w:r>
    </w:p>
    <w:p>
      <w:pPr>
        <w:pStyle w:val="Heading1"/>
      </w:pPr>
      <w:r>
        <w:rPr>
          <w:rFonts w:ascii="Times New Roman" w:hAnsi="Times New Roman"/>
          <w:color w:val="1D2B4F"/>
        </w:rPr>
        <w:t>3. Eligibility criteria</w:t>
      </w:r>
    </w:p>
    <w:p>
      <w:pPr>
        <w:spacing w:after="80"/>
      </w:pPr>
      <w:r>
        <w:t>Inclusion: (a) peer-reviewed journal or conference papers, plus arXiv preprints (flagged and examined in a sensitivity analysis); (b) published from January 2020 to the search date; (c) written in English; (d) an LLM or pretrained transformer language model is used in a real or simulated educational setting; (e) the paper explicitly measures, communicates or acts on model uncertainty, confidence, calibration, reliability, hallucination, abstention or deferral.</w:t>
      </w:r>
    </w:p>
    <w:p>
      <w:pPr>
        <w:spacing w:after="80"/>
      </w:pPr>
      <w:r>
        <w:t>Exclusion: opinion or position pieces without a method; hallucination studies outside education; attitude surveys about AI that do not address model uncertainty or reliability; full text unavailable; duplicates.</w:t>
      </w:r>
    </w:p>
    <w:p>
      <w:pPr>
        <w:pStyle w:val="Heading1"/>
      </w:pPr>
      <w:r>
        <w:rPr>
          <w:rFonts w:ascii="Times New Roman" w:hAnsi="Times New Roman"/>
          <w:color w:val="1D2B4F"/>
        </w:rPr>
        <w:t>4. Information sources and search</w:t>
      </w:r>
    </w:p>
    <w:p>
      <w:pPr>
        <w:spacing w:after="80"/>
      </w:pPr>
      <w:r>
        <w:t>Databases: Scopus, Web of Science Core Collection, IEEE Xplore, ACM Digital Library, ERIC, plus arXiv and OpenAlex queried through their public APIs. Searches combine three blocks (LLM terms AND uncertainty/trust terms AND educational terms) in title, abstract and keywords. Exact strings are given in the supplementary file SEARCH_STRINGS and are logged with date and hit counts (PRISMA-S). Backward and forward citation searching of included studies will complement the database search.</w:t>
      </w:r>
    </w:p>
    <w:p>
      <w:pPr>
        <w:pStyle w:val="Heading1"/>
      </w:pPr>
      <w:r>
        <w:rPr>
          <w:rFonts w:ascii="Times New Roman" w:hAnsi="Times New Roman"/>
          <w:color w:val="1D2B4F"/>
        </w:rPr>
        <w:t>5. Selection process</w:t>
      </w:r>
    </w:p>
    <w:p>
      <w:pPr>
        <w:spacing w:after="80"/>
      </w:pPr>
      <w:r>
        <w:t>Records are merged and de-duplicated automatically (DOI, normalised title and near-identical titles within one year). One reviewer (MA) screens all titles and abstracts. An open LLM (Qwen2.5-7B-Instruct) acts as an independent second screener: its include/exclude suggestions are hidden from the reviewer during screening. Afterwards, agreement between the reviewer and the LLM is reported as Cohen's kappa, and every record the reviewer excluded but the LLM rated as likely relevant is re-checked by the reviewer before the final decision, so that the AI can only add records for a second look and never removes them. Records marked include or maybe proceed to full-text review against the same criteria, with reasons for exclusion recorded. Single-reviewer screening is acknowledged as a limitation.</w:t>
      </w:r>
    </w:p>
    <w:p>
      <w:pPr>
        <w:pStyle w:val="Heading1"/>
      </w:pPr>
      <w:r>
        <w:rPr>
          <w:rFonts w:ascii="Times New Roman" w:hAnsi="Times New Roman"/>
          <w:color w:val="1D2B4F"/>
        </w:rPr>
        <w:t>6. Data extraction (coding scheme)</w:t>
      </w:r>
    </w:p>
    <w:p>
      <w:pPr>
        <w:pStyle w:val="ListBullet"/>
        <w:spacing w:after="80"/>
      </w:pPr>
      <w:r>
        <w:t>Bibliographic data; country; publication type.</w:t>
      </w:r>
    </w:p>
    <w:p>
      <w:pPr>
        <w:pStyle w:val="ListBullet"/>
        <w:spacing w:after="80"/>
      </w:pPr>
      <w:r>
        <w:t>Educational level, subject domain, and learner/teacher population.</w:t>
      </w:r>
    </w:p>
    <w:p>
      <w:pPr>
        <w:pStyle w:val="ListBullet"/>
        <w:spacing w:after="80"/>
      </w:pPr>
      <w:r>
        <w:t>Educational task (RQ1).</w:t>
      </w:r>
    </w:p>
    <w:p>
      <w:pPr>
        <w:pStyle w:val="ListBullet"/>
        <w:spacing w:after="80"/>
      </w:pPr>
      <w:r>
        <w:t>Model(s): name, size, open or closed, adaptation (prompting, fine-tuning, retrieval).</w:t>
      </w:r>
    </w:p>
    <w:p>
      <w:pPr>
        <w:pStyle w:val="ListBullet"/>
        <w:spacing w:after="80"/>
      </w:pPr>
      <w:r>
        <w:t>Uncertainty method (RQ2) and the decision or action it drives (RQ3); human role (student, teacher, institution).</w:t>
      </w:r>
    </w:p>
    <w:p>
      <w:pPr>
        <w:pStyle w:val="ListBullet"/>
        <w:spacing w:after="80"/>
      </w:pPr>
      <w:r>
        <w:t>Evaluation: datasets and sample size; technical, human and learning measures (RQ4); comparison conditions.</w:t>
      </w:r>
    </w:p>
    <w:p>
      <w:pPr>
        <w:pStyle w:val="ListBullet"/>
        <w:spacing w:after="80"/>
      </w:pPr>
      <w:r>
        <w:t>Reporting of fairness or subgroup analysis; risks discussed; code and data availability.</w:t>
      </w:r>
    </w:p>
    <w:p>
      <w:pPr>
        <w:spacing w:after="80"/>
      </w:pPr>
      <w:r>
        <w:t>One reviewer extracts the data; a random 20% of the coded studies is re-coded by the same reviewer after two weeks to check consistency (intra-rater agreement). The coding scheme is piloted on 10 studies and refined before full extraction.</w:t>
      </w:r>
    </w:p>
    <w:p>
      <w:pPr>
        <w:pStyle w:val="Heading1"/>
      </w:pPr>
      <w:r>
        <w:rPr>
          <w:rFonts w:ascii="Times New Roman" w:hAnsi="Times New Roman"/>
          <w:color w:val="1D2B4F"/>
        </w:rPr>
        <w:t>7. Quality appraisal</w:t>
      </w:r>
    </w:p>
    <w:p>
      <w:pPr>
        <w:spacing w:after="80"/>
      </w:pPr>
      <w:r>
        <w:t>Each included empirical study is appraised with an eight-item checklist adapted from the Mixed Methods Appraisal Tool (MMAT): clarity of aims, appropriateness of data, description of the model and uncertainty method, validity of the evaluation design, adequacy of sample size, reporting of uncertainty metrics, human-centred evaluation, and reproducibility. Appraisal informs the synthesis but is not used to exclude studies.</w:t>
      </w:r>
    </w:p>
    <w:p>
      <w:pPr>
        <w:pStyle w:val="Heading1"/>
      </w:pPr>
      <w:r>
        <w:rPr>
          <w:rFonts w:ascii="Times New Roman" w:hAnsi="Times New Roman"/>
          <w:color w:val="1D2B4F"/>
        </w:rPr>
        <w:t>8. Synthesis</w:t>
      </w:r>
    </w:p>
    <w:p>
      <w:pPr>
        <w:spacing w:after="80"/>
      </w:pPr>
      <w:r>
        <w:t>A narrative and structured synthesis organised by the four-axis taxonomy (Where, How, Then what, Who), with evidence maps (method x task heatmap; task-method-action flow), publication trends, and tabulated study characteristics. No meta-analysis is planned because tasks and measures are expected to be heterogeneous; where at least five studies report the same metric on comparable tasks, descriptive summaries will be given. The review will conclude with a reporting checklist for uncertainty-aware educational LLM studies and a research agenda.</w:t>
      </w:r>
    </w:p>
    <w:p>
      <w:pPr>
        <w:pStyle w:val="Heading1"/>
      </w:pPr>
      <w:r>
        <w:rPr>
          <w:rFonts w:ascii="Times New Roman" w:hAnsi="Times New Roman"/>
          <w:color w:val="1D2B4F"/>
        </w:rPr>
        <w:t>9. Reporting and dissemination</w:t>
      </w:r>
    </w:p>
    <w:p>
      <w:pPr>
        <w:spacing w:after="80"/>
      </w:pPr>
      <w:r>
        <w:t>The review follows PRISMA 2020 and PRISMA-S, and the manuscript will be submitted to IEEE Transactions on Learning Technologies. The search strings, de-duplicated records, screening decisions, coding sheet and analysis code will be shared in a public repository. Use of AI tools (pre-screening, coding support, text preparation) will be disclosed as required by IEEE policy.</w:t>
      </w:r>
    </w:p>
    <w:p>
      <w:pPr>
        <w:pStyle w:val="Heading1"/>
      </w:pPr>
      <w:r>
        <w:rPr>
          <w:rFonts w:ascii="Times New Roman" w:hAnsi="Times New Roman"/>
          <w:color w:val="1D2B4F"/>
        </w:rPr>
        <w:t>10. Timeline (proposed; adjust as needed)</w:t>
      </w:r>
    </w:p>
    <w:p>
      <w:pPr>
        <w:spacing w:after="80"/>
      </w:pPr>
      <w:r>
        <w:t>Searches and screening: November 2026. Full-text review and data extraction: December 2026. Synthesis and writing: January 2027.</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